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46990</wp:posOffset>
            </wp:positionV>
            <wp:extent cx="2768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43815</wp:posOffset>
            </wp:positionV>
            <wp:extent cx="2768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(Mark One)</w:t>
      </w:r>
    </w:p>
    <w:p>
      <w:pPr>
        <w:spacing w:after="0" w:line="44"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77" w:lineRule="exact"/>
        <w:rPr>
          <w:rFonts w:ascii="MS PGothic" w:cs="MS PGothic" w:eastAsia="MS PGothic" w:hAnsi="MS PGothic"/>
          <w:sz w:val="18"/>
          <w:szCs w:val="18"/>
          <w:color w:val="auto"/>
        </w:rPr>
      </w:pPr>
    </w:p>
    <w:p>
      <w:pPr>
        <w:ind w:left="398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quarterly period ended January 1, 2021</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9"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78" w:lineRule="exact"/>
        <w:rPr>
          <w:sz w:val="24"/>
          <w:szCs w:val="24"/>
          <w:color w:val="auto"/>
        </w:rPr>
      </w:pPr>
    </w:p>
    <w:p>
      <w:pPr>
        <w:ind w:left="364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-3175</wp:posOffset>
            </wp:positionV>
            <wp:extent cx="1165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64770</wp:posOffset>
            </wp:positionV>
            <wp:extent cx="2768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295910</wp:posOffset>
            </wp:positionV>
            <wp:extent cx="296608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608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WESTERN DIGITAL CORPORATION</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53340</wp:posOffset>
            </wp:positionV>
            <wp:extent cx="2768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tbl>
      <w:tblPr>
        <w:tblLayout w:type="fixed"/>
        <w:tblInd w:w="800" w:type="dxa"/>
        <w:tblCellMar>
          <w:top w:w="0" w:type="dxa"/>
          <w:left w:w="0" w:type="dxa"/>
          <w:bottom w:w="0" w:type="dxa"/>
          <w:right w:w="0" w:type="dxa"/>
        </w:tblCellMar>
      </w:tblPr>
      <w:tr>
        <w:trPr>
          <w:trHeight w:val="212"/>
        </w:trPr>
        <w:tc>
          <w:tcPr>
            <w:tcW w:w="2760" w:type="dxa"/>
            <w:vAlign w:val="bottom"/>
            <w:gridSpan w:val="2"/>
          </w:tcPr>
          <w:p>
            <w:pPr>
              <w:jc w:val="center"/>
              <w:ind w:left="552"/>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500" w:type="dxa"/>
            <w:vAlign w:val="bottom"/>
          </w:tcPr>
          <w:p>
            <w:pPr>
              <w:spacing w:after="0"/>
              <w:rPr>
                <w:sz w:val="18"/>
                <w:szCs w:val="18"/>
                <w:color w:val="auto"/>
              </w:rPr>
            </w:pPr>
          </w:p>
        </w:tc>
        <w:tc>
          <w:tcPr>
            <w:tcW w:w="3580" w:type="dxa"/>
            <w:vAlign w:val="bottom"/>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33-0956711</w:t>
            </w:r>
          </w:p>
        </w:tc>
        <w:tc>
          <w:tcPr>
            <w:tcW w:w="0" w:type="dxa"/>
            <w:vAlign w:val="bottom"/>
          </w:tcPr>
          <w:p>
            <w:pPr>
              <w:spacing w:after="0"/>
              <w:rPr>
                <w:sz w:val="1"/>
                <w:szCs w:val="1"/>
                <w:color w:val="auto"/>
              </w:rPr>
            </w:pPr>
          </w:p>
        </w:tc>
      </w:tr>
      <w:tr>
        <w:trPr>
          <w:trHeight w:val="128"/>
        </w:trPr>
        <w:tc>
          <w:tcPr>
            <w:tcW w:w="2760" w:type="dxa"/>
            <w:vAlign w:val="bottom"/>
            <w:gridSpan w:val="2"/>
          </w:tcPr>
          <w:p>
            <w:pPr>
              <w:jc w:val="center"/>
              <w:ind w:left="572"/>
              <w:spacing w:after="0" w:line="128" w:lineRule="exact"/>
              <w:rPr>
                <w:sz w:val="20"/>
                <w:szCs w:val="20"/>
                <w:color w:val="auto"/>
              </w:rPr>
            </w:pPr>
            <w:r>
              <w:rPr>
                <w:rFonts w:ascii="Times New Roman" w:cs="Times New Roman" w:eastAsia="Times New Roman" w:hAnsi="Times New Roman"/>
                <w:sz w:val="13"/>
                <w:szCs w:val="13"/>
                <w:i w:val="1"/>
                <w:iCs w:val="1"/>
                <w:color w:val="auto"/>
                <w:w w:val="97"/>
              </w:rPr>
              <w:t>(State or other jurisdiction of</w:t>
            </w:r>
          </w:p>
        </w:tc>
        <w:tc>
          <w:tcPr>
            <w:tcW w:w="2500" w:type="dxa"/>
            <w:vAlign w:val="bottom"/>
          </w:tcPr>
          <w:p>
            <w:pPr>
              <w:spacing w:after="0"/>
              <w:rPr>
                <w:sz w:val="11"/>
                <w:szCs w:val="11"/>
                <w:color w:val="auto"/>
              </w:rPr>
            </w:pPr>
          </w:p>
        </w:tc>
        <w:tc>
          <w:tcPr>
            <w:tcW w:w="3580" w:type="dxa"/>
            <w:vAlign w:val="bottom"/>
            <w:vMerge w:val="restart"/>
          </w:tcPr>
          <w:p>
            <w:pPr>
              <w:jc w:val="center"/>
              <w:ind w:left="1710"/>
              <w:spacing w:after="0"/>
              <w:rPr>
                <w:sz w:val="20"/>
                <w:szCs w:val="20"/>
                <w:color w:val="auto"/>
              </w:rPr>
            </w:pPr>
            <w:r>
              <w:rPr>
                <w:rFonts w:ascii="Times New Roman" w:cs="Times New Roman" w:eastAsia="Times New Roman" w:hAnsi="Times New Roman"/>
                <w:sz w:val="13"/>
                <w:szCs w:val="13"/>
                <w:i w:val="1"/>
                <w:iCs w:val="1"/>
                <w:color w:val="auto"/>
                <w:w w:val="96"/>
              </w:rPr>
              <w:t>(I.R.S. Employer Identification No.)</w:t>
            </w:r>
          </w:p>
        </w:tc>
        <w:tc>
          <w:tcPr>
            <w:tcW w:w="0" w:type="dxa"/>
            <w:vAlign w:val="bottom"/>
          </w:tcPr>
          <w:p>
            <w:pPr>
              <w:spacing w:after="0"/>
              <w:rPr>
                <w:sz w:val="1"/>
                <w:szCs w:val="1"/>
                <w:color w:val="auto"/>
              </w:rPr>
            </w:pPr>
          </w:p>
        </w:tc>
      </w:tr>
      <w:tr>
        <w:trPr>
          <w:trHeight w:val="166"/>
        </w:trPr>
        <w:tc>
          <w:tcPr>
            <w:tcW w:w="2760" w:type="dxa"/>
            <w:vAlign w:val="bottom"/>
            <w:gridSpan w:val="2"/>
          </w:tcPr>
          <w:p>
            <w:pPr>
              <w:jc w:val="center"/>
              <w:ind w:left="552"/>
              <w:spacing w:after="0"/>
              <w:rPr>
                <w:sz w:val="20"/>
                <w:szCs w:val="20"/>
                <w:color w:val="auto"/>
              </w:rPr>
            </w:pPr>
            <w:r>
              <w:rPr>
                <w:rFonts w:ascii="Times New Roman" w:cs="Times New Roman" w:eastAsia="Times New Roman" w:hAnsi="Times New Roman"/>
                <w:sz w:val="13"/>
                <w:szCs w:val="13"/>
                <w:i w:val="1"/>
                <w:iCs w:val="1"/>
                <w:color w:val="auto"/>
                <w:w w:val="95"/>
              </w:rPr>
              <w:t>incorporation or organization)</w:t>
            </w:r>
          </w:p>
        </w:tc>
        <w:tc>
          <w:tcPr>
            <w:tcW w:w="2500" w:type="dxa"/>
            <w:vAlign w:val="bottom"/>
          </w:tcPr>
          <w:p>
            <w:pPr>
              <w:spacing w:after="0"/>
              <w:rPr>
                <w:sz w:val="14"/>
                <w:szCs w:val="14"/>
                <w:color w:val="auto"/>
              </w:rPr>
            </w:pPr>
          </w:p>
        </w:tc>
        <w:tc>
          <w:tcPr>
            <w:tcW w:w="3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5601 Great Oaks Parkway</w:t>
            </w:r>
          </w:p>
        </w:tc>
        <w:tc>
          <w:tcPr>
            <w:tcW w:w="9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San Jose,</w:t>
            </w:r>
          </w:p>
        </w:tc>
        <w:tc>
          <w:tcPr>
            <w:tcW w:w="2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California</w:t>
            </w:r>
          </w:p>
        </w:tc>
        <w:tc>
          <w:tcPr>
            <w:tcW w:w="3580" w:type="dxa"/>
            <w:vAlign w:val="bottom"/>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95119</w:t>
            </w:r>
          </w:p>
        </w:tc>
        <w:tc>
          <w:tcPr>
            <w:tcW w:w="0" w:type="dxa"/>
            <w:vAlign w:val="bottom"/>
          </w:tcPr>
          <w:p>
            <w:pPr>
              <w:spacing w:after="0"/>
              <w:rPr>
                <w:sz w:val="1"/>
                <w:szCs w:val="1"/>
                <w:color w:val="auto"/>
              </w:rPr>
            </w:pPr>
          </w:p>
        </w:tc>
      </w:tr>
      <w:tr>
        <w:trPr>
          <w:trHeight w:val="169"/>
        </w:trPr>
        <w:tc>
          <w:tcPr>
            <w:tcW w:w="2760" w:type="dxa"/>
            <w:vAlign w:val="bottom"/>
            <w:gridSpan w:val="2"/>
          </w:tcPr>
          <w:p>
            <w:pPr>
              <w:jc w:val="center"/>
              <w:ind w:left="552"/>
              <w:spacing w:after="0"/>
              <w:rPr>
                <w:sz w:val="20"/>
                <w:szCs w:val="20"/>
                <w:color w:val="auto"/>
              </w:rPr>
            </w:pPr>
            <w:r>
              <w:rPr>
                <w:rFonts w:ascii="Times New Roman" w:cs="Times New Roman" w:eastAsia="Times New Roman" w:hAnsi="Times New Roman"/>
                <w:sz w:val="13"/>
                <w:szCs w:val="13"/>
                <w:i w:val="1"/>
                <w:iCs w:val="1"/>
                <w:color w:val="auto"/>
                <w:w w:val="97"/>
              </w:rPr>
              <w:t>(Address of principal executive offices)</w:t>
            </w:r>
          </w:p>
        </w:tc>
        <w:tc>
          <w:tcPr>
            <w:tcW w:w="2500" w:type="dxa"/>
            <w:vAlign w:val="bottom"/>
          </w:tcPr>
          <w:p>
            <w:pPr>
              <w:spacing w:after="0"/>
              <w:rPr>
                <w:sz w:val="14"/>
                <w:szCs w:val="14"/>
                <w:color w:val="auto"/>
              </w:rPr>
            </w:pPr>
          </w:p>
        </w:tc>
        <w:tc>
          <w:tcPr>
            <w:tcW w:w="3580" w:type="dxa"/>
            <w:vAlign w:val="bottom"/>
          </w:tcPr>
          <w:p>
            <w:pPr>
              <w:jc w:val="center"/>
              <w:ind w:left="1710"/>
              <w:spacing w:after="0"/>
              <w:rPr>
                <w:sz w:val="20"/>
                <w:szCs w:val="20"/>
                <w:color w:val="auto"/>
              </w:rPr>
            </w:pPr>
            <w:r>
              <w:rPr>
                <w:rFonts w:ascii="Times New Roman" w:cs="Times New Roman" w:eastAsia="Times New Roman" w:hAnsi="Times New Roman"/>
                <w:sz w:val="13"/>
                <w:szCs w:val="13"/>
                <w:i w:val="1"/>
                <w:iCs w:val="1"/>
                <w:color w:val="auto"/>
                <w:w w:val="98"/>
              </w:rPr>
              <w:t>(Zip Code)</w:t>
            </w:r>
          </w:p>
        </w:tc>
        <w:tc>
          <w:tcPr>
            <w:tcW w:w="0" w:type="dxa"/>
            <w:vAlign w:val="bottom"/>
          </w:tcPr>
          <w:p>
            <w:pPr>
              <w:spacing w:after="0"/>
              <w:rPr>
                <w:sz w:val="1"/>
                <w:szCs w:val="1"/>
                <w:color w:val="auto"/>
              </w:rPr>
            </w:pPr>
          </w:p>
        </w:tc>
      </w:tr>
    </w:tbl>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(408) 717-6000</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9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195"/>
        </w:trPr>
        <w:tc>
          <w:tcPr>
            <w:tcW w:w="1520" w:type="dxa"/>
            <w:vAlign w:val="bottom"/>
          </w:tcPr>
          <w:p>
            <w:pPr>
              <w:spacing w:after="0"/>
              <w:rPr>
                <w:sz w:val="16"/>
                <w:szCs w:val="16"/>
                <w:color w:val="auto"/>
              </w:rPr>
            </w:pPr>
          </w:p>
        </w:tc>
        <w:tc>
          <w:tcPr>
            <w:tcW w:w="3460" w:type="dxa"/>
            <w:vAlign w:val="bottom"/>
            <w:gridSpan w:val="2"/>
          </w:tcPr>
          <w:p>
            <w:pPr>
              <w:jc w:val="center"/>
              <w:ind w:right="22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360" w:type="dxa"/>
            <w:vAlign w:val="bottom"/>
            <w:gridSpan w:val="2"/>
          </w:tcPr>
          <w:p>
            <w:pPr>
              <w:jc w:val="center"/>
              <w:ind w:left="12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00"/>
        </w:trPr>
        <w:tc>
          <w:tcPr>
            <w:tcW w:w="498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color w:val="auto"/>
              </w:rPr>
              <w:t>Common Stock, $.01 Par Value Per Share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WDC</w:t>
            </w:r>
          </w:p>
        </w:tc>
        <w:tc>
          <w:tcPr>
            <w:tcW w:w="136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89"/>
        </w:trPr>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280670</wp:posOffset>
            </wp:positionV>
            <wp:extent cx="2768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ind w:right="60" w:firstLine="324"/>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right="280" w:firstLine="324"/>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w:t>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9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definitions of “large accelerated filer,” “accelerated filer,” “smaller reporting company,” and “emerging growth company” in Rule 12b-2 of the Exchange Act.</w:t>
            </w:r>
          </w:p>
        </w:tc>
        <w:tc>
          <w:tcPr>
            <w:tcW w:w="2040" w:type="dxa"/>
            <w:vAlign w:val="bottom"/>
          </w:tcPr>
          <w:p>
            <w:pPr>
              <w:spacing w:after="0"/>
              <w:rPr>
                <w:sz w:val="16"/>
                <w:szCs w:val="16"/>
                <w:color w:val="auto"/>
              </w:rPr>
            </w:pPr>
          </w:p>
        </w:tc>
      </w:tr>
      <w:tr>
        <w:trPr>
          <w:trHeight w:val="179"/>
        </w:trPr>
        <w:tc>
          <w:tcPr>
            <w:tcW w:w="23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Large accelerated filer</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Accelerated filer</w:t>
            </w:r>
          </w:p>
        </w:tc>
        <w:tc>
          <w:tcPr>
            <w:tcW w:w="22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Non-accelerated filer</w:t>
            </w:r>
          </w:p>
        </w:tc>
        <w:tc>
          <w:tcPr>
            <w:tcW w:w="258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04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Emerging growth company</w:t>
            </w:r>
          </w:p>
        </w:tc>
      </w:tr>
      <w:tr>
        <w:trPr>
          <w:trHeight w:val="226"/>
        </w:trPr>
        <w:tc>
          <w:tcPr>
            <w:tcW w:w="232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99"/>
              </w:rPr>
              <w:t>☒</w:t>
            </w:r>
          </w:p>
        </w:tc>
        <w:tc>
          <w:tcPr>
            <w:tcW w:w="20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222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99"/>
              </w:rPr>
              <w:t>☐</w:t>
            </w:r>
          </w:p>
        </w:tc>
        <w:tc>
          <w:tcPr>
            <w:tcW w:w="2580" w:type="dxa"/>
            <w:vAlign w:val="bottom"/>
          </w:tcPr>
          <w:p>
            <w:pPr>
              <w:jc w:val="center"/>
              <w:ind w:right="88"/>
              <w:spacing w:after="0" w:line="141" w:lineRule="exact"/>
              <w:rPr>
                <w:sz w:val="20"/>
                <w:szCs w:val="20"/>
                <w:color w:val="auto"/>
              </w:rPr>
            </w:pPr>
            <w:r>
              <w:rPr>
                <w:rFonts w:ascii="MS PGothic" w:cs="MS PGothic" w:eastAsia="MS PGothic" w:hAnsi="MS PGothic"/>
                <w:sz w:val="14"/>
                <w:szCs w:val="14"/>
                <w:color w:val="auto"/>
                <w:w w:val="99"/>
              </w:rPr>
              <w:t>☐</w:t>
            </w:r>
          </w:p>
        </w:tc>
        <w:tc>
          <w:tcPr>
            <w:tcW w:w="2040" w:type="dxa"/>
            <w:vAlign w:val="bottom"/>
          </w:tcPr>
          <w:p>
            <w:pPr>
              <w:jc w:val="center"/>
              <w:ind w:right="20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218"/>
        </w:trPr>
        <w:tc>
          <w:tcPr>
            <w:tcW w:w="23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ind w:firstLine="324"/>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0"/>
          <w:szCs w:val="20"/>
          <w:color w:val="auto"/>
        </w:rPr>
      </w:pPr>
    </w:p>
    <w:p>
      <w:pPr>
        <w:ind w:left="340"/>
        <w:spacing w:after="0" w:line="161" w:lineRule="exact"/>
        <w:tabs>
          <w:tab w:leader="none" w:pos="6980" w:val="left"/>
          <w:tab w:leader="none" w:pos="75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As of the close of business on January 29, 2021, 306,097,179 shares of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048" w:right="5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WESTERN DIGITAL CORPORATION</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8940" w:type="dxa"/>
            <w:vAlign w:val="bottom"/>
            <w:vMerge w:val="restart"/>
          </w:tcPr>
          <w:p>
            <w:pPr>
              <w:ind w:left="32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894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8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Condensed Consolidated Balance Sheets — As of January 1, 2021 and July 3, 2020</w:t>
            </w:r>
          </w:p>
        </w:tc>
        <w:tc>
          <w:tcPr>
            <w:tcW w:w="1440" w:type="dxa"/>
            <w:vAlign w:val="bottom"/>
          </w:tcPr>
          <w:p>
            <w:pPr>
              <w:jc w:val="center"/>
              <w:spacing w:after="0"/>
              <w:rPr>
                <w:rFonts w:ascii="Times New Roman" w:cs="Times New Roman" w:eastAsia="Times New Roman" w:hAnsi="Times New Roman"/>
                <w:sz w:val="18"/>
                <w:szCs w:val="18"/>
                <w:u w:val="single" w:color="auto"/>
                <w:color w:val="3635D6"/>
                <w:w w:val="88"/>
              </w:rPr>
            </w:pPr>
            <w:hyperlink w:anchor="page6">
              <w:r>
                <w:rPr>
                  <w:rFonts w:ascii="Times New Roman" w:cs="Times New Roman" w:eastAsia="Times New Roman" w:hAnsi="Times New Roman"/>
                  <w:sz w:val="18"/>
                  <w:szCs w:val="18"/>
                  <w:u w:val="single" w:color="auto"/>
                  <w:color w:val="3635D6"/>
                  <w:w w:val="88"/>
                </w:rPr>
                <w:t>6</w:t>
              </w:r>
            </w:hyperlink>
          </w:p>
        </w:tc>
        <w:tc>
          <w:tcPr>
            <w:tcW w:w="0" w:type="dxa"/>
            <w:vAlign w:val="bottom"/>
          </w:tcPr>
          <w:p>
            <w:pPr>
              <w:spacing w:after="0"/>
              <w:rPr>
                <w:sz w:val="1"/>
                <w:szCs w:val="1"/>
                <w:color w:val="auto"/>
              </w:rPr>
            </w:pPr>
          </w:p>
        </w:tc>
      </w:tr>
      <w:tr>
        <w:trPr>
          <w:trHeight w:val="176"/>
        </w:trPr>
        <w:tc>
          <w:tcPr>
            <w:tcW w:w="860" w:type="dxa"/>
            <w:vAlign w:val="bottom"/>
            <w:shd w:val="clear" w:color="auto" w:fill="CCEEFF"/>
          </w:tcPr>
          <w:p>
            <w:pPr>
              <w:spacing w:after="0"/>
              <w:rPr>
                <w:sz w:val="15"/>
                <w:szCs w:val="15"/>
                <w:color w:val="auto"/>
              </w:rPr>
            </w:pPr>
          </w:p>
        </w:tc>
        <w:tc>
          <w:tcPr>
            <w:tcW w:w="894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Operations — Three and Six Months Ended January 1, 2021 and January 3,</w:t>
            </w:r>
          </w:p>
        </w:tc>
        <w:tc>
          <w:tcPr>
            <w:tcW w:w="1440" w:type="dxa"/>
            <w:vAlign w:val="bottom"/>
            <w:vMerge w:val="restart"/>
            <w:shd w:val="clear" w:color="auto" w:fill="CCEEFF"/>
          </w:tcPr>
          <w:p>
            <w:pPr>
              <w:jc w:val="center"/>
              <w:spacing w:after="0"/>
              <w:rPr>
                <w:rFonts w:ascii="Times New Roman" w:cs="Times New Roman" w:eastAsia="Times New Roman" w:hAnsi="Times New Roman"/>
                <w:sz w:val="18"/>
                <w:szCs w:val="18"/>
                <w:u w:val="single" w:color="auto"/>
                <w:color w:val="3635D6"/>
                <w:w w:val="88"/>
              </w:rPr>
            </w:pPr>
            <w:hyperlink w:anchor="page6">
              <w:r>
                <w:rPr>
                  <w:rFonts w:ascii="Times New Roman" w:cs="Times New Roman" w:eastAsia="Times New Roman" w:hAnsi="Times New Roman"/>
                  <w:sz w:val="18"/>
                  <w:szCs w:val="18"/>
                  <w:u w:val="single" w:color="auto"/>
                  <w:color w:val="3635D6"/>
                  <w:w w:val="88"/>
                </w:rPr>
                <w:t>7</w:t>
              </w:r>
            </w:hyperlink>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spacing w:after="0"/>
              <w:rPr>
                <w:sz w:val="19"/>
                <w:szCs w:val="19"/>
                <w:color w:val="auto"/>
              </w:rPr>
            </w:pPr>
          </w:p>
        </w:tc>
        <w:tc>
          <w:tcPr>
            <w:tcW w:w="8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2020</w:t>
            </w: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894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Comprehensive Income (Loss) — Three and Six Months Ended January 1,</w:t>
            </w:r>
          </w:p>
        </w:tc>
        <w:tc>
          <w:tcPr>
            <w:tcW w:w="1440" w:type="dxa"/>
            <w:vAlign w:val="bottom"/>
            <w:vMerge w:val="restart"/>
          </w:tcPr>
          <w:p>
            <w:pPr>
              <w:jc w:val="center"/>
              <w:spacing w:after="0"/>
              <w:rPr>
                <w:rFonts w:ascii="Times New Roman" w:cs="Times New Roman" w:eastAsia="Times New Roman" w:hAnsi="Times New Roman"/>
                <w:sz w:val="18"/>
                <w:szCs w:val="18"/>
                <w:u w:val="single" w:color="auto"/>
                <w:color w:val="3635D6"/>
                <w:w w:val="88"/>
              </w:rPr>
            </w:pPr>
            <w:hyperlink w:anchor="page7">
              <w:r>
                <w:rPr>
                  <w:rFonts w:ascii="Times New Roman" w:cs="Times New Roman" w:eastAsia="Times New Roman" w:hAnsi="Times New Roman"/>
                  <w:sz w:val="18"/>
                  <w:szCs w:val="18"/>
                  <w:u w:val="single" w:color="auto"/>
                  <w:color w:val="3635D6"/>
                  <w:w w:val="88"/>
                </w:rPr>
                <w:t>8</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8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2021 and January 3, 2020</w:t>
            </w: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spacing w:after="0"/>
              <w:rPr>
                <w:sz w:val="19"/>
                <w:szCs w:val="19"/>
                <w:color w:val="auto"/>
              </w:rPr>
            </w:pPr>
          </w:p>
        </w:tc>
        <w:tc>
          <w:tcPr>
            <w:tcW w:w="8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Condensed Consolidated Statements of Cash Flows — Six Months Ended January 1, 2021 and January 3, 2020</w:t>
            </w:r>
          </w:p>
        </w:tc>
        <w:tc>
          <w:tcPr>
            <w:tcW w:w="1440" w:type="dxa"/>
            <w:vAlign w:val="bottom"/>
            <w:shd w:val="clear" w:color="auto" w:fill="CCEEFF"/>
          </w:tcPr>
          <w:p>
            <w:pPr>
              <w:jc w:val="center"/>
              <w:spacing w:after="0"/>
              <w:rPr>
                <w:rFonts w:ascii="Times New Roman" w:cs="Times New Roman" w:eastAsia="Times New Roman" w:hAnsi="Times New Roman"/>
                <w:sz w:val="18"/>
                <w:szCs w:val="18"/>
                <w:u w:val="single" w:color="auto"/>
                <w:color w:val="3635D6"/>
                <w:w w:val="88"/>
              </w:rPr>
            </w:pPr>
            <w:hyperlink w:anchor="page8">
              <w:r>
                <w:rPr>
                  <w:rFonts w:ascii="Times New Roman" w:cs="Times New Roman" w:eastAsia="Times New Roman" w:hAnsi="Times New Roman"/>
                  <w:sz w:val="18"/>
                  <w:szCs w:val="18"/>
                  <w:u w:val="single" w:color="auto"/>
                  <w:color w:val="3635D6"/>
                  <w:w w:val="88"/>
                </w:rPr>
                <w:t>9</w:t>
              </w:r>
            </w:hyperlink>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894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Shareholders' Equity — Six Months Ended January 1, 2021 and January 3,</w:t>
            </w:r>
          </w:p>
        </w:tc>
        <w:tc>
          <w:tcPr>
            <w:tcW w:w="1440" w:type="dxa"/>
            <w:vAlign w:val="bottom"/>
            <w:vMerge w:val="restart"/>
          </w:tcPr>
          <w:p>
            <w:pPr>
              <w:jc w:val="center"/>
              <w:spacing w:after="0"/>
              <w:rPr>
                <w:rFonts w:ascii="Times New Roman" w:cs="Times New Roman" w:eastAsia="Times New Roman" w:hAnsi="Times New Roman"/>
                <w:sz w:val="18"/>
                <w:szCs w:val="18"/>
                <w:u w:val="single" w:color="auto"/>
                <w:color w:val="3635D6"/>
                <w:w w:val="99"/>
              </w:rPr>
            </w:pPr>
            <w:hyperlink w:anchor="page9">
              <w:r>
                <w:rPr>
                  <w:rFonts w:ascii="Times New Roman" w:cs="Times New Roman" w:eastAsia="Times New Roman" w:hAnsi="Times New Roman"/>
                  <w:sz w:val="18"/>
                  <w:szCs w:val="18"/>
                  <w:u w:val="single" w:color="auto"/>
                  <w:color w:val="3635D6"/>
                  <w:w w:val="99"/>
                </w:rPr>
                <w:t>10</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8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2020</w:t>
            </w: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spacing w:after="0"/>
              <w:rPr>
                <w:sz w:val="19"/>
                <w:szCs w:val="19"/>
                <w:color w:val="auto"/>
              </w:rPr>
            </w:pPr>
          </w:p>
        </w:tc>
        <w:tc>
          <w:tcPr>
            <w:tcW w:w="8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1440" w:type="dxa"/>
            <w:vAlign w:val="bottom"/>
            <w:shd w:val="clear" w:color="auto" w:fill="CCEEFF"/>
          </w:tcPr>
          <w:p>
            <w:pPr>
              <w:jc w:val="center"/>
              <w:spacing w:after="0"/>
              <w:rPr>
                <w:rFonts w:ascii="Times New Roman" w:cs="Times New Roman" w:eastAsia="Times New Roman" w:hAnsi="Times New Roman"/>
                <w:sz w:val="18"/>
                <w:szCs w:val="18"/>
                <w:u w:val="single" w:color="auto"/>
                <w:color w:val="3635D6"/>
                <w:w w:val="99"/>
              </w:rPr>
            </w:pPr>
            <w:hyperlink w:anchor="page11">
              <w:r>
                <w:rPr>
                  <w:rFonts w:ascii="Times New Roman" w:cs="Times New Roman" w:eastAsia="Times New Roman" w:hAnsi="Times New Roman"/>
                  <w:sz w:val="18"/>
                  <w:szCs w:val="18"/>
                  <w:u w:val="single" w:color="auto"/>
                  <w:color w:val="3635D6"/>
                  <w:w w:val="99"/>
                </w:rPr>
                <w:t>12</w:t>
              </w:r>
            </w:hyperlink>
          </w:p>
        </w:tc>
        <w:tc>
          <w:tcPr>
            <w:tcW w:w="0" w:type="dxa"/>
            <w:vAlign w:val="bottom"/>
          </w:tcPr>
          <w:p>
            <w:pPr>
              <w:spacing w:after="0"/>
              <w:rPr>
                <w:sz w:val="1"/>
                <w:szCs w:val="1"/>
                <w:color w:val="auto"/>
              </w:rPr>
            </w:pPr>
          </w:p>
        </w:tc>
      </w:tr>
      <w:tr>
        <w:trPr>
          <w:trHeight w:val="229"/>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440" w:type="dxa"/>
            <w:vAlign w:val="bottom"/>
          </w:tcPr>
          <w:p>
            <w:pPr>
              <w:jc w:val="center"/>
              <w:spacing w:after="0"/>
              <w:rPr>
                <w:rFonts w:ascii="Times New Roman" w:cs="Times New Roman" w:eastAsia="Times New Roman" w:hAnsi="Times New Roman"/>
                <w:sz w:val="18"/>
                <w:szCs w:val="18"/>
                <w:u w:val="single" w:color="auto"/>
                <w:color w:val="3635D6"/>
                <w:w w:val="99"/>
              </w:rPr>
            </w:pPr>
            <w:hyperlink w:anchor="page35">
              <w:r>
                <w:rPr>
                  <w:rFonts w:ascii="Times New Roman" w:cs="Times New Roman" w:eastAsia="Times New Roman" w:hAnsi="Times New Roman"/>
                  <w:sz w:val="18"/>
                  <w:szCs w:val="18"/>
                  <w:u w:val="single" w:color="auto"/>
                  <w:color w:val="3635D6"/>
                  <w:w w:val="99"/>
                </w:rPr>
                <w:t>36</w:t>
              </w:r>
            </w:hyperlink>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8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440" w:type="dxa"/>
            <w:vAlign w:val="bottom"/>
            <w:shd w:val="clear" w:color="auto" w:fill="CCEEFF"/>
          </w:tcPr>
          <w:p>
            <w:pPr>
              <w:jc w:val="center"/>
              <w:spacing w:after="0"/>
              <w:rPr>
                <w:rFonts w:ascii="Times New Roman" w:cs="Times New Roman" w:eastAsia="Times New Roman" w:hAnsi="Times New Roman"/>
                <w:sz w:val="18"/>
                <w:szCs w:val="18"/>
                <w:u w:val="single" w:color="auto"/>
                <w:color w:val="3635D6"/>
                <w:w w:val="99"/>
              </w:rPr>
            </w:pPr>
            <w:hyperlink w:anchor="page48">
              <w:r>
                <w:rPr>
                  <w:rFonts w:ascii="Times New Roman" w:cs="Times New Roman" w:eastAsia="Times New Roman" w:hAnsi="Times New Roman"/>
                  <w:sz w:val="18"/>
                  <w:szCs w:val="18"/>
                  <w:u w:val="single" w:color="auto"/>
                  <w:color w:val="3635D6"/>
                  <w:w w:val="99"/>
                </w:rPr>
                <w:t>49</w:t>
              </w:r>
            </w:hyperlink>
          </w:p>
        </w:tc>
        <w:tc>
          <w:tcPr>
            <w:tcW w:w="0" w:type="dxa"/>
            <w:vAlign w:val="bottom"/>
          </w:tcPr>
          <w:p>
            <w:pPr>
              <w:spacing w:after="0"/>
              <w:rPr>
                <w:sz w:val="1"/>
                <w:szCs w:val="1"/>
                <w:color w:val="auto"/>
              </w:rPr>
            </w:pPr>
          </w:p>
        </w:tc>
      </w:tr>
      <w:tr>
        <w:trPr>
          <w:trHeight w:val="238"/>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Controls and Procedures</w:t>
            </w:r>
          </w:p>
        </w:tc>
        <w:tc>
          <w:tcPr>
            <w:tcW w:w="1440" w:type="dxa"/>
            <w:vAlign w:val="bottom"/>
          </w:tcPr>
          <w:p>
            <w:pPr>
              <w:jc w:val="center"/>
              <w:spacing w:after="0"/>
              <w:rPr>
                <w:rFonts w:ascii="Times New Roman" w:cs="Times New Roman" w:eastAsia="Times New Roman" w:hAnsi="Times New Roman"/>
                <w:sz w:val="18"/>
                <w:szCs w:val="18"/>
                <w:u w:val="single" w:color="auto"/>
                <w:color w:val="3635D6"/>
                <w:w w:val="99"/>
              </w:rPr>
            </w:pPr>
            <w:hyperlink w:anchor="page49">
              <w:r>
                <w:rPr>
                  <w:rFonts w:ascii="Times New Roman" w:cs="Times New Roman" w:eastAsia="Times New Roman" w:hAnsi="Times New Roman"/>
                  <w:sz w:val="18"/>
                  <w:szCs w:val="18"/>
                  <w:u w:val="single" w:color="auto"/>
                  <w:color w:val="3635D6"/>
                  <w:w w:val="99"/>
                </w:rPr>
                <w:t>49</w:t>
              </w:r>
            </w:hyperlink>
          </w:p>
        </w:tc>
        <w:tc>
          <w:tcPr>
            <w:tcW w:w="0" w:type="dxa"/>
            <w:vAlign w:val="bottom"/>
          </w:tcPr>
          <w:p>
            <w:pPr>
              <w:spacing w:after="0"/>
              <w:rPr>
                <w:sz w:val="1"/>
                <w:szCs w:val="1"/>
                <w:color w:val="auto"/>
              </w:rPr>
            </w:pPr>
          </w:p>
        </w:tc>
      </w:tr>
      <w:tr>
        <w:trPr>
          <w:trHeight w:val="491"/>
        </w:trPr>
        <w:tc>
          <w:tcPr>
            <w:tcW w:w="860" w:type="dxa"/>
            <w:vAlign w:val="bottom"/>
          </w:tcPr>
          <w:p>
            <w:pPr>
              <w:spacing w:after="0"/>
              <w:rPr>
                <w:sz w:val="24"/>
                <w:szCs w:val="24"/>
                <w:color w:val="auto"/>
              </w:rPr>
            </w:pPr>
          </w:p>
        </w:tc>
        <w:tc>
          <w:tcPr>
            <w:tcW w:w="8940" w:type="dxa"/>
            <w:vAlign w:val="bottom"/>
          </w:tcPr>
          <w:p>
            <w:pPr>
              <w:ind w:left="338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Legal Proceedings</w:t>
            </w:r>
          </w:p>
        </w:tc>
        <w:tc>
          <w:tcPr>
            <w:tcW w:w="1440" w:type="dxa"/>
            <w:vAlign w:val="bottom"/>
            <w:shd w:val="clear" w:color="auto" w:fill="CCEEFF"/>
          </w:tcPr>
          <w:p>
            <w:pPr>
              <w:jc w:val="center"/>
              <w:spacing w:after="0"/>
              <w:rPr>
                <w:rFonts w:ascii="Times New Roman" w:cs="Times New Roman" w:eastAsia="Times New Roman" w:hAnsi="Times New Roman"/>
                <w:sz w:val="18"/>
                <w:szCs w:val="18"/>
                <w:u w:val="single" w:color="auto"/>
                <w:color w:val="3635D6"/>
                <w:w w:val="99"/>
              </w:rPr>
            </w:pPr>
            <w:hyperlink w:anchor="page50">
              <w:r>
                <w:rPr>
                  <w:rFonts w:ascii="Times New Roman" w:cs="Times New Roman" w:eastAsia="Times New Roman" w:hAnsi="Times New Roman"/>
                  <w:sz w:val="18"/>
                  <w:szCs w:val="18"/>
                  <w:u w:val="single" w:color="auto"/>
                  <w:color w:val="3635D6"/>
                  <w:w w:val="99"/>
                </w:rPr>
                <w:t>50</w:t>
              </w:r>
            </w:hyperlink>
          </w:p>
        </w:tc>
        <w:tc>
          <w:tcPr>
            <w:tcW w:w="0" w:type="dxa"/>
            <w:vAlign w:val="bottom"/>
          </w:tcPr>
          <w:p>
            <w:pPr>
              <w:spacing w:after="0"/>
              <w:rPr>
                <w:sz w:val="1"/>
                <w:szCs w:val="1"/>
                <w:color w:val="auto"/>
              </w:rPr>
            </w:pPr>
          </w:p>
        </w:tc>
      </w:tr>
      <w:tr>
        <w:trPr>
          <w:trHeight w:val="229"/>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Risk Factors</w:t>
            </w:r>
          </w:p>
        </w:tc>
        <w:tc>
          <w:tcPr>
            <w:tcW w:w="1440" w:type="dxa"/>
            <w:vAlign w:val="bottom"/>
          </w:tcPr>
          <w:p>
            <w:pPr>
              <w:jc w:val="center"/>
              <w:spacing w:after="0"/>
              <w:rPr>
                <w:rFonts w:ascii="Times New Roman" w:cs="Times New Roman" w:eastAsia="Times New Roman" w:hAnsi="Times New Roman"/>
                <w:sz w:val="18"/>
                <w:szCs w:val="18"/>
                <w:u w:val="single" w:color="auto"/>
                <w:color w:val="3635D6"/>
                <w:w w:val="99"/>
              </w:rPr>
            </w:pPr>
            <w:hyperlink w:anchor="page50">
              <w:r>
                <w:rPr>
                  <w:rFonts w:ascii="Times New Roman" w:cs="Times New Roman" w:eastAsia="Times New Roman" w:hAnsi="Times New Roman"/>
                  <w:sz w:val="18"/>
                  <w:szCs w:val="18"/>
                  <w:u w:val="single" w:color="auto"/>
                  <w:color w:val="3635D6"/>
                  <w:w w:val="99"/>
                </w:rPr>
                <w:t>50</w:t>
              </w:r>
            </w:hyperlink>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Exhibits</w:t>
            </w:r>
          </w:p>
        </w:tc>
        <w:tc>
          <w:tcPr>
            <w:tcW w:w="1440" w:type="dxa"/>
            <w:vAlign w:val="bottom"/>
            <w:shd w:val="clear" w:color="auto" w:fill="CCEEFF"/>
          </w:tcPr>
          <w:p>
            <w:pPr>
              <w:jc w:val="center"/>
              <w:spacing w:after="0"/>
              <w:rPr>
                <w:rFonts w:ascii="Times New Roman" w:cs="Times New Roman" w:eastAsia="Times New Roman" w:hAnsi="Times New Roman"/>
                <w:sz w:val="18"/>
                <w:szCs w:val="18"/>
                <w:u w:val="single" w:color="auto"/>
                <w:color w:val="3635D6"/>
                <w:w w:val="99"/>
              </w:rPr>
            </w:pPr>
            <w:hyperlink w:anchor="page50">
              <w:r>
                <w:rPr>
                  <w:rFonts w:ascii="Times New Roman" w:cs="Times New Roman" w:eastAsia="Times New Roman" w:hAnsi="Times New Roman"/>
                  <w:sz w:val="18"/>
                  <w:szCs w:val="18"/>
                  <w:u w:val="single" w:color="auto"/>
                  <w:color w:val="3635D6"/>
                  <w:w w:val="99"/>
                </w:rPr>
                <w:t>51</w:t>
              </w:r>
            </w:hyperlink>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right="480"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203"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WDC, a Delaware corporation, is the parent company of our data storage business. Our principal executive offices are located at 5601 Great Oaks Parkway, San Jose, California 95119. Our telephone number is (408) 717-6000.</w:t>
      </w:r>
    </w:p>
    <w:p>
      <w:pPr>
        <w:spacing w:after="0" w:line="18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Western Digital, the Western Digital logo, G-Technology, SanDisk and WD are registered trademarks or trademarks of Western Digital or its affiliates in the U.S. 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21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regarding the effects of the COVID-19 pandemic and measures intended to reduce its spread;</w:t>
      </w:r>
    </w:p>
    <w:p>
      <w:pPr>
        <w:spacing w:after="0" w:line="2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regarding demand conditions and the ramp of our new products;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regarding our Flash Ventures joint venture with Kioxia Corporation, the flash industry and our flash wafer output plans;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regarding the outcome of legal proceedings in which we are involved;</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reinvestment in the business and ongoing deleveraging efforts;</w:t>
      </w:r>
    </w:p>
    <w:p>
      <w:pPr>
        <w:spacing w:after="0" w:line="9" w:lineRule="exact"/>
        <w:rPr>
          <w:rFonts w:ascii="Times New Roman" w:cs="Times New Roman" w:eastAsia="Times New Roman" w:hAnsi="Times New Roman"/>
          <w:sz w:val="18"/>
          <w:szCs w:val="18"/>
          <w:i w:val="1"/>
          <w:iCs w:val="1"/>
          <w:color w:val="auto"/>
        </w:rPr>
      </w:pPr>
    </w:p>
    <w:p>
      <w:pPr>
        <w:ind w:left="660" w:right="1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beliefs regarding tax benefits and the timing of future payments, if any, relating to the unrecognized tax benefits, and the adequacy of our tax provisions;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regarding capital investments and sources of funding for those investments; and</w:t>
      </w:r>
    </w:p>
    <w:p>
      <w:pPr>
        <w:spacing w:after="0" w:line="9" w:lineRule="exact"/>
        <w:rPr>
          <w:rFonts w:ascii="Times New Roman" w:cs="Times New Roman" w:eastAsia="Times New Roman" w:hAnsi="Times New Roman"/>
          <w:sz w:val="18"/>
          <w:szCs w:val="18"/>
          <w:color w:val="auto"/>
        </w:rPr>
      </w:pPr>
    </w:p>
    <w:p>
      <w:pPr>
        <w:ind w:left="660" w:right="440" w:hanging="328"/>
        <w:spacing w:after="0" w:line="26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beliefs regarding the sufficiency of our available liquidity to meet our working capital, debt and capital expenditure needs as well as our dividend plans.</w:t>
      </w:r>
    </w:p>
    <w:p>
      <w:pPr>
        <w:spacing w:after="0" w:line="206" w:lineRule="exact"/>
        <w:rPr>
          <w:sz w:val="20"/>
          <w:szCs w:val="20"/>
          <w:color w:val="auto"/>
        </w:rPr>
      </w:pPr>
    </w:p>
    <w:p>
      <w:pPr>
        <w:ind w:right="220" w:firstLine="324"/>
        <w:spacing w:after="0" w:line="314" w:lineRule="auto"/>
        <w:rPr>
          <w:sz w:val="20"/>
          <w:szCs w:val="20"/>
          <w:color w:val="auto"/>
        </w:rPr>
      </w:pPr>
      <w:r>
        <w:rPr>
          <w:rFonts w:ascii="Times New Roman" w:cs="Times New Roman" w:eastAsia="Times New Roman" w:hAnsi="Times New Roman"/>
          <w:sz w:val="17"/>
          <w:szCs w:val="17"/>
          <w:i w:val="1"/>
          <w:iCs w:val="1"/>
          <w:color w:val="auto"/>
        </w:rPr>
        <w:t>These forward-looking statements are based on information available to the Company as of the date of this Quarterly Report on Form 10-Q and are based on management’s current views and assumptions. They are conditioned upon and involve a number of risks, uncertainties and other factors that</w:t>
      </w:r>
    </w:p>
    <w:p>
      <w:pPr>
        <w:spacing w:after="0" w:line="1"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could cause actual results or performance to differ materially from those expressed in the forward-looking statements. These risks and uncertainties include, but are not limited to:</w:t>
      </w:r>
    </w:p>
    <w:p>
      <w:pPr>
        <w:spacing w:after="0" w:line="20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future responses to and effects of the COVID-19 pandemic;</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volatility in global economic conditions;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impact of business and market conditions;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impact of competitive products and pricing;</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our development and introduction of products based on new technologies and expansion into new data storage markets;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risks associated with cost saving initiatives, restructurings, acquisitions, divestitures, mergers, joint ventures and our strategic relationships;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difficulties or delays in manufacturing or other supply chain disruptions;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hiring and retention of key employees;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our high level of debt and other financial obligations;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changes to our relationships with key customers;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disruptions in operations from cyberattacks or other system security risks;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actions by competitors;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risks associated with compliance with changing legal and regulatory requirements and the outcome of legal proceedings; and</w:t>
      </w:r>
    </w:p>
    <w:p>
      <w:pPr>
        <w:spacing w:after="0" w:line="1" w:lineRule="exact"/>
        <w:rPr>
          <w:rFonts w:ascii="Arial" w:cs="Arial" w:eastAsia="Arial" w:hAnsi="Arial"/>
          <w:sz w:val="22"/>
          <w:szCs w:val="22"/>
          <w:color w:val="auto"/>
        </w:rPr>
      </w:pPr>
    </w:p>
    <w:p>
      <w:pPr>
        <w:ind w:left="660" w:hanging="328"/>
        <w:spacing w:after="0" w:line="258"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other risks and uncertainties disclosed in Part I, Item 1A of our Annual Report on Form 10-K for the fiscal year ended July 3, 2020 (the “2020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You are urged to carefully review the disclosures we make concerning these risks and review the additional disclosures we make concerning material risks and other factors that may affect the outcome of our forward-looking statements and our business and operating results, including those made in Part I, Item 1A of our 2020 Annual Report on Form 10-K and any of those made in our other reports filed with the Securities and Exchange Commission, including under “Risk Factors” in Item 1A of subsequent Annual Reports on Form 10-K and Quarterly Reports on Form 10-Q that may from time to time amend, supplement or supersede the risks and uncertainties disclosed in the 2020 Annual Report on Form 10-K. You are cautioned not to place undue reliance on the forward-looking statements included in this Quarterly Report on Form 10-Q, which speak only as of the date of this document. We do not intend, and undertake no obligation, to update or revise these forward-looking statements to reflect events or circumstances after the date of this document or to reflect the occurrence of unanticipated events, except as required by law.</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 FINANCIAL INFORMATION</w:t>
      </w:r>
    </w:p>
    <w:p>
      <w:pPr>
        <w:spacing w:after="0" w:line="2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 (unaudited)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320" w:type="dxa"/>
            <w:vAlign w:val="bottom"/>
          </w:tcPr>
          <w:p>
            <w:pPr>
              <w:spacing w:after="0"/>
              <w:rPr>
                <w:sz w:val="13"/>
                <w:szCs w:val="13"/>
                <w:color w:val="auto"/>
              </w:rPr>
            </w:pPr>
          </w:p>
        </w:tc>
        <w:tc>
          <w:tcPr>
            <w:tcW w:w="11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5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9,048</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and investments in Flash Ventures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10,067</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0" w:type="dxa"/>
            <w:vAlign w:val="bottom"/>
          </w:tcPr>
          <w:p>
            <w:pPr>
              <w:spacing w:after="0"/>
              <w:rPr>
                <w:sz w:val="1"/>
                <w:szCs w:val="1"/>
                <w:color w:val="auto"/>
              </w:rPr>
            </w:pPr>
          </w:p>
        </w:tc>
      </w:tr>
      <w:tr>
        <w:trPr>
          <w:trHeight w:val="234"/>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386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to related parties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9,289</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0" w:type="dxa"/>
            <w:vAlign w:val="bottom"/>
          </w:tcPr>
          <w:p>
            <w:pPr>
              <w:spacing w:after="0"/>
              <w:rPr>
                <w:sz w:val="1"/>
                <w:szCs w:val="1"/>
                <w:color w:val="auto"/>
              </w:rPr>
            </w:pP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16,111</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9, 10, 12 and 15)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$0.01 par value; authorized — 5 shares; issued and outstanding — none</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2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$0.01 par value; authorized — 450 shares; issued — 312 shares; outstanding — 306 shares and 302 shares,</w:t>
            </w:r>
          </w:p>
        </w:tc>
        <w:tc>
          <w:tcPr>
            <w:tcW w:w="2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2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6,725</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Treasury stock — common shares at cost; 6 shares and 10 shares, respectively</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9,551</w:t>
            </w:r>
          </w:p>
        </w:tc>
        <w:tc>
          <w:tcPr>
            <w:tcW w:w="0" w:type="dxa"/>
            <w:vAlign w:val="bottom"/>
          </w:tcPr>
          <w:p>
            <w:pPr>
              <w:spacing w:after="0"/>
              <w:rPr>
                <w:sz w:val="1"/>
                <w:szCs w:val="1"/>
                <w:color w:val="auto"/>
              </w:rPr>
            </w:pP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25,552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25,662</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70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34"/>
        </w:trPr>
        <w:tc>
          <w:tcPr>
            <w:tcW w:w="49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r>
      <w:tr>
        <w:trPr>
          <w:trHeight w:val="189"/>
        </w:trPr>
        <w:tc>
          <w:tcPr>
            <w:tcW w:w="49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8,274</w:t>
            </w:r>
          </w:p>
        </w:tc>
      </w:tr>
      <w:tr>
        <w:trPr>
          <w:trHeight w:val="213"/>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6,581</w:t>
            </w:r>
          </w:p>
        </w:tc>
      </w:tr>
      <w:tr>
        <w:trPr>
          <w:trHeight w:val="212"/>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w:t>
            </w:r>
          </w:p>
        </w:tc>
      </w:tr>
      <w:tr>
        <w:trPr>
          <w:trHeight w:val="19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r>
      <w:tr>
        <w:trPr>
          <w:trHeight w:val="21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termination, asset impairment, and other charges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7"/>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1,772</w:t>
            </w:r>
          </w:p>
        </w:tc>
      </w:tr>
      <w:tr>
        <w:trPr>
          <w:trHeight w:val="212"/>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21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7"/>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12"/>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13"/>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35"/>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4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per common share</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56"/>
        </w:trPr>
        <w:tc>
          <w:tcPr>
            <w:tcW w:w="4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1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56"/>
        </w:trPr>
        <w:tc>
          <w:tcPr>
            <w:tcW w:w="4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declared per share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bl>
    <w:p>
      <w:pPr>
        <w:spacing w:after="0" w:line="33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60" w:type="dxa"/>
            <w:vAlign w:val="bottom"/>
          </w:tcPr>
          <w:p>
            <w:pPr>
              <w:spacing w:after="0"/>
              <w:rPr>
                <w:sz w:val="11"/>
                <w:szCs w:val="11"/>
                <w:color w:val="auto"/>
              </w:rPr>
            </w:pPr>
          </w:p>
        </w:tc>
        <w:tc>
          <w:tcPr>
            <w:tcW w:w="1180" w:type="dxa"/>
            <w:vAlign w:val="bottom"/>
          </w:tcPr>
          <w:p>
            <w:pPr>
              <w:jc w:val="right"/>
              <w:ind w:right="301"/>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Actuarial pension gain</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65"/>
        </w:trPr>
        <w:tc>
          <w:tcPr>
            <w:tcW w:w="52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Net unrealized gain (loss) on derivative contracts and available-for-sale</w:t>
            </w:r>
          </w:p>
        </w:tc>
        <w:tc>
          <w:tcPr>
            <w:tcW w:w="10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w:t>
            </w: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other comprehensive income (loss), before tax</w:t>
            </w:r>
          </w:p>
        </w:tc>
        <w:tc>
          <w:tcPr>
            <w:tcW w:w="10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65"/>
        </w:trPr>
        <w:tc>
          <w:tcPr>
            <w:tcW w:w="52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w:t>
            </w:r>
          </w:p>
        </w:tc>
        <w:tc>
          <w:tcPr>
            <w:tcW w:w="10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tax</w:t>
            </w: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3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(159)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260" w:type="dxa"/>
            <w:vAlign w:val="bottom"/>
          </w:tcPr>
          <w:p>
            <w:pPr>
              <w:spacing w:after="0"/>
              <w:rPr>
                <w:sz w:val="11"/>
                <w:szCs w:val="11"/>
                <w:color w:val="auto"/>
              </w:rPr>
            </w:pPr>
          </w:p>
        </w:tc>
        <w:tc>
          <w:tcPr>
            <w:tcW w:w="106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operations:</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89"/>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disposal of assets</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9"/>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debt discounts</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non-cash operating activities, net</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9"/>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w:t>
            </w: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189"/>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Inventories</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89"/>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 to related parties</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89"/>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10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82"/>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0" w:type="dxa"/>
            <w:vAlign w:val="bottom"/>
          </w:tcPr>
          <w:p>
            <w:pPr>
              <w:spacing w:after="0"/>
              <w:rPr>
                <w:sz w:val="1"/>
                <w:szCs w:val="1"/>
                <w:color w:val="auto"/>
              </w:rPr>
            </w:pPr>
          </w:p>
        </w:tc>
      </w:tr>
      <w:tr>
        <w:trPr>
          <w:trHeight w:val="16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sale of property, plant and equipment</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106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receivable issuances to Flash Ventures</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receivable proceeds from Flash Ventures</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Strategic investments and other, net</w:t>
            </w:r>
          </w:p>
        </w:tc>
        <w:tc>
          <w:tcPr>
            <w:tcW w:w="10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2"/>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6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 under employee stock plans</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 paid on vested stock awards under employee stock plans</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paid to shareholders</w:t>
            </w:r>
          </w:p>
        </w:tc>
        <w:tc>
          <w:tcPr>
            <w:tcW w:w="106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debt</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0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0" w:type="dxa"/>
            <w:vAlign w:val="bottom"/>
          </w:tcPr>
          <w:p>
            <w:pPr>
              <w:spacing w:after="0"/>
              <w:rPr>
                <w:sz w:val="1"/>
                <w:szCs w:val="1"/>
                <w:color w:val="auto"/>
              </w:rPr>
            </w:pPr>
          </w:p>
        </w:tc>
      </w:tr>
      <w:tr>
        <w:trPr>
          <w:trHeight w:val="182"/>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10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3,048</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3,455</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2,956</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3,137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2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106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6"/>
                <w:szCs w:val="16"/>
                <w:color w:val="auto"/>
              </w:rPr>
            </w:pP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760" w:type="dxa"/>
            <w:vAlign w:val="bottom"/>
            <w:gridSpan w:val="4"/>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vMerge w:val="restart"/>
          </w:tcPr>
          <w:p>
            <w:pPr>
              <w:spacing w:after="0"/>
              <w:rPr>
                <w:sz w:val="13"/>
                <w:szCs w:val="13"/>
                <w:color w:val="auto"/>
              </w:rPr>
            </w:pPr>
          </w:p>
        </w:tc>
        <w:tc>
          <w:tcPr>
            <w:tcW w:w="176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8"/>
                <w:szCs w:val="8"/>
                <w:color w:val="auto"/>
              </w:rPr>
            </w:pPr>
          </w:p>
        </w:tc>
        <w:tc>
          <w:tcPr>
            <w:tcW w:w="17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7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tcPr>
          <w:p>
            <w:pPr>
              <w:jc w:val="center"/>
              <w:ind w:right="240"/>
              <w:spacing w:after="0" w:line="103" w:lineRule="exact"/>
              <w:rPr>
                <w:sz w:val="20"/>
                <w:szCs w:val="20"/>
                <w:color w:val="auto"/>
              </w:rPr>
            </w:pPr>
            <w:r>
              <w:rPr>
                <w:rFonts w:ascii="Times New Roman" w:cs="Times New Roman" w:eastAsia="Times New Roman" w:hAnsi="Times New Roman"/>
                <w:sz w:val="11"/>
                <w:szCs w:val="11"/>
                <w:b w:val="1"/>
                <w:bCs w:val="1"/>
                <w:color w:val="auto"/>
              </w:rPr>
              <w:t>Paid-In</w:t>
            </w:r>
          </w:p>
        </w:tc>
        <w:tc>
          <w:tcPr>
            <w:tcW w:w="140" w:type="dxa"/>
            <w:vAlign w:val="bottom"/>
          </w:tcPr>
          <w:p>
            <w:pPr>
              <w:spacing w:after="0"/>
              <w:rPr>
                <w:sz w:val="8"/>
                <w:szCs w:val="8"/>
                <w:color w:val="auto"/>
              </w:rPr>
            </w:pPr>
          </w:p>
        </w:tc>
        <w:tc>
          <w:tcPr>
            <w:tcW w:w="1280" w:type="dxa"/>
            <w:vAlign w:val="bottom"/>
            <w:gridSpan w:val="2"/>
          </w:tcPr>
          <w:p>
            <w:pPr>
              <w:jc w:val="center"/>
              <w:ind w:right="240"/>
              <w:spacing w:after="0" w:line="103"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40" w:type="dxa"/>
            <w:vAlign w:val="bottom"/>
          </w:tcPr>
          <w:p>
            <w:pPr>
              <w:spacing w:after="0"/>
              <w:rPr>
                <w:sz w:val="8"/>
                <w:szCs w:val="8"/>
                <w:color w:val="auto"/>
              </w:rPr>
            </w:pPr>
          </w:p>
        </w:tc>
        <w:tc>
          <w:tcPr>
            <w:tcW w:w="94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20" w:type="dxa"/>
            <w:vAlign w:val="bottom"/>
          </w:tcPr>
          <w:p>
            <w:pPr>
              <w:spacing w:after="0"/>
              <w:rPr>
                <w:sz w:val="8"/>
                <w:szCs w:val="8"/>
                <w:color w:val="auto"/>
              </w:rPr>
            </w:pPr>
          </w:p>
        </w:tc>
        <w:tc>
          <w:tcPr>
            <w:tcW w:w="1100" w:type="dxa"/>
            <w:vAlign w:val="bottom"/>
          </w:tcPr>
          <w:p>
            <w:pPr>
              <w:jc w:val="center"/>
              <w:ind w:right="49"/>
              <w:spacing w:after="0" w:line="103"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0" w:type="dxa"/>
            <w:vAlign w:val="bottom"/>
          </w:tcPr>
          <w:p>
            <w:pPr>
              <w:spacing w:after="0"/>
              <w:rPr>
                <w:sz w:val="1"/>
                <w:szCs w:val="1"/>
                <w:color w:val="auto"/>
              </w:rPr>
            </w:pPr>
          </w:p>
        </w:tc>
      </w:tr>
      <w:tr>
        <w:trPr>
          <w:trHeight w:val="201"/>
        </w:trPr>
        <w:tc>
          <w:tcPr>
            <w:tcW w:w="2700" w:type="dxa"/>
            <w:vAlign w:val="bottom"/>
          </w:tcPr>
          <w:p>
            <w:pPr>
              <w:spacing w:after="0"/>
              <w:rPr>
                <w:sz w:val="17"/>
                <w:szCs w:val="17"/>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10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July 3, 2020</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9,551</w:t>
            </w:r>
          </w:p>
        </w:tc>
        <w:tc>
          <w:tcPr>
            <w:tcW w:w="0" w:type="dxa"/>
            <w:vAlign w:val="bottom"/>
          </w:tcPr>
          <w:p>
            <w:pPr>
              <w:spacing w:after="0"/>
              <w:rPr>
                <w:sz w:val="1"/>
                <w:szCs w:val="1"/>
                <w:color w:val="auto"/>
              </w:rPr>
            </w:pPr>
          </w:p>
        </w:tc>
      </w:tr>
      <w:tr>
        <w:trPr>
          <w:trHeight w:val="189"/>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Adoption of new accounting standards</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9"/>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Employee stock plans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89"/>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Actuarial pension gain</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9"/>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unrealized gain on derivative contracts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8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October 2, 2020</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9,576</w:t>
            </w:r>
          </w:p>
        </w:tc>
        <w:tc>
          <w:tcPr>
            <w:tcW w:w="0" w:type="dxa"/>
            <w:vAlign w:val="bottom"/>
          </w:tcPr>
          <w:p>
            <w:pPr>
              <w:spacing w:after="0"/>
              <w:rPr>
                <w:sz w:val="1"/>
                <w:szCs w:val="1"/>
                <w:color w:val="auto"/>
              </w:rPr>
            </w:pPr>
          </w:p>
        </w:tc>
      </w:tr>
      <w:tr>
        <w:trPr>
          <w:trHeight w:val="189"/>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8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stock plans</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9"/>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Actuarial pension gain</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unrealized loss on derivative contracts</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3"/>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2021</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6,720</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9,829</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2300" w:type="dxa"/>
            <w:vAlign w:val="bottom"/>
          </w:tcPr>
          <w:p>
            <w:pPr>
              <w:spacing w:after="0"/>
              <w:rPr>
                <w:sz w:val="17"/>
                <w:szCs w:val="17"/>
                <w:color w:val="auto"/>
              </w:rPr>
            </w:pPr>
          </w:p>
        </w:tc>
        <w:tc>
          <w:tcPr>
            <w:tcW w:w="1740" w:type="dxa"/>
            <w:vAlign w:val="bottom"/>
            <w:tcBorders>
              <w:bottom w:val="single" w:sz="8" w:color="auto"/>
            </w:tcBorders>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1760" w:type="dxa"/>
            <w:vAlign w:val="bottom"/>
            <w:tcBorders>
              <w:bottom w:val="single" w:sz="8" w:color="auto"/>
            </w:tcBorders>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300" w:type="dxa"/>
            <w:vAlign w:val="bottom"/>
          </w:tcPr>
          <w:p>
            <w:pPr>
              <w:spacing w:after="0"/>
              <w:rPr>
                <w:sz w:val="10"/>
                <w:szCs w:val="10"/>
                <w:color w:val="auto"/>
              </w:rPr>
            </w:pP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3"/>
          </w:tcPr>
          <w:p>
            <w:pPr>
              <w:jc w:val="center"/>
              <w:ind w:right="120"/>
              <w:spacing w:after="0" w:line="115" w:lineRule="exact"/>
              <w:rPr>
                <w:sz w:val="20"/>
                <w:szCs w:val="20"/>
                <w:color w:val="auto"/>
              </w:rPr>
            </w:pPr>
            <w:r>
              <w:rPr>
                <w:rFonts w:ascii="Times New Roman" w:cs="Times New Roman" w:eastAsia="Times New Roman" w:hAnsi="Times New Roman"/>
                <w:sz w:val="13"/>
                <w:szCs w:val="13"/>
                <w:b w:val="1"/>
                <w:bCs w:val="1"/>
                <w:color w:val="auto"/>
              </w:rPr>
              <w:t>Additional Paid-</w:t>
            </w:r>
          </w:p>
        </w:tc>
        <w:tc>
          <w:tcPr>
            <w:tcW w:w="140" w:type="dxa"/>
            <w:vAlign w:val="bottom"/>
          </w:tcPr>
          <w:p>
            <w:pPr>
              <w:spacing w:after="0"/>
              <w:rPr>
                <w:sz w:val="10"/>
                <w:szCs w:val="10"/>
                <w:color w:val="auto"/>
              </w:rPr>
            </w:pPr>
          </w:p>
        </w:tc>
        <w:tc>
          <w:tcPr>
            <w:tcW w:w="128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80" w:type="dxa"/>
            <w:vAlign w:val="bottom"/>
          </w:tcPr>
          <w:p>
            <w:pPr>
              <w:spacing w:after="0"/>
              <w:rPr>
                <w:sz w:val="10"/>
                <w:szCs w:val="10"/>
                <w:color w:val="auto"/>
              </w:rPr>
            </w:pPr>
          </w:p>
        </w:tc>
        <w:tc>
          <w:tcPr>
            <w:tcW w:w="102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34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Total Shareholders’</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80" w:type="dxa"/>
            <w:vAlign w:val="bottom"/>
          </w:tcPr>
          <w:p>
            <w:pPr>
              <w:spacing w:after="0"/>
              <w:rPr>
                <w:sz w:val="16"/>
                <w:szCs w:val="16"/>
                <w:color w:val="auto"/>
              </w:rPr>
            </w:pPr>
          </w:p>
        </w:tc>
        <w:tc>
          <w:tcPr>
            <w:tcW w:w="10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28, 2019</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7,449</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9,967</w:t>
            </w:r>
          </w:p>
        </w:tc>
        <w:tc>
          <w:tcPr>
            <w:tcW w:w="0" w:type="dxa"/>
            <w:vAlign w:val="bottom"/>
          </w:tcPr>
          <w:p>
            <w:pPr>
              <w:spacing w:after="0"/>
              <w:rPr>
                <w:sz w:val="1"/>
                <w:szCs w:val="1"/>
                <w:color w:val="auto"/>
              </w:rPr>
            </w:pPr>
          </w:p>
        </w:tc>
      </w:tr>
      <w:tr>
        <w:trPr>
          <w:trHeight w:val="189"/>
        </w:trPr>
        <w:tc>
          <w:tcPr>
            <w:tcW w:w="2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135"/>
        </w:trPr>
        <w:tc>
          <w:tcPr>
            <w:tcW w:w="23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4"/>
                <w:szCs w:val="14"/>
                <w:color w:val="auto"/>
              </w:rPr>
              <w:t>Adoption of new accounting</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standards</w:t>
            </w: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89"/>
        </w:trPr>
        <w:tc>
          <w:tcPr>
            <w:tcW w:w="2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to shareholders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Actuarial pension gain</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35"/>
        </w:trPr>
        <w:tc>
          <w:tcPr>
            <w:tcW w:w="230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9"/>
        </w:trPr>
        <w:tc>
          <w:tcPr>
            <w:tcW w:w="2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w:t>
            </w: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4"/>
                <w:szCs w:val="14"/>
                <w:color w:val="auto"/>
              </w:rPr>
              <w:t>Net unrealized loss on derivative</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contracts</w:t>
            </w: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October 4, 2019</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3,728</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7,012</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9,566</w:t>
            </w: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89"/>
        </w:trPr>
        <w:tc>
          <w:tcPr>
            <w:tcW w:w="2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89"/>
        </w:trPr>
        <w:tc>
          <w:tcPr>
            <w:tcW w:w="2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to shareholders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Actuarial pension gain</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35"/>
        </w:trPr>
        <w:tc>
          <w:tcPr>
            <w:tcW w:w="230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9"/>
        </w:trPr>
        <w:tc>
          <w:tcPr>
            <w:tcW w:w="2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w:t>
            </w: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4"/>
                <w:szCs w:val="14"/>
                <w:color w:val="auto"/>
              </w:rPr>
              <w:t>Net unrealized loss on derivative</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contracts</w:t>
            </w: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3, 2020</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3,731</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6,717</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9,379</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340" w:right="266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tab/>
        <w:t>Organization and Basis of Presentation</w:t>
      </w:r>
    </w:p>
    <w:p>
      <w:pPr>
        <w:spacing w:after="0" w:line="256"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auto"/>
        </w:rPr>
        <w:t>Western Digital Corporation (“Western Digital” or the “Company”) is a leading developer, manufacturer, and provider of data storage devices and solutions that address the evolving needs of the information technology (“IT”) industry and the infrastructure that enables the proliferation of data in virtually every other industry. The Company creates environments for data to thrive. The Company is driving the innovation needed to help customers capture, preserve, access and transform an ever-increasing diversity of data. Everywhere data lives, from advanced data centers to mobile sensors to personal devices, the Company’s industry-leading solutions deliver the possibilities of data.</w:t>
      </w:r>
    </w:p>
    <w:p>
      <w:pPr>
        <w:spacing w:after="0" w:line="21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Company’s broad portfolio of technology and products address the following key end markets: Client Devices; Data Center Devices and Solutions; and Client Solutions. The Company also generates license and royalty revenue from its extensive intellectual property (“IP”), which is included in each of these three end market categories.</w:t>
      </w:r>
    </w:p>
    <w:p>
      <w:pPr>
        <w:spacing w:after="0" w:line="201" w:lineRule="exact"/>
        <w:rPr>
          <w:sz w:val="20"/>
          <w:szCs w:val="20"/>
          <w:color w:val="auto"/>
        </w:rPr>
      </w:pPr>
    </w:p>
    <w:p>
      <w:pPr>
        <w:ind w:right="60" w:firstLine="324"/>
        <w:spacing w:after="0" w:line="219" w:lineRule="exact"/>
        <w:rPr>
          <w:sz w:val="20"/>
          <w:szCs w:val="20"/>
          <w:color w:val="auto"/>
        </w:rPr>
      </w:pPr>
      <w:r>
        <w:rPr>
          <w:rFonts w:ascii="Times New Roman" w:cs="Times New Roman" w:eastAsia="Times New Roman" w:hAnsi="Times New Roman"/>
          <w:sz w:val="18"/>
          <w:szCs w:val="18"/>
          <w:color w:val="auto"/>
        </w:rPr>
        <w:t xml:space="preserve">The accounting policies followed by the Company are set forth in Part II, Item 8, Note 1, </w:t>
      </w:r>
      <w:r>
        <w:rPr>
          <w:rFonts w:ascii="Times New Roman" w:cs="Times New Roman" w:eastAsia="Times New Roman" w:hAnsi="Times New Roman"/>
          <w:sz w:val="18"/>
          <w:szCs w:val="18"/>
          <w:i w:val="1"/>
          <w:iCs w:val="1"/>
          <w:color w:val="auto"/>
        </w:rPr>
        <w:t>Organization and Basis of Presentation,</w:t>
      </w:r>
      <w:r>
        <w:rPr>
          <w:rFonts w:ascii="Times New Roman" w:cs="Times New Roman" w:eastAsia="Times New Roman" w:hAnsi="Times New Roman"/>
          <w:sz w:val="18"/>
          <w:szCs w:val="18"/>
          <w:color w:val="auto"/>
        </w:rPr>
        <w:t xml:space="preserve"> of the Notes to Consolidated Financial Statements included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July 3, 2020.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should be read in conjunction with the Consolidated Financial Statements and the notes thereto included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July 3, 2020. The results of operations for interim periods are not necessarily indicative of results to be expected for the full year.</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54"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Company’s fiscal year ends on the Friday nearest to June 30 and typically consists of 52 weeks. Approximately every five to six years, the Company reports a 53-week fiscal year to align the fiscal year with the foregoing policy. Fiscal year 2021, which ends on July 2, 2021, will be comprised of 52 weeks, with all quarters presented consisting of 13 weeks. Fiscal year 2020, which ended on July 3, 2020, was comprised of 53 weeks, with the first quarter consisting of 14 weeks and the remaining quarters consisting of 13 weeks each.</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5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with consideration given to the potential impacts of the coronavirus disease 2019 (“COVID-19”) pandemic. However, actual results could differ materially from these estimates and be significantly affected by the severity and duration of the pandemic, the extent of actions to contain or treat COVID-19, including the effects of ongoing vaccination efforts, how quickly and to what extent normal economic and operating activity can resume, and the severity and duration of the global economic downturn that results from the pandemic.</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5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manufactures, markets, and sells data storage devices and solutions in the U.S. and in foreign countries through its sales personnel, dealers, distributors, retailers, and subsidiaries. Historically, the Company has managed and reported under a single operating segment. Late in the first quarter of fiscal 2021, the Chief Executive Officer, who is the Company’s Chief Operating Decision Maker (“CODM”), announced a decision to reorganize the Company’s business by forming two separate product business units: flash-based products and hard disk drives (“HDD”). The Company is in the process of transitioning to this new operating model and discrete information has not yet been established to align with the new business structure. Management expects to finalize its assessment of its operating segments when the transition is completed, which is expected to be by the end of fiscal 2021.</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tab/>
        <w:t>Recent Accounting Pronouncements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Accounting Pronouncements Recently Adopted</w:t>
      </w:r>
    </w:p>
    <w:p>
      <w:pPr>
        <w:spacing w:after="0" w:line="254"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Updates (“ASU”) No. 2016-13, “Financial Instruments - Credit Losses (Topic 326): Measurement of Credit Losses on Financial Instruments” (“ASU 2016-13”). ASU 2016-13 seeks to provide financial statement users with more decision-useful information about the expected credit losses on financial instruments, including trade receivables, and other commitments to extend credit held by a reporting entity at each reporting date. The amendments require an entity to replace the incurred loss impairment methodology in current U.S. GAAP with a methodology that reflects current expected credit losses and requires consideration of a broader range of reasonable and supportable information to inform credit loss estimates. The amendments are effective for fiscal years (and interim periods within those fiscal years) beginning after December 15, 2019, which for the Company is the first quarter of fiscal 2021. The Company adopted this standard effective July 4, 2020 (the beginning of fiscal 2021) with no material impact on its Condensed Consolidated Financial Statements.</w:t>
      </w:r>
    </w:p>
    <w:p>
      <w:pPr>
        <w:spacing w:after="0" w:line="21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2018, the FASB issued ASU No. 2018-18, “Collaborative Arrangements (Topic 808): Clarifying the Interaction between Topic 808 and Topic 606” (“ASU 2018-18”). ASU 2018-18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This ASU requires retrospective adoption to the date the Company adopted Accounting Standards Codification (ASC) 606 by recognizing a cumulative-effect adjustment to the opening balance of retained earnings of the earliest annual period presented. The Company adopted this standard effective July 4, 2020 (the beginning of fiscal 2021) with no material impact on its Condensed Consolidated Financial Statements.</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5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Simplifying the Accounting for Income Taxes” (“ASU 2019-12”). ASU 2019-12 removes certain exceptions for recognizing deferred taxes for investments, performing intraperiod allocation and calculating income taxes in interim periods. The ASU also adds guidance to reduce complexity in certain areas, including recognizing deferred taxes for tax goodwill and allocating taxes to members of a consolidated group. This ASU is effective for fiscal years (and interim periods within those fiscal years) beginning after December 15, 2020, which for the Company is the first quarter of fiscal 2022. Early adoption is permitted. The Company does not expect this update to have a material impact on its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tab/>
        <w:t>Revenues</w:t>
      </w:r>
    </w:p>
    <w:p>
      <w:pPr>
        <w:spacing w:after="0" w:line="25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Contract assets represent the Company’s rights to consideration where performance obligations are completed but the customer payments are not due until another performance obligation is satisfied. The Company did not have any contract assets as of either January 1, 2021 or July 3, 2020.</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incurs sales commissions and other direct incremental costs to obtain sales contracts. The Company has applied the practical expedient to recognize the direct incremental costs of obtaining contracts as an expense when incurred if the amortization period is expected to be one year or less or the amount is not material, with these costs charged to Selling, general and administrative expenses. Other direct incremental costs to obtain contracts that have an expected benefit of greater than one year are amortized over the period of expected cash flows from the related contracts, and the amortization expense is recorded as a reduction to revenue. Total capitalized contract costs as of January 1, 2021 and July 3, 2020 as well as the related amortization for the three and six months ended January 1, 2021 and January 3, 2020 were not material.</w:t>
      </w:r>
    </w:p>
    <w:p>
      <w:pPr>
        <w:spacing w:after="0" w:line="214"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Contract liabilities relate to customers’ payments in advance of performance under the contract and primarily relate to remaining performance obligations under support and maintenance contracts. As of January 1, 2021 and July 3, 2020, contract liabilities were not material.</w:t>
      </w:r>
    </w:p>
    <w:p>
      <w:pPr>
        <w:spacing w:after="0" w:line="189" w:lineRule="exact"/>
        <w:rPr>
          <w:sz w:val="20"/>
          <w:szCs w:val="20"/>
          <w:color w:val="auto"/>
        </w:rPr>
      </w:pPr>
    </w:p>
    <w:p>
      <w:pPr>
        <w:ind w:right="280" w:firstLine="324"/>
        <w:spacing w:after="0" w:line="254" w:lineRule="auto"/>
        <w:rPr>
          <w:sz w:val="20"/>
          <w:szCs w:val="20"/>
          <w:color w:val="auto"/>
        </w:rPr>
      </w:pPr>
      <w:r>
        <w:rPr>
          <w:rFonts w:ascii="Times New Roman" w:cs="Times New Roman" w:eastAsia="Times New Roman" w:hAnsi="Times New Roman"/>
          <w:sz w:val="18"/>
          <w:szCs w:val="18"/>
          <w:color w:val="auto"/>
        </w:rPr>
        <w:t>The Company applies the practical expedients and does not disclose transaction price allocated to the remaining performance obligations for (i) arrangements that have an original expected duration of one year or less, which mainly consist of support and maintenance contracts, and (ii) variable consideration amounts for sale-based or usage-based royalties for IP license arrangements, which typically range longer than one year. Remaining performance obligations are mainly attributed to right-to-access patent license arrangements and customer support and service contracts, which will be recognized over the remaining contract period. The transaction price allocated to the remaining performance obligations as of January 1, 2021 was</w:t>
      </w:r>
    </w:p>
    <w:p>
      <w:pPr>
        <w:spacing w:after="0" w:line="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$91 million, which is mainly attributable to the functional IP license and service arrangements. The Company expects to recognize this amount as revenue as follows: $20 million during the remainder of fiscal 2021, $40 million in fiscal 2022, and $31 million in fiscal 2023 and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disaggregated revenue information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262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33"/>
        </w:trPr>
        <w:tc>
          <w:tcPr>
            <w:tcW w:w="51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01"/>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r>
      <w:tr>
        <w:trPr>
          <w:trHeight w:val="189"/>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5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12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4,804</w:t>
            </w: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Flash-based</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w:t>
            </w:r>
          </w:p>
        </w:tc>
      </w:tr>
      <w:tr>
        <w:trPr>
          <w:trHeight w:val="207"/>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3,943</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8,274</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6"/>
        </w:trPr>
        <w:tc>
          <w:tcPr>
            <w:tcW w:w="5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by End Market</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Client Devices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w:t>
            </w: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Data Center Devices &amp; Solutions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w:t>
            </w:r>
          </w:p>
        </w:tc>
      </w:tr>
      <w:tr>
        <w:trPr>
          <w:trHeight w:val="216"/>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Client Solutions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w:t>
            </w:r>
          </w:p>
        </w:tc>
      </w:tr>
      <w:tr>
        <w:trPr>
          <w:trHeight w:val="212"/>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8,274</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5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by Geography</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w:t>
            </w: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w:t>
            </w: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w:t>
            </w:r>
          </w:p>
        </w:tc>
      </w:tr>
      <w:tr>
        <w:trPr>
          <w:trHeight w:val="207"/>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3,943</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8,274</w:t>
            </w:r>
          </w:p>
        </w:tc>
      </w:tr>
      <w:tr>
        <w:trPr>
          <w:trHeight w:val="2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Company’s top 10 customers accounted for 43% and 41% of its net revenue for the three and six months ended January 1, 2021, respectively, and 44% and 43% of its net revenue for the three and six months ended January 3, 2020, respectively. For the three and six months ended January 1, 2021 and January 3, 2020, no single customer accounted for 10% or more of the Company’s net revenue.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4.</w:t>
        <w:tab/>
        <w:t>Supplemental Financial Statement Data</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5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From time to time, in connection with factoring agreements, the Company sells trade accounts receivable without recourse to third party purchasers in exchange for cash. During the six months ended January 1, 2021 and January 3, 2020, the Company sold trade accounts receivable and received cash proceeds of $173 million and $198 million, respectively. The discounts on the trade accounts receivable sold during the periods were not material and were recorded within Other income, net in the Condensed Consolidated Statements of Operations. As of January 1, 2021 and July 3, 2020, the amount of factored receivables that remained outstanding was $45 million and $113 million, respectively.</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420" w:type="dxa"/>
            <w:vAlign w:val="bottom"/>
          </w:tcPr>
          <w:p>
            <w:pPr>
              <w:spacing w:after="0"/>
              <w:rPr>
                <w:sz w:val="13"/>
                <w:szCs w:val="13"/>
                <w:color w:val="auto"/>
              </w:rPr>
            </w:pPr>
          </w:p>
        </w:tc>
        <w:tc>
          <w:tcPr>
            <w:tcW w:w="102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July 3,</w:t>
            </w:r>
          </w:p>
        </w:tc>
      </w:tr>
      <w:tr>
        <w:trPr>
          <w:trHeight w:val="189"/>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8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5"/>
                <w:szCs w:val="15"/>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Raw materials and component parts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Work-in-process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Finished goods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w:t>
            </w: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420" w:type="dxa"/>
            <w:vAlign w:val="bottom"/>
          </w:tcPr>
          <w:p>
            <w:pPr>
              <w:spacing w:after="0"/>
              <w:rPr>
                <w:sz w:val="13"/>
                <w:szCs w:val="13"/>
                <w:color w:val="auto"/>
              </w:rPr>
            </w:pPr>
          </w:p>
        </w:tc>
        <w:tc>
          <w:tcPr>
            <w:tcW w:w="10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July 3,</w:t>
            </w:r>
          </w:p>
        </w:tc>
      </w:tr>
      <w:tr>
        <w:trPr>
          <w:trHeight w:val="189"/>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8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5"/>
                <w:szCs w:val="15"/>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Land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Machinery and equipment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7,391</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Furniture and fixtures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Construction-in-process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10,300</w:t>
            </w: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(7,446)</w:t>
            </w:r>
          </w:p>
        </w:tc>
      </w:tr>
      <w:tr>
        <w:trPr>
          <w:trHeight w:val="212"/>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2,854</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Carrying Amount</w:t>
            </w:r>
          </w:p>
        </w:tc>
      </w:tr>
      <w:tr>
        <w:trPr>
          <w:trHeight w:val="188"/>
        </w:trPr>
        <w:tc>
          <w:tcPr>
            <w:tcW w:w="9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283"/>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1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July 3, 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10,067</w:t>
            </w:r>
          </w:p>
        </w:tc>
      </w:tr>
      <w:tr>
        <w:trPr>
          <w:trHeight w:val="213"/>
        </w:trPr>
        <w:tc>
          <w:tcPr>
            <w:tcW w:w="9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7"/>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10,071</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420" w:type="dxa"/>
            <w:vAlign w:val="bottom"/>
          </w:tcPr>
          <w:p>
            <w:pPr>
              <w:spacing w:after="0"/>
              <w:rPr>
                <w:sz w:val="13"/>
                <w:szCs w:val="13"/>
                <w:color w:val="auto"/>
              </w:rPr>
            </w:pPr>
          </w:p>
        </w:tc>
        <w:tc>
          <w:tcPr>
            <w:tcW w:w="102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July 3,</w:t>
            </w:r>
          </w:p>
        </w:tc>
      </w:tr>
      <w:tr>
        <w:trPr>
          <w:trHeight w:val="189"/>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8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5"/>
                <w:szCs w:val="15"/>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Finite-lived intangible assets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5,541</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In-process research and development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(4,680)</w:t>
            </w:r>
          </w:p>
        </w:tc>
      </w:tr>
      <w:tr>
        <w:trPr>
          <w:trHeight w:val="212"/>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As part of prior acquisitions, the Company recorded at the time of the acquisition acquired in-process research and development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Product warranty liability</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warranty accrual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33"/>
        </w:trPr>
        <w:tc>
          <w:tcPr>
            <w:tcW w:w="518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40" w:type="dxa"/>
            <w:vAlign w:val="bottom"/>
          </w:tcPr>
          <w:p>
            <w:pPr>
              <w:spacing w:after="0"/>
              <w:rPr>
                <w:sz w:val="11"/>
                <w:szCs w:val="11"/>
                <w:color w:val="auto"/>
              </w:rPr>
            </w:pPr>
          </w:p>
        </w:tc>
        <w:tc>
          <w:tcPr>
            <w:tcW w:w="1200" w:type="dxa"/>
            <w:vAlign w:val="bottom"/>
          </w:tcPr>
          <w:p>
            <w:pPr>
              <w:jc w:val="right"/>
              <w:ind w:right="322"/>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r>
      <w:tr>
        <w:trPr>
          <w:trHeight w:val="189"/>
        </w:trPr>
        <w:tc>
          <w:tcPr>
            <w:tcW w:w="5180" w:type="dxa"/>
            <w:vAlign w:val="bottom"/>
          </w:tcPr>
          <w:p>
            <w:pPr>
              <w:spacing w:after="0"/>
              <w:rPr>
                <w:sz w:val="16"/>
                <w:szCs w:val="16"/>
                <w:color w:val="auto"/>
              </w:rPr>
            </w:pPr>
          </w:p>
        </w:tc>
        <w:tc>
          <w:tcPr>
            <w:tcW w:w="10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5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 beginning of period</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391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350</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Charges to operations</w:t>
            </w:r>
          </w:p>
        </w:tc>
        <w:tc>
          <w:tcPr>
            <w:tcW w:w="10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99</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Utilization</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3"/>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Changes in estimate related to pre-existing warranties</w:t>
            </w: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r>
      <w:tr>
        <w:trPr>
          <w:trHeight w:val="235"/>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 end of period</w:t>
            </w: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366</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378</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portion of the warranty accrual is classified in Accrued expenses and the long-term portion is classified in Other liabilities as noted below: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Warranty accrual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Current portion (included in Accrued expenses)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Long-term portion (included in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warranty accrual</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420" w:type="dxa"/>
            <w:vAlign w:val="bottom"/>
          </w:tcPr>
          <w:p>
            <w:pPr>
              <w:spacing w:after="0"/>
              <w:rPr>
                <w:sz w:val="13"/>
                <w:szCs w:val="13"/>
                <w:color w:val="auto"/>
              </w:rPr>
            </w:pPr>
          </w:p>
        </w:tc>
        <w:tc>
          <w:tcPr>
            <w:tcW w:w="10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July 3,</w:t>
            </w:r>
          </w:p>
        </w:tc>
      </w:tr>
      <w:tr>
        <w:trPr>
          <w:trHeight w:val="189"/>
        </w:trPr>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4"/>
        </w:trPr>
        <w:tc>
          <w:tcPr>
            <w:tcW w:w="260" w:type="dxa"/>
            <w:vAlign w:val="bottom"/>
          </w:tcPr>
          <w:p>
            <w:pPr>
              <w:spacing w:after="0"/>
              <w:rPr>
                <w:sz w:val="15"/>
                <w:szCs w:val="15"/>
                <w:color w:val="auto"/>
              </w:rPr>
            </w:pPr>
          </w:p>
        </w:tc>
        <w:tc>
          <w:tcPr>
            <w:tcW w:w="1700" w:type="dxa"/>
            <w:vAlign w:val="bottom"/>
            <w:gridSpan w:val="3"/>
          </w:tcPr>
          <w:p>
            <w:pPr>
              <w:ind w:left="8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5"/>
                <w:szCs w:val="15"/>
                <w:color w:val="auto"/>
              </w:rPr>
            </w:pPr>
          </w:p>
        </w:tc>
      </w:tr>
      <w:tr>
        <w:trPr>
          <w:trHeight w:val="425"/>
        </w:trPr>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19"/>
        </w:trPr>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10"/>
        </w:trPr>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3"/>
        </w:trPr>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540" w:space="720"/>
            <w:col w:w="2980"/>
          </w:cols>
          <w:pgMar w:left="320" w:top="121" w:right="339" w:bottom="1440" w:gutter="0" w:footer="0" w:header="0"/>
          <w:type w:val="continuous"/>
        </w:sectPr>
      </w:pP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liabilities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420" w:type="dxa"/>
            <w:vAlign w:val="bottom"/>
          </w:tcPr>
          <w:p>
            <w:pPr>
              <w:spacing w:after="0"/>
              <w:rPr>
                <w:sz w:val="13"/>
                <w:szCs w:val="13"/>
                <w:color w:val="auto"/>
              </w:rPr>
            </w:pPr>
          </w:p>
        </w:tc>
        <w:tc>
          <w:tcPr>
            <w:tcW w:w="102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July 3,</w:t>
            </w:r>
          </w:p>
        </w:tc>
      </w:tr>
      <w:tr>
        <w:trPr>
          <w:trHeight w:val="189"/>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8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5"/>
                <w:szCs w:val="15"/>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net tax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Payables related to unrecognized tax benefits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w:t>
            </w: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liabilities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w:t>
      </w:r>
    </w:p>
    <w:p>
      <w:pPr>
        <w:spacing w:after="0" w:line="254" w:lineRule="exact"/>
        <w:rPr>
          <w:sz w:val="20"/>
          <w:szCs w:val="20"/>
          <w:color w:val="auto"/>
        </w:rPr>
      </w:pPr>
    </w:p>
    <w:p>
      <w:pPr>
        <w:ind w:right="800" w:firstLine="324"/>
        <w:spacing w:after="0" w:line="286" w:lineRule="auto"/>
        <w:rPr>
          <w:sz w:val="20"/>
          <w:szCs w:val="20"/>
          <w:color w:val="auto"/>
        </w:rPr>
      </w:pPr>
      <w:r>
        <w:rPr>
          <w:rFonts w:ascii="Times New Roman" w:cs="Times New Roman" w:eastAsia="Times New Roman" w:hAnsi="Times New Roman"/>
          <w:sz w:val="17"/>
          <w:szCs w:val="17"/>
          <w:color w:val="auto"/>
        </w:rPr>
        <w:t>Accumulated other comprehensive income (loss) (“AOCI”), net of tax refers to expenses, gains and losses that are recorded as an element of shareholders’ equity but are excluded from net income. The following table illustrates the changes in the balances of each component of AOCI:</w:t>
      </w:r>
    </w:p>
    <w:tbl>
      <w:tblPr>
        <w:tblLayout w:type="fixed"/>
        <w:tblInd w:w="0" w:type="dxa"/>
        <w:tblCellMar>
          <w:top w:w="0" w:type="dxa"/>
          <w:left w:w="0" w:type="dxa"/>
          <w:bottom w:w="0" w:type="dxa"/>
          <w:right w:w="0" w:type="dxa"/>
        </w:tblCellMar>
      </w:tblPr>
      <w:tr>
        <w:trPr>
          <w:trHeight w:val="146"/>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Actuarial Pension</w:t>
            </w: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12"/>
                <w:szCs w:val="12"/>
                <w:color w:val="auto"/>
              </w:rPr>
            </w:pPr>
          </w:p>
        </w:tc>
        <w:tc>
          <w:tcPr>
            <w:tcW w:w="138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20" w:type="dxa"/>
            <w:vAlign w:val="bottom"/>
          </w:tcPr>
          <w:p>
            <w:pPr>
              <w:spacing w:after="0"/>
              <w:rPr>
                <w:sz w:val="12"/>
                <w:szCs w:val="12"/>
                <w:color w:val="auto"/>
              </w:rPr>
            </w:pPr>
          </w:p>
        </w:tc>
        <w:tc>
          <w:tcPr>
            <w:tcW w:w="1320" w:type="dxa"/>
            <w:vAlign w:val="bottom"/>
          </w:tcPr>
          <w:p>
            <w:pPr>
              <w:jc w:val="center"/>
              <w:ind w:right="42"/>
              <w:spacing w:after="0" w:line="147" w:lineRule="exact"/>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54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(Losses) on Derivative</w:t>
            </w:r>
          </w:p>
        </w:tc>
        <w:tc>
          <w:tcPr>
            <w:tcW w:w="120" w:type="dxa"/>
            <w:vAlign w:val="bottom"/>
          </w:tcPr>
          <w:p>
            <w:pPr>
              <w:spacing w:after="0"/>
              <w:rPr>
                <w:sz w:val="11"/>
                <w:szCs w:val="11"/>
                <w:color w:val="auto"/>
              </w:rPr>
            </w:pPr>
          </w:p>
        </w:tc>
        <w:tc>
          <w:tcPr>
            <w:tcW w:w="1320" w:type="dxa"/>
            <w:vAlign w:val="bottom"/>
          </w:tcPr>
          <w:p>
            <w:pPr>
              <w:jc w:val="center"/>
              <w:ind w:right="42"/>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5"/>
          </w:tcPr>
          <w:p>
            <w:pPr>
              <w:ind w:left="10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July 3, 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before reclassifications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 related to items of other comprehensive loss</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2"/>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current-period other comprehensive loss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January 1, 2021 and January 3, 2020, the amounts reclassified out of AOCI related to derivative contracts were substantially all charged to Cost of revenue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Fair Value Measurements and Investments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Instruments Carried at Fair Value</w:t>
      </w:r>
    </w:p>
    <w:p>
      <w:pPr>
        <w:spacing w:after="0" w:line="254"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that are remeasured and reported at fair value at each reporting period are classified and disclosed in one of the following three levels:</w:t>
      </w:r>
    </w:p>
    <w:p>
      <w:pPr>
        <w:spacing w:after="0" w:line="187"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w:t>
      </w:r>
    </w:p>
    <w:p>
      <w:pPr>
        <w:spacing w:after="0" w:line="252" w:lineRule="exact"/>
        <w:rPr>
          <w:sz w:val="20"/>
          <w:szCs w:val="20"/>
          <w:color w:val="auto"/>
        </w:rPr>
      </w:pPr>
    </w:p>
    <w:p>
      <w:pPr>
        <w:ind w:left="980" w:right="80" w:hanging="647"/>
        <w:spacing w:after="0" w:line="266" w:lineRule="auto"/>
        <w:tabs>
          <w:tab w:leader="none" w:pos="96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03"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Inputs that are unobservable for the asset or liability and that are significant to the fair value of the assets or liabilities.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are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2021 and July 3, 2020, and indicate the fair value hierarchy of the valuation techniques utilized to determine such values: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52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3"/>
        </w:trPr>
        <w:tc>
          <w:tcPr>
            <w:tcW w:w="5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gridSpan w:val="5"/>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equivalents - Money market funds</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r>
      <w:tr>
        <w:trPr>
          <w:trHeight w:val="219"/>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7"/>
        </w:trPr>
        <w:tc>
          <w:tcPr>
            <w:tcW w:w="52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top w:val="single" w:sz="8" w:color="auto"/>
              <w:bottom w:val="single" w:sz="8" w:color="auto"/>
            </w:tcBorders>
            <w:gridSpan w:val="2"/>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top w:val="single" w:sz="8" w:color="auto"/>
              <w:bottom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rate swap contract</w:t>
            </w:r>
          </w:p>
        </w:tc>
        <w:tc>
          <w:tcPr>
            <w:tcW w:w="9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07"/>
        </w:trPr>
        <w:tc>
          <w:tcPr>
            <w:tcW w:w="52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top w:val="single" w:sz="8" w:color="auto"/>
              <w:bottom w:val="single" w:sz="8" w:color="auto"/>
            </w:tcBorders>
            <w:gridSpan w:val="2"/>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top w:val="single" w:sz="8" w:color="auto"/>
              <w:bottom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3"/>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555"/>
        </w:trPr>
        <w:tc>
          <w:tcPr>
            <w:tcW w:w="5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July 3, 2020</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8"/>
        </w:trPr>
        <w:tc>
          <w:tcPr>
            <w:tcW w:w="52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3"/>
        </w:trPr>
        <w:tc>
          <w:tcPr>
            <w:tcW w:w="5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gridSpan w:val="5"/>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equivalents - Money market funds</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784"/>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r>
      <w:tr>
        <w:trPr>
          <w:trHeight w:val="219"/>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7"/>
        </w:trPr>
        <w:tc>
          <w:tcPr>
            <w:tcW w:w="52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1,107</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5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784"/>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5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Interest rate swap contract</w:t>
            </w:r>
          </w:p>
        </w:tc>
        <w:tc>
          <w:tcPr>
            <w:tcW w:w="9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07"/>
        </w:trPr>
        <w:tc>
          <w:tcPr>
            <w:tcW w:w="52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3"/>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33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January 1, 2021 and January 3, 2020, the Company had no transfers of financial assets and liabilities between levels and there were no changes in valuation techniques or the inputs used in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254"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The carrying value of the Company’s revolving credit facility approximates its fair value given the revolving nature of the balance and the variable market interest rate. 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second quarter of 2021 and the fourth quarter of 2020, respectively.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July 3, 2020</w:t>
            </w:r>
          </w:p>
        </w:tc>
        <w:tc>
          <w:tcPr>
            <w:tcW w:w="1000" w:type="dxa"/>
            <w:vAlign w:val="bottom"/>
            <w:tcBorders>
              <w:bottom w:val="single" w:sz="8" w:color="auto"/>
            </w:tcBorders>
          </w:tcPr>
          <w:p>
            <w:pPr>
              <w:spacing w:after="0"/>
              <w:rPr>
                <w:sz w:val="16"/>
                <w:szCs w:val="16"/>
                <w:color w:val="auto"/>
              </w:rPr>
            </w:pPr>
          </w:p>
        </w:tc>
      </w:tr>
      <w:tr>
        <w:trPr>
          <w:trHeight w:val="133"/>
        </w:trPr>
        <w:tc>
          <w:tcPr>
            <w:tcW w:w="5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80" w:type="dxa"/>
            <w:vAlign w:val="bottom"/>
          </w:tcPr>
          <w:p>
            <w:pPr>
              <w:spacing w:after="0"/>
              <w:rPr>
                <w:sz w:val="11"/>
                <w:szCs w:val="11"/>
                <w:color w:val="auto"/>
              </w:rPr>
            </w:pPr>
          </w:p>
        </w:tc>
        <w:tc>
          <w:tcPr>
            <w:tcW w:w="940" w:type="dxa"/>
            <w:vAlign w:val="bottom"/>
          </w:tcPr>
          <w:p>
            <w:pPr>
              <w:jc w:val="center"/>
              <w:ind w:right="402"/>
              <w:spacing w:after="0" w:line="134"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tcPr>
          <w:p>
            <w:pPr>
              <w:jc w:val="center"/>
              <w:ind w:right="480"/>
              <w:spacing w:after="0" w:line="13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40" w:type="dxa"/>
            <w:vAlign w:val="bottom"/>
          </w:tcPr>
          <w:p>
            <w:pPr>
              <w:spacing w:after="0"/>
              <w:rPr>
                <w:sz w:val="11"/>
                <w:szCs w:val="11"/>
                <w:color w:val="auto"/>
              </w:rPr>
            </w:pPr>
          </w:p>
        </w:tc>
        <w:tc>
          <w:tcPr>
            <w:tcW w:w="1000" w:type="dxa"/>
            <w:vAlign w:val="bottom"/>
          </w:tcPr>
          <w:p>
            <w:pPr>
              <w:jc w:val="right"/>
              <w:ind w:right="501"/>
              <w:spacing w:after="0" w:line="134"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89"/>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83"/>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0.50% convertible senior notes due 2020</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A-1 maturing 2023</w:t>
            </w:r>
          </w:p>
        </w:tc>
        <w:tc>
          <w:tcPr>
            <w:tcW w:w="2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4,451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4,474</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B-4 maturing 2023</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1.50% convertible notes due 2024</w:t>
            </w:r>
          </w:p>
        </w:tc>
        <w:tc>
          <w:tcPr>
            <w:tcW w:w="2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4.75% senior unsecured notes due 2026</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2,287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w:t>
            </w:r>
          </w:p>
        </w:tc>
      </w:tr>
      <w:tr>
        <w:trPr>
          <w:trHeight w:val="210"/>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9,133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9,624</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w:t>
      </w:r>
    </w:p>
    <w:p>
      <w:pPr>
        <w:spacing w:after="0" w:line="25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of January 1, 2021, the Company had outstanding foreign exchange forward contracts that were designated as either cash flow hedges or non-designated hedges. Substantially all of the contract maturity dates of these foreign exchange forward contracts do not exceed 12 months. In addition, the Company had outstanding pay-fixed interest rate swaps that were designated as cash flow hedges of variable rate interest payments on a portion of its term loans through February 2023.</w:t>
      </w:r>
    </w:p>
    <w:p>
      <w:pPr>
        <w:spacing w:after="0" w:line="20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As of January 1, 2021, the amount of existing net losses related to cash flow hedges recorded in AOCI included $57 million related to the Company’s interest rate swaps that is expected to be reclassified to earnings after twelve months. In addition, as of January 1, 2021, the Company did not have any foreign exchange forward contracts with credit-risk-related contingent features.</w:t>
      </w:r>
    </w:p>
    <w:p>
      <w:pPr>
        <w:spacing w:after="0" w:line="20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Changes in fair values of the non-designated foreign exchange contracts are recognized in Other income, net and are largely offset by corresponding changes in the fair values of the foreign currency denominated monetary assets and liabilities. For each of the three and six months ended January 1, 2021 and January 3, 2020, total net realized and unrealized transaction and foreign exchange contract currency gains and losses were not material to the Company’s Condensed Consolidated Financial Statements.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Netting Arrangements</w:t>
      </w:r>
    </w:p>
    <w:p>
      <w:pPr>
        <w:spacing w:after="0" w:line="2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January 1, 2021 and July 3, 2020, the effect of rights of offset was not material and the Company did not offset or net the fair value amounts of derivative instruments in its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tab/>
        <w:t>Debt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Debt consisted of the following as of January 1, 2021 and July 3,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420" w:type="dxa"/>
            <w:vAlign w:val="bottom"/>
          </w:tcPr>
          <w:p>
            <w:pPr>
              <w:spacing w:after="0"/>
              <w:rPr>
                <w:sz w:val="13"/>
                <w:szCs w:val="13"/>
                <w:color w:val="auto"/>
              </w:rPr>
            </w:pPr>
          </w:p>
        </w:tc>
        <w:tc>
          <w:tcPr>
            <w:tcW w:w="10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July 3,</w:t>
            </w:r>
          </w:p>
        </w:tc>
      </w:tr>
      <w:tr>
        <w:trPr>
          <w:trHeight w:val="189"/>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8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5"/>
                <w:szCs w:val="15"/>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0.50% convertible senior notes due 2020</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A-1 maturing 2023</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B-4 maturing 2023</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1.50% convertible notes due 2024</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4.75% senior unsecured notes due 2026</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debt</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9,711</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costs and debt discounts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Subtotal</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9,575</w:t>
            </w:r>
          </w:p>
        </w:tc>
      </w:tr>
      <w:tr>
        <w:trPr>
          <w:trHeight w:val="216"/>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12"/>
        </w:trPr>
        <w:tc>
          <w:tcPr>
            <w:tcW w:w="82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8,882</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9,289</w:t>
            </w:r>
          </w:p>
        </w:tc>
      </w:tr>
      <w:tr>
        <w:trPr>
          <w:trHeight w:val="21"/>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340" w:firstLine="324"/>
        <w:spacing w:after="0" w:line="312" w:lineRule="auto"/>
        <w:rPr>
          <w:sz w:val="20"/>
          <w:szCs w:val="20"/>
          <w:color w:val="auto"/>
        </w:rPr>
      </w:pPr>
      <w:r>
        <w:rPr>
          <w:rFonts w:ascii="Times New Roman" w:cs="Times New Roman" w:eastAsia="Times New Roman" w:hAnsi="Times New Roman"/>
          <w:sz w:val="17"/>
          <w:szCs w:val="17"/>
          <w:color w:val="auto"/>
        </w:rPr>
        <w:t>The credit agreement governing the revolving credit facility and Term Loan A-1 requires the Company to comply with certain financial covenants, consisting of a leverage ratio and an interest coverage ratio. As of January 1, 2021, the Company was in compliance with these financial covenants.</w:t>
      </w:r>
    </w:p>
    <w:p>
      <w:pPr>
        <w:spacing w:after="0" w:line="167"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January 1, 2021, the Company made voluntary prepayments totaling $300 million on its Term Loan B-4. In October 2020, the 0.50% convertible senior notes due 2020 were settled in full in accordance with their terms.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Pension and Other Post-Retirement Benefit Plans</w:t>
      </w:r>
    </w:p>
    <w:p>
      <w:pPr>
        <w:spacing w:after="0" w:line="25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 has pension and other post-retirement benefit plans in various countries. The Company’s principal pension plans are in Japan, Thailand and the Philippines. All pension and other post-retirement benefit plans outside of the Company’s Japan, Thailand and Philippines defined benefit pension plans (the “Pension Plans”) are immaterial to the Condensed Consolidated Financial Statements. The expected long-term rate of return on the Pension Plans assets is 2.5%.</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Obligations and Funded Status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unfunded status of the benefit obligations for the Pension Plans: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July 3,</w:t>
            </w:r>
          </w:p>
        </w:tc>
      </w:tr>
      <w:tr>
        <w:trPr>
          <w:trHeight w:val="189"/>
        </w:trPr>
        <w:tc>
          <w:tcPr>
            <w:tcW w:w="8260" w:type="dxa"/>
            <w:vAlign w:val="bottom"/>
          </w:tcPr>
          <w:p>
            <w:pPr>
              <w:spacing w:after="0"/>
              <w:rPr>
                <w:sz w:val="16"/>
                <w:szCs w:val="16"/>
                <w:color w:val="auto"/>
              </w:rPr>
            </w:pPr>
          </w:p>
        </w:tc>
        <w:tc>
          <w:tcPr>
            <w:tcW w:w="11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8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5"/>
                <w:szCs w:val="15"/>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obligation at end of period</w:t>
            </w:r>
          </w:p>
        </w:tc>
        <w:tc>
          <w:tcPr>
            <w:tcW w:w="110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end of period</w:t>
            </w: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37"/>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Unfunded status</w:t>
            </w:r>
          </w:p>
        </w:tc>
        <w:tc>
          <w:tcPr>
            <w:tcW w:w="1100" w:type="dxa"/>
            <w:vAlign w:val="bottom"/>
            <w:tcBorders>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320"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unfunded amounts related to the Pension Plans as recognized on the Company’s Condensed Consolidated Balance Sheets:</w:t>
      </w:r>
    </w:p>
    <w:tbl>
      <w:tblPr>
        <w:tblLayout w:type="fixed"/>
        <w:tblInd w:w="0" w:type="dxa"/>
        <w:tblCellMar>
          <w:top w:w="0" w:type="dxa"/>
          <w:left w:w="0" w:type="dxa"/>
          <w:bottom w:w="0" w:type="dxa"/>
          <w:right w:w="0" w:type="dxa"/>
        </w:tblCellMar>
      </w:tblPr>
      <w:tr>
        <w:trPr>
          <w:trHeight w:val="147"/>
        </w:trPr>
        <w:tc>
          <w:tcPr>
            <w:tcW w:w="8260" w:type="dxa"/>
            <w:vAlign w:val="bottom"/>
          </w:tcPr>
          <w:p>
            <w:pPr>
              <w:spacing w:after="0"/>
              <w:rPr>
                <w:sz w:val="12"/>
                <w:szCs w:val="12"/>
                <w:color w:val="auto"/>
              </w:rPr>
            </w:pPr>
          </w:p>
        </w:tc>
        <w:tc>
          <w:tcPr>
            <w:tcW w:w="11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right"/>
              <w:ind w:right="443"/>
              <w:spacing w:after="0" w:line="147" w:lineRule="exact"/>
              <w:rPr>
                <w:sz w:val="20"/>
                <w:szCs w:val="20"/>
                <w:color w:val="auto"/>
              </w:rPr>
            </w:pPr>
            <w:r>
              <w:rPr>
                <w:rFonts w:ascii="Times New Roman" w:cs="Times New Roman" w:eastAsia="Times New Roman" w:hAnsi="Times New Roman"/>
                <w:sz w:val="14"/>
                <w:szCs w:val="14"/>
                <w:b w:val="1"/>
                <w:bCs w:val="1"/>
                <w:color w:val="auto"/>
              </w:rPr>
              <w:t>July 3,</w:t>
            </w:r>
          </w:p>
        </w:tc>
      </w:tr>
      <w:tr>
        <w:trPr>
          <w:trHeight w:val="189"/>
        </w:trPr>
        <w:tc>
          <w:tcPr>
            <w:tcW w:w="8260" w:type="dxa"/>
            <w:vAlign w:val="bottom"/>
          </w:tcPr>
          <w:p>
            <w:pPr>
              <w:spacing w:after="0"/>
              <w:rPr>
                <w:sz w:val="16"/>
                <w:szCs w:val="16"/>
                <w:color w:val="auto"/>
              </w:rPr>
            </w:pPr>
          </w:p>
        </w:tc>
        <w:tc>
          <w:tcPr>
            <w:tcW w:w="11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8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5"/>
                <w:szCs w:val="15"/>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10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37"/>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amount recognized</w:t>
            </w:r>
          </w:p>
        </w:tc>
        <w:tc>
          <w:tcPr>
            <w:tcW w:w="1100" w:type="dxa"/>
            <w:vAlign w:val="bottom"/>
            <w:tcBorders>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periodic benefit costs were not material for the three and six months ended January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Related Parties and Related Commitments and Contingencies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Flash Ventures</w:t>
      </w:r>
    </w:p>
    <w:p>
      <w:pPr>
        <w:spacing w:after="0" w:line="254"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Company’s business ventures with Kioxia Corporation (“Kioxia”) consist of three separate legal entities: Flash Partners Ltd. (“Flash Partners”), Flash Alliance Ltd. (“Flash Alliance”), and Flash Forward Ltd. (“Flash Forward”), collectively referred to as “Flash Ventures”.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notes receivable from, and equity investments in, Flash Ventures as of January 1, 2021 and July 3,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420" w:type="dxa"/>
            <w:vAlign w:val="bottom"/>
          </w:tcPr>
          <w:p>
            <w:pPr>
              <w:spacing w:after="0"/>
              <w:rPr>
                <w:sz w:val="13"/>
                <w:szCs w:val="13"/>
                <w:color w:val="auto"/>
              </w:rPr>
            </w:pPr>
          </w:p>
        </w:tc>
        <w:tc>
          <w:tcPr>
            <w:tcW w:w="10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July 3,</w:t>
            </w:r>
          </w:p>
        </w:tc>
      </w:tr>
      <w:tr>
        <w:trPr>
          <w:trHeight w:val="189"/>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8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5"/>
                <w:szCs w:val="15"/>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Flash Partners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receivable, Flash Alliance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Flash Forward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Flash Partners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Flash Alliance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Investment in Flash Forward</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37"/>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notes receivable and investments in Flash Ventures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January 1, 2021 and during the three and six months ended January 3, 2020, the Company made net payments to Flash Ventures of $1.21 billion and $2.19 billion, and $648 million and $1.33 billion, respectively, for purchased flash-based memory wafers and net loans and investments.</w:t>
      </w:r>
    </w:p>
    <w:p>
      <w:pPr>
        <w:spacing w:after="0" w:line="20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207"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As of January 1, 2021 and July 3, 2020, the Company had Accounts payable balances due to Flash Ventures of $393 million and $407 million, respectively.</w:t>
      </w:r>
    </w:p>
    <w:p>
      <w:pPr>
        <w:spacing w:after="0" w:line="189" w:lineRule="exact"/>
        <w:rPr>
          <w:sz w:val="20"/>
          <w:szCs w:val="20"/>
          <w:color w:val="auto"/>
        </w:rPr>
      </w:pPr>
    </w:p>
    <w:p>
      <w:pPr>
        <w:jc w:val="both"/>
        <w:ind w:right="180" w:firstLine="324"/>
        <w:spacing w:after="0" w:line="263" w:lineRule="auto"/>
        <w:rPr>
          <w:sz w:val="20"/>
          <w:szCs w:val="20"/>
          <w:color w:val="auto"/>
        </w:rPr>
      </w:pPr>
      <w:r>
        <w:rPr>
          <w:rFonts w:ascii="Times New Roman" w:cs="Times New Roman" w:eastAsia="Times New Roman" w:hAnsi="Times New Roman"/>
          <w:sz w:val="18"/>
          <w:szCs w:val="18"/>
          <w:color w:val="auto"/>
        </w:rPr>
        <w:t>The Company’s maximum reasonably estimable loss exposure (excluding lost profits) as a result of its involvement with Flash Ventures, based upon the Japanese yen to U.S. dollar exchange rate at January 1, 2021, is presented below. Investments in Flash Ventures are denominated in Japanese yen, and the maximum estimable loss exposure excludes any cumulative translation adjustment due to revaluation from the Japanese yen to the U.S. dollar.</w:t>
      </w:r>
    </w:p>
    <w:tbl>
      <w:tblPr>
        <w:tblLayout w:type="fixed"/>
        <w:tblInd w:w="0" w:type="dxa"/>
        <w:tblCellMar>
          <w:top w:w="0" w:type="dxa"/>
          <w:left w:w="0" w:type="dxa"/>
          <w:bottom w:w="0" w:type="dxa"/>
          <w:right w:w="0" w:type="dxa"/>
        </w:tblCellMar>
      </w:tblPr>
      <w:tr>
        <w:trPr>
          <w:trHeight w:val="148"/>
        </w:trPr>
        <w:tc>
          <w:tcPr>
            <w:tcW w:w="9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42"/>
              <w:spacing w:after="0" w:line="148" w:lineRule="exact"/>
              <w:rPr>
                <w:sz w:val="20"/>
                <w:szCs w:val="20"/>
                <w:color w:val="auto"/>
              </w:rPr>
            </w:pPr>
            <w:r>
              <w:rPr>
                <w:rFonts w:ascii="Times New Roman" w:cs="Times New Roman" w:eastAsia="Times New Roman" w:hAnsi="Times New Roman"/>
                <w:sz w:val="14"/>
                <w:szCs w:val="14"/>
                <w:b w:val="1"/>
                <w:bCs w:val="1"/>
                <w:color w:val="auto"/>
              </w:rPr>
              <w:t>January 1,</w:t>
            </w:r>
          </w:p>
        </w:tc>
      </w:tr>
      <w:tr>
        <w:trPr>
          <w:trHeight w:val="189"/>
        </w:trPr>
        <w:tc>
          <w:tcPr>
            <w:tcW w:w="9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83"/>
        </w:trPr>
        <w:tc>
          <w:tcPr>
            <w:tcW w:w="9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142"/>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1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investments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guarantees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Inventory and prepayments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w:t>
            </w:r>
          </w:p>
        </w:tc>
      </w:tr>
      <w:tr>
        <w:trPr>
          <w:trHeight w:val="237"/>
        </w:trPr>
        <w:tc>
          <w:tcPr>
            <w:tcW w:w="9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Maximum estimable loss exposure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4,627</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Company is obligated to pay for variable costs incurred in producing its share of Flash Ventures’ flash-based memory wafer supply, based on its three-month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each Flash Ventures entity’s operating cash flow is insufficient to fund these investments.</w:t>
      </w:r>
    </w:p>
    <w:p>
      <w:pPr>
        <w:spacing w:after="0" w:line="21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June 2019, an unexpected power outage incident occurred at the flash-based memory manufacturing facilities operated in Yokkaichi, Japan. The power outage incident impacted the facilities and process tools and resulted in damage to flash wafers in production and a reduction in the Company’s flash wafer availability. As a result of this incident, the Company incurred charges of $68 million for the six months ended January 3, 2020, which were recorded in Cost of revenue and primarily consisted of unabsorbed manufacturing overhead costs. During the six months ended January 1, 2021, the Company recovered $75 million related to this incident from its insurance carriers, which was recorded in Cost of revenue.</w:t>
      </w:r>
    </w:p>
    <w:p>
      <w:pPr>
        <w:spacing w:after="0" w:line="21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May 2019, the Company entered into additional agreements with Kioxia to extend Flash Ventures to a new wafer fabrication facility, known as “K1,” located in Kitakami, Japan. The primary purpose of K1 is to provide clean room space to continue the transition of existing flash-based wafer capacity to newer technology nodes. K1 is now fully operational. In connection with the start-up of this facility, the Company agreed to prepay an aggregate of approximately $360 million over a 3-year period beginning in the first half of fiscal year 2020 toward K1 building depreciation, to be credited against future wafer charges. As of January 1, 2021, remaining committed prepayments totaled $149 million.</w:t>
      </w:r>
    </w:p>
    <w:p>
      <w:pPr>
        <w:spacing w:after="0" w:line="208" w:lineRule="exact"/>
        <w:rPr>
          <w:sz w:val="20"/>
          <w:szCs w:val="20"/>
          <w:color w:val="auto"/>
        </w:rPr>
      </w:pPr>
    </w:p>
    <w:p>
      <w:pPr>
        <w:ind w:right="1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Inventory Purchase Commitments with Flash Ventures. </w:t>
      </w:r>
      <w:r>
        <w:rPr>
          <w:rFonts w:ascii="Times New Roman" w:cs="Times New Roman" w:eastAsia="Times New Roman" w:hAnsi="Times New Roman"/>
          <w:sz w:val="18"/>
          <w:szCs w:val="18"/>
          <w:color w:val="auto"/>
        </w:rPr>
        <w:t>Purchase orders placed under Flash Ventures for up to three months are binding and cannot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canceled.</w:t>
      </w:r>
    </w:p>
    <w:p>
      <w:pPr>
        <w:spacing w:after="0" w:line="185" w:lineRule="exact"/>
        <w:rPr>
          <w:sz w:val="20"/>
          <w:szCs w:val="20"/>
          <w:color w:val="auto"/>
        </w:rPr>
      </w:pPr>
    </w:p>
    <w:p>
      <w:pPr>
        <w:ind w:right="6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Activities. </w:t>
      </w:r>
      <w:r>
        <w:rPr>
          <w:rFonts w:ascii="Times New Roman" w:cs="Times New Roman" w:eastAsia="Times New Roman" w:hAnsi="Times New Roman"/>
          <w:sz w:val="18"/>
          <w:szCs w:val="18"/>
          <w:color w:val="auto"/>
        </w:rPr>
        <w:t>The Company participates in common research and development (“R&amp;D”) activities with Kioxia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contractually committed to a minimum funding level. R&amp;D commitments are immaterial to the Condensed Consolidated Financial Statements.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Off-Balance Sheet Liabilities</w:t>
      </w:r>
    </w:p>
    <w:p>
      <w:pPr>
        <w:spacing w:after="0" w:line="25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spacing w:after="0" w:line="207" w:lineRule="exact"/>
        <w:rPr>
          <w:sz w:val="20"/>
          <w:szCs w:val="20"/>
          <w:color w:val="auto"/>
        </w:rPr>
      </w:pPr>
    </w:p>
    <w:p>
      <w:pPr>
        <w:ind w:right="140"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January 1, 2021.</w:t>
      </w: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945"/>
              <w:spacing w:after="0"/>
              <w:rPr>
                <w:sz w:val="20"/>
                <w:szCs w:val="20"/>
                <w:color w:val="auto"/>
              </w:rPr>
            </w:pPr>
            <w:r>
              <w:rPr>
                <w:rFonts w:ascii="Times New Roman" w:cs="Times New Roman" w:eastAsia="Times New Roman" w:hAnsi="Times New Roman"/>
                <w:sz w:val="14"/>
                <w:szCs w:val="14"/>
                <w:b w:val="1"/>
                <w:bCs w:val="1"/>
                <w:color w:val="auto"/>
              </w:rPr>
              <w:t>Lease Amounts</w:t>
            </w:r>
          </w:p>
        </w:tc>
      </w:tr>
      <w:tr>
        <w:trPr>
          <w:trHeight w:val="133"/>
        </w:trPr>
        <w:tc>
          <w:tcPr>
            <w:tcW w:w="8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126"/>
              <w:spacing w:after="0" w:line="134" w:lineRule="exact"/>
              <w:rPr>
                <w:sz w:val="20"/>
                <w:szCs w:val="20"/>
                <w:color w:val="auto"/>
              </w:rPr>
            </w:pPr>
            <w:r>
              <w:rPr>
                <w:rFonts w:ascii="Times New Roman" w:cs="Times New Roman" w:eastAsia="Times New Roman" w:hAnsi="Times New Roman"/>
                <w:sz w:val="14"/>
                <w:szCs w:val="14"/>
                <w:i w:val="1"/>
                <w:iCs w:val="1"/>
                <w:color w:val="auto"/>
              </w:rPr>
              <w:t>(Japanese yen, in</w:t>
            </w:r>
          </w:p>
        </w:tc>
        <w:tc>
          <w:tcPr>
            <w:tcW w:w="260" w:type="dxa"/>
            <w:vAlign w:val="bottom"/>
          </w:tcPr>
          <w:p>
            <w:pPr>
              <w:spacing w:after="0"/>
              <w:rPr>
                <w:sz w:val="11"/>
                <w:szCs w:val="11"/>
                <w:color w:val="auto"/>
              </w:rPr>
            </w:pPr>
          </w:p>
        </w:tc>
        <w:tc>
          <w:tcPr>
            <w:tcW w:w="1240" w:type="dxa"/>
            <w:vAlign w:val="bottom"/>
          </w:tcPr>
          <w:p>
            <w:pPr>
              <w:jc w:val="center"/>
              <w:ind w:right="105"/>
              <w:spacing w:after="0" w:line="134" w:lineRule="exact"/>
              <w:rPr>
                <w:sz w:val="20"/>
                <w:szCs w:val="20"/>
                <w:color w:val="auto"/>
              </w:rPr>
            </w:pPr>
            <w:r>
              <w:rPr>
                <w:rFonts w:ascii="Times New Roman" w:cs="Times New Roman" w:eastAsia="Times New Roman" w:hAnsi="Times New Roman"/>
                <w:sz w:val="14"/>
                <w:szCs w:val="14"/>
                <w:i w:val="1"/>
                <w:iCs w:val="1"/>
                <w:color w:val="auto"/>
              </w:rPr>
              <w:t>(U.S. dollar, in</w:t>
            </w:r>
          </w:p>
        </w:tc>
      </w:tr>
      <w:tr>
        <w:trPr>
          <w:trHeight w:val="189"/>
        </w:trPr>
        <w:tc>
          <w:tcPr>
            <w:tcW w:w="8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126"/>
              <w:spacing w:after="0"/>
              <w:rPr>
                <w:sz w:val="20"/>
                <w:szCs w:val="20"/>
                <w:color w:val="auto"/>
              </w:rPr>
            </w:pPr>
            <w:r>
              <w:rPr>
                <w:rFonts w:ascii="Times New Roman" w:cs="Times New Roman" w:eastAsia="Times New Roman" w:hAnsi="Times New Roman"/>
                <w:sz w:val="14"/>
                <w:szCs w:val="14"/>
                <w:i w:val="1"/>
                <w:iCs w:val="1"/>
                <w:color w:val="auto"/>
              </w:rPr>
              <w:t>billions)</w:t>
            </w:r>
          </w:p>
        </w:tc>
        <w:tc>
          <w:tcPr>
            <w:tcW w:w="260" w:type="dxa"/>
            <w:vAlign w:val="bottom"/>
          </w:tcPr>
          <w:p>
            <w:pPr>
              <w:spacing w:after="0"/>
              <w:rPr>
                <w:sz w:val="16"/>
                <w:szCs w:val="16"/>
                <w:color w:val="auto"/>
              </w:rPr>
            </w:pPr>
          </w:p>
        </w:tc>
        <w:tc>
          <w:tcPr>
            <w:tcW w:w="1240" w:type="dxa"/>
            <w:vAlign w:val="bottom"/>
          </w:tcPr>
          <w:p>
            <w:pPr>
              <w:jc w:val="center"/>
              <w:ind w:right="125"/>
              <w:spacing w:after="0"/>
              <w:rPr>
                <w:sz w:val="20"/>
                <w:szCs w:val="20"/>
                <w:color w:val="auto"/>
              </w:rPr>
            </w:pPr>
            <w:r>
              <w:rPr>
                <w:rFonts w:ascii="Times New Roman" w:cs="Times New Roman" w:eastAsia="Times New Roman" w:hAnsi="Times New Roman"/>
                <w:sz w:val="14"/>
                <w:szCs w:val="14"/>
                <w:i w:val="1"/>
                <w:iCs w:val="1"/>
                <w:color w:val="auto"/>
              </w:rPr>
              <w:t>millions)</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guarantee obligations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217</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80" w:firstLine="324"/>
        <w:spacing w:after="0" w:line="263" w:lineRule="auto"/>
        <w:rPr>
          <w:sz w:val="20"/>
          <w:szCs w:val="20"/>
          <w:color w:val="auto"/>
        </w:rPr>
      </w:pPr>
      <w:r>
        <w:rPr>
          <w:rFonts w:ascii="Times New Roman" w:cs="Times New Roman" w:eastAsia="Times New Roman" w:hAnsi="Times New Roman"/>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January 1, 2021 in U.S. dollars, based upon the Japanese yen to U.S. dollar exchange rate as of January 1, 2021:</w:t>
      </w:r>
    </w:p>
    <w:tbl>
      <w:tblPr>
        <w:tblLayout w:type="fixed"/>
        <w:tblInd w:w="0" w:type="dxa"/>
        <w:tblCellMar>
          <w:top w:w="0" w:type="dxa"/>
          <w:left w:w="0" w:type="dxa"/>
          <w:bottom w:w="0" w:type="dxa"/>
          <w:right w:w="0" w:type="dxa"/>
        </w:tblCellMar>
      </w:tblPr>
      <w:tr>
        <w:trPr>
          <w:trHeight w:val="148"/>
        </w:trPr>
        <w:tc>
          <w:tcPr>
            <w:tcW w:w="6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Payment of Principal</w:t>
            </w: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8" w:lineRule="exact"/>
              <w:rPr>
                <w:sz w:val="20"/>
                <w:szCs w:val="20"/>
                <w:color w:val="auto"/>
              </w:rPr>
            </w:pPr>
            <w:r>
              <w:rPr>
                <w:rFonts w:ascii="Times New Roman" w:cs="Times New Roman" w:eastAsia="Times New Roman" w:hAnsi="Times New Roman"/>
                <w:sz w:val="14"/>
                <w:szCs w:val="14"/>
                <w:b w:val="1"/>
                <w:bCs w:val="1"/>
                <w:color w:val="auto"/>
              </w:rPr>
              <w:t>Purchase Option</w:t>
            </w: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Annual Installments</w:t>
            </w:r>
          </w:p>
        </w:tc>
        <w:tc>
          <w:tcPr>
            <w:tcW w:w="1520" w:type="dxa"/>
            <w:vAlign w:val="bottom"/>
            <w:gridSpan w:val="3"/>
            <w:vMerge w:val="continue"/>
          </w:tcPr>
          <w:p>
            <w:pPr>
              <w:spacing w:after="0"/>
              <w:rPr>
                <w:sz w:val="11"/>
                <w:szCs w:val="11"/>
                <w:color w:val="auto"/>
              </w:rPr>
            </w:pPr>
          </w:p>
        </w:tc>
        <w:tc>
          <w:tcPr>
            <w:tcW w:w="154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 at Final</w:t>
            </w:r>
          </w:p>
        </w:tc>
        <w:tc>
          <w:tcPr>
            <w:tcW w:w="120" w:type="dxa"/>
            <w:vAlign w:val="bottom"/>
          </w:tcPr>
          <w:p>
            <w:pPr>
              <w:spacing w:after="0"/>
              <w:rPr>
                <w:sz w:val="11"/>
                <w:szCs w:val="11"/>
                <w:color w:val="auto"/>
              </w:rPr>
            </w:pPr>
          </w:p>
        </w:tc>
        <w:tc>
          <w:tcPr>
            <w:tcW w:w="132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Guarantee Amount</w:t>
            </w:r>
          </w:p>
        </w:tc>
        <w:tc>
          <w:tcPr>
            <w:tcW w:w="0" w:type="dxa"/>
            <w:vAlign w:val="bottom"/>
          </w:tcPr>
          <w:p>
            <w:pPr>
              <w:spacing w:after="0"/>
              <w:rPr>
                <w:sz w:val="1"/>
                <w:szCs w:val="1"/>
                <w:color w:val="auto"/>
              </w:rPr>
            </w:pPr>
          </w:p>
        </w:tc>
      </w:tr>
      <w:tr>
        <w:trPr>
          <w:trHeight w:val="189"/>
        </w:trPr>
        <w:tc>
          <w:tcPr>
            <w:tcW w:w="67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Lease Terms</w:t>
            </w: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six months of 2021</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guarantee obligations</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and Kioxia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January 1, 2021, no amounts have been accrued in the Condensed Consolidated Financial Statements with respect to these indemnification agreements.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Unis Venture</w:t>
      </w:r>
    </w:p>
    <w:p>
      <w:pPr>
        <w:spacing w:after="0" w:line="25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has a joint venture with Unisplendour Corporation Limited and Unissoft (Wuxi) Group Co. Ltd. (“Unis”), referred to as the “Unis Venture”, to market and sell the Company’s products in China and to develop data storage systems for the Chinese market in the future. The Unis Venture is 49% owned by the Company and 51% owned by Unis. The Company accounts for its investment in the Unis Venture under the equity method of accounting. Revenue on products distributed by the Unis Venture is recognized upon sell through to third-party customers. For both the three and six months ended January 1, 2021, the Company recognized approximately 3% of its consolidated revenue on products distributed by the Unis Venture. For both the three and six months ended January 3, 2020, the Company recognized approximately 1% of its consolidated revenue on products distributed by the Unis Venture. The outstanding accounts receivable due from and investment in the Unis Venture were 7% and 4% of Accounts receivable, net as of January 1, 2021 and July 3,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Leases and Other Commitments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5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leases certain domestic and international facilities and data center space under long-term, non-cancelable operating leases that expire at various dates through 2034.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 The following table summarizes supplemental balance sheet information related to operating leases as of January 1, 2021: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640" w:type="dxa"/>
            <w:vAlign w:val="bottom"/>
          </w:tcPr>
          <w:p>
            <w:pPr>
              <w:spacing w:after="0"/>
              <w:rPr>
                <w:sz w:val="16"/>
                <w:szCs w:val="16"/>
                <w:color w:val="auto"/>
              </w:rPr>
            </w:pPr>
          </w:p>
        </w:tc>
        <w:tc>
          <w:tcPr>
            <w:tcW w:w="15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Lease Amounts</w:t>
            </w:r>
          </w:p>
        </w:tc>
      </w:tr>
      <w:tr>
        <w:trPr>
          <w:trHeight w:val="20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Minimum lease payments by fiscal year:</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1060" w:type="dxa"/>
            <w:vAlign w:val="bottom"/>
          </w:tcPr>
          <w:p>
            <w:pPr>
              <w:jc w:val="right"/>
              <w:ind w:right="300"/>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19"/>
        </w:trPr>
        <w:tc>
          <w:tcPr>
            <w:tcW w:w="9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Remaining six months of 2021</w:t>
            </w:r>
          </w:p>
        </w:tc>
        <w:tc>
          <w:tcPr>
            <w:tcW w:w="52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9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2022</w:t>
            </w:r>
          </w:p>
        </w:tc>
        <w:tc>
          <w:tcPr>
            <w:tcW w:w="52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40</w:t>
            </w:r>
          </w:p>
        </w:tc>
      </w:tr>
      <w:tr>
        <w:trPr>
          <w:trHeight w:val="219"/>
        </w:trPr>
        <w:tc>
          <w:tcPr>
            <w:tcW w:w="9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9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52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33</w:t>
            </w:r>
          </w:p>
        </w:tc>
      </w:tr>
      <w:tr>
        <w:trPr>
          <w:trHeight w:val="219"/>
        </w:trPr>
        <w:tc>
          <w:tcPr>
            <w:tcW w:w="9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9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147</w:t>
            </w:r>
          </w:p>
        </w:tc>
      </w:tr>
      <w:tr>
        <w:trPr>
          <w:trHeight w:val="212"/>
        </w:trPr>
        <w:tc>
          <w:tcPr>
            <w:tcW w:w="9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309</w:t>
            </w:r>
          </w:p>
        </w:tc>
      </w:tr>
      <w:tr>
        <w:trPr>
          <w:trHeight w:val="213"/>
        </w:trPr>
        <w:tc>
          <w:tcPr>
            <w:tcW w:w="9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Imputed Interest</w:t>
            </w: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(55)</w:t>
            </w:r>
          </w:p>
        </w:tc>
      </w:tr>
      <w:tr>
        <w:trPr>
          <w:trHeight w:val="212"/>
        </w:trPr>
        <w:tc>
          <w:tcPr>
            <w:tcW w:w="9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254</w:t>
            </w:r>
          </w:p>
        </w:tc>
      </w:tr>
      <w:tr>
        <w:trPr>
          <w:trHeight w:val="213"/>
        </w:trPr>
        <w:tc>
          <w:tcPr>
            <w:tcW w:w="9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Current portion (included in Accrued expenses)</w:t>
            </w: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38</w:t>
            </w:r>
          </w:p>
        </w:tc>
      </w:tr>
      <w:tr>
        <w:trPr>
          <w:trHeight w:val="237"/>
        </w:trPr>
        <w:tc>
          <w:tcPr>
            <w:tcW w:w="9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operating lease liabilities (included in Other liabilities)</w:t>
            </w:r>
          </w:p>
        </w:tc>
        <w:tc>
          <w:tcPr>
            <w:tcW w:w="52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216</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(included in Other non-current assets)</w:t>
            </w:r>
          </w:p>
        </w:tc>
        <w:tc>
          <w:tcPr>
            <w:tcW w:w="52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239</w:t>
            </w:r>
          </w:p>
        </w:tc>
      </w:tr>
      <w:tr>
        <w:trPr>
          <w:trHeight w:val="256"/>
        </w:trPr>
        <w:tc>
          <w:tcPr>
            <w:tcW w:w="9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r>
    </w:tbl>
    <w:p>
      <w:pPr>
        <w:spacing w:after="0" w:line="3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supplemental disclosures of operating cost and cash flow information related to operating leases: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2620" w:type="dxa"/>
            <w:vAlign w:val="bottom"/>
            <w:tcBorders>
              <w:bottom w:val="single" w:sz="8" w:color="auto"/>
            </w:tcBorders>
            <w:gridSpan w:val="3"/>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84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33"/>
        </w:trPr>
        <w:tc>
          <w:tcPr>
            <w:tcW w:w="5200" w:type="dxa"/>
            <w:vAlign w:val="bottom"/>
          </w:tcPr>
          <w:p>
            <w:pPr>
              <w:spacing w:after="0"/>
              <w:rPr>
                <w:sz w:val="11"/>
                <w:szCs w:val="11"/>
                <w:color w:val="auto"/>
              </w:rPr>
            </w:pPr>
          </w:p>
        </w:tc>
        <w:tc>
          <w:tcPr>
            <w:tcW w:w="1120" w:type="dxa"/>
            <w:vAlign w:val="bottom"/>
          </w:tcPr>
          <w:p>
            <w:pPr>
              <w:jc w:val="center"/>
              <w:ind w:left="226"/>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40" w:type="dxa"/>
            <w:vAlign w:val="bottom"/>
          </w:tcPr>
          <w:p>
            <w:pPr>
              <w:spacing w:after="0"/>
              <w:rPr>
                <w:sz w:val="11"/>
                <w:szCs w:val="11"/>
                <w:color w:val="auto"/>
              </w:rPr>
            </w:pPr>
          </w:p>
        </w:tc>
        <w:tc>
          <w:tcPr>
            <w:tcW w:w="1160" w:type="dxa"/>
            <w:vAlign w:val="bottom"/>
          </w:tcPr>
          <w:p>
            <w:pPr>
              <w:jc w:val="center"/>
              <w:ind w:left="345"/>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344"/>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20" w:type="dxa"/>
            <w:vAlign w:val="bottom"/>
          </w:tcPr>
          <w:p>
            <w:pPr>
              <w:spacing w:after="0"/>
              <w:rPr>
                <w:sz w:val="11"/>
                <w:szCs w:val="11"/>
                <w:color w:val="auto"/>
              </w:rPr>
            </w:pPr>
          </w:p>
        </w:tc>
        <w:tc>
          <w:tcPr>
            <w:tcW w:w="1180" w:type="dxa"/>
            <w:vAlign w:val="bottom"/>
          </w:tcPr>
          <w:p>
            <w:pPr>
              <w:jc w:val="right"/>
              <w:ind w:right="303"/>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r>
      <w:tr>
        <w:trPr>
          <w:trHeight w:val="189"/>
        </w:trPr>
        <w:tc>
          <w:tcPr>
            <w:tcW w:w="5200" w:type="dxa"/>
            <w:vAlign w:val="bottom"/>
          </w:tcPr>
          <w:p>
            <w:pPr>
              <w:spacing w:after="0"/>
              <w:rPr>
                <w:sz w:val="16"/>
                <w:szCs w:val="16"/>
                <w:color w:val="auto"/>
              </w:rPr>
            </w:pPr>
          </w:p>
        </w:tc>
        <w:tc>
          <w:tcPr>
            <w:tcW w:w="112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5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operating leases</w:t>
            </w:r>
          </w:p>
        </w:tc>
        <w:tc>
          <w:tcPr>
            <w:tcW w:w="1120" w:type="dxa"/>
            <w:vAlign w:val="bottom"/>
            <w:shd w:val="clear" w:color="auto" w:fill="CCEEFF"/>
          </w:tcPr>
          <w:p>
            <w:pPr>
              <w:jc w:val="right"/>
              <w:ind w:right="946"/>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1160" w:type="dxa"/>
            <w:vAlign w:val="bottom"/>
            <w:shd w:val="clear" w:color="auto" w:fill="CCEEFF"/>
          </w:tcPr>
          <w:p>
            <w:pPr>
              <w:jc w:val="right"/>
              <w:ind w:right="905"/>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25</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leases</w:t>
            </w:r>
          </w:p>
        </w:tc>
        <w:tc>
          <w:tcPr>
            <w:tcW w:w="1120" w:type="dxa"/>
            <w:vAlign w:val="bottom"/>
          </w:tcPr>
          <w:p>
            <w:pPr>
              <w:spacing w:after="0"/>
              <w:rPr>
                <w:sz w:val="18"/>
                <w:szCs w:val="18"/>
                <w:color w:val="auto"/>
              </w:rPr>
            </w:pPr>
          </w:p>
        </w:tc>
        <w:tc>
          <w:tcPr>
            <w:tcW w:w="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26</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 obtained in exchange for operating lease liabilities</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27</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Purchase Agreements and Other Commitments</w:t>
      </w:r>
    </w:p>
    <w:p>
      <w:pPr>
        <w:spacing w:after="0" w:line="25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January 1, 2021, the Company had the following minimum long-term commitments:</w:t>
      </w:r>
    </w:p>
    <w:tbl>
      <w:tblPr>
        <w:tblLayout w:type="fixed"/>
        <w:tblInd w:w="40" w:type="dxa"/>
        <w:tblCellMar>
          <w:top w:w="0" w:type="dxa"/>
          <w:left w:w="0" w:type="dxa"/>
          <w:bottom w:w="0" w:type="dxa"/>
          <w:right w:w="0" w:type="dxa"/>
        </w:tblCellMar>
      </w:tblPr>
      <w:tr>
        <w:trPr>
          <w:trHeight w:val="148"/>
        </w:trPr>
        <w:tc>
          <w:tcPr>
            <w:tcW w:w="9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42"/>
              <w:spacing w:after="0" w:line="148" w:lineRule="exact"/>
              <w:rPr>
                <w:sz w:val="20"/>
                <w:szCs w:val="20"/>
                <w:color w:val="auto"/>
              </w:rPr>
            </w:pPr>
            <w:r>
              <w:rPr>
                <w:rFonts w:ascii="Times New Roman" w:cs="Times New Roman" w:eastAsia="Times New Roman" w:hAnsi="Times New Roman"/>
                <w:sz w:val="14"/>
                <w:szCs w:val="14"/>
                <w:b w:val="1"/>
                <w:bCs w:val="1"/>
                <w:color w:val="auto"/>
              </w:rPr>
              <w:t>Long-term</w:t>
            </w:r>
          </w:p>
        </w:tc>
      </w:tr>
      <w:tr>
        <w:trPr>
          <w:trHeight w:val="189"/>
        </w:trPr>
        <w:tc>
          <w:tcPr>
            <w:tcW w:w="9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commitments</w:t>
            </w:r>
          </w:p>
        </w:tc>
      </w:tr>
      <w:tr>
        <w:trPr>
          <w:trHeight w:val="183"/>
        </w:trPr>
        <w:tc>
          <w:tcPr>
            <w:tcW w:w="9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22"/>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16"/>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9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Remaining six months of 2021</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226</w:t>
            </w:r>
          </w:p>
        </w:tc>
      </w:tr>
      <w:tr>
        <w:trPr>
          <w:trHeight w:val="219"/>
        </w:trPr>
        <w:tc>
          <w:tcPr>
            <w:tcW w:w="9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613</w:t>
            </w:r>
          </w:p>
        </w:tc>
      </w:tr>
      <w:tr>
        <w:trPr>
          <w:trHeight w:val="213"/>
        </w:trPr>
        <w:tc>
          <w:tcPr>
            <w:tcW w:w="9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562</w:t>
            </w:r>
          </w:p>
        </w:tc>
      </w:tr>
      <w:tr>
        <w:trPr>
          <w:trHeight w:val="219"/>
        </w:trPr>
        <w:tc>
          <w:tcPr>
            <w:tcW w:w="9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350</w:t>
            </w:r>
          </w:p>
        </w:tc>
      </w:tr>
      <w:tr>
        <w:trPr>
          <w:trHeight w:val="213"/>
        </w:trPr>
        <w:tc>
          <w:tcPr>
            <w:tcW w:w="9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148</w:t>
            </w:r>
          </w:p>
        </w:tc>
      </w:tr>
      <w:tr>
        <w:trPr>
          <w:trHeight w:val="216"/>
        </w:trPr>
        <w:tc>
          <w:tcPr>
            <w:tcW w:w="9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190</w:t>
            </w:r>
          </w:p>
        </w:tc>
      </w:tr>
      <w:tr>
        <w:trPr>
          <w:trHeight w:val="212"/>
        </w:trPr>
        <w:tc>
          <w:tcPr>
            <w:tcW w:w="9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2,089</w:t>
            </w:r>
          </w:p>
        </w:tc>
      </w:tr>
      <w:tr>
        <w:trPr>
          <w:trHeight w:val="20"/>
        </w:trPr>
        <w:tc>
          <w:tcPr>
            <w:tcW w:w="9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4" w:lineRule="exact"/>
        <w:rPr>
          <w:sz w:val="20"/>
          <w:szCs w:val="20"/>
          <w:color w:val="auto"/>
        </w:rPr>
      </w:pPr>
    </w:p>
    <w:p>
      <w:pPr>
        <w:ind w:right="180" w:firstLine="324"/>
        <w:spacing w:after="0" w:line="260" w:lineRule="auto"/>
        <w:rPr>
          <w:sz w:val="20"/>
          <w:szCs w:val="20"/>
          <w:color w:val="auto"/>
        </w:rPr>
      </w:pPr>
      <w:r>
        <w:rPr>
          <w:rFonts w:ascii="Times New Roman" w:cs="Times New Roman" w:eastAsia="Times New Roman" w:hAnsi="Times New Roman"/>
          <w:sz w:val="18"/>
          <w:szCs w:val="18"/>
          <w:color w:val="auto"/>
        </w:rPr>
        <w:t>The following tables present the Company’s stock-based compensation for equity-settled awards by type (i.e., stock options, restricted stock units (“RSUs”), restricted stock unit awards with performance conditions or market conditions (“PSUs”), and rights to purchase shares of common stock under the Company’s Employee Stock Purchase Plan (“ESPP”)) and financial statement line as well as the related tax benefit included in the Company’s Condensed Consolidated Statements of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33"/>
        </w:trPr>
        <w:tc>
          <w:tcPr>
            <w:tcW w:w="5200" w:type="dxa"/>
            <w:vAlign w:val="bottom"/>
          </w:tcPr>
          <w:p>
            <w:pPr>
              <w:spacing w:after="0"/>
              <w:rPr>
                <w:sz w:val="11"/>
                <w:szCs w:val="11"/>
                <w:color w:val="auto"/>
              </w:rPr>
            </w:pPr>
          </w:p>
        </w:tc>
        <w:tc>
          <w:tcPr>
            <w:tcW w:w="1120" w:type="dxa"/>
            <w:vAlign w:val="bottom"/>
          </w:tcPr>
          <w:p>
            <w:pPr>
              <w:jc w:val="center"/>
              <w:ind w:left="224"/>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left="264"/>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jc w:val="center"/>
              <w:ind w:right="44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60" w:type="dxa"/>
            <w:vAlign w:val="bottom"/>
          </w:tcPr>
          <w:p>
            <w:pPr>
              <w:spacing w:after="0"/>
              <w:rPr>
                <w:sz w:val="11"/>
                <w:szCs w:val="11"/>
                <w:color w:val="auto"/>
              </w:rPr>
            </w:pPr>
          </w:p>
        </w:tc>
        <w:tc>
          <w:tcPr>
            <w:tcW w:w="1180" w:type="dxa"/>
            <w:vAlign w:val="bottom"/>
          </w:tcPr>
          <w:p>
            <w:pPr>
              <w:jc w:val="center"/>
              <w:ind w:right="162"/>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r>
      <w:tr>
        <w:trPr>
          <w:trHeight w:val="189"/>
        </w:trPr>
        <w:tc>
          <w:tcPr>
            <w:tcW w:w="5200" w:type="dxa"/>
            <w:vAlign w:val="bottom"/>
          </w:tcPr>
          <w:p>
            <w:pPr>
              <w:spacing w:after="0"/>
              <w:rPr>
                <w:sz w:val="16"/>
                <w:szCs w:val="16"/>
                <w:color w:val="auto"/>
              </w:rPr>
            </w:pPr>
          </w:p>
        </w:tc>
        <w:tc>
          <w:tcPr>
            <w:tcW w:w="1120" w:type="dxa"/>
            <w:vAlign w:val="bottom"/>
            <w:tcBorders>
              <w:bottom w:val="single" w:sz="8" w:color="auto"/>
            </w:tcBorders>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183"/>
        </w:trPr>
        <w:tc>
          <w:tcPr>
            <w:tcW w:w="5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w:t>
            </w: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RSUs and PSUs</w:t>
            </w:r>
          </w:p>
        </w:tc>
        <w:tc>
          <w:tcPr>
            <w:tcW w:w="1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1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2"/>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bottom w:val="single" w:sz="8" w:color="auto"/>
            </w:tcBorders>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1"/>
        </w:trPr>
        <w:tc>
          <w:tcPr>
            <w:tcW w:w="52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528"/>
        </w:trPr>
        <w:tc>
          <w:tcPr>
            <w:tcW w:w="5200" w:type="dxa"/>
            <w:vAlign w:val="bottom"/>
          </w:tcPr>
          <w:p>
            <w:pPr>
              <w:spacing w:after="0"/>
              <w:rPr>
                <w:sz w:val="24"/>
                <w:szCs w:val="24"/>
                <w:color w:val="auto"/>
              </w:rPr>
            </w:pPr>
          </w:p>
        </w:tc>
        <w:tc>
          <w:tcPr>
            <w:tcW w:w="2620" w:type="dxa"/>
            <w:vAlign w:val="bottom"/>
            <w:tcBorders>
              <w:bottom w:val="single" w:sz="8" w:color="auto"/>
            </w:tcBorders>
            <w:gridSpan w:val="4"/>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33"/>
        </w:trPr>
        <w:tc>
          <w:tcPr>
            <w:tcW w:w="5200" w:type="dxa"/>
            <w:vAlign w:val="bottom"/>
          </w:tcPr>
          <w:p>
            <w:pPr>
              <w:spacing w:after="0"/>
              <w:rPr>
                <w:sz w:val="11"/>
                <w:szCs w:val="11"/>
                <w:color w:val="auto"/>
              </w:rPr>
            </w:pPr>
          </w:p>
        </w:tc>
        <w:tc>
          <w:tcPr>
            <w:tcW w:w="1120" w:type="dxa"/>
            <w:vAlign w:val="bottom"/>
          </w:tcPr>
          <w:p>
            <w:pPr>
              <w:jc w:val="center"/>
              <w:ind w:left="224"/>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left="264"/>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jc w:val="center"/>
              <w:ind w:right="44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60" w:type="dxa"/>
            <w:vAlign w:val="bottom"/>
          </w:tcPr>
          <w:p>
            <w:pPr>
              <w:spacing w:after="0"/>
              <w:rPr>
                <w:sz w:val="11"/>
                <w:szCs w:val="11"/>
                <w:color w:val="auto"/>
              </w:rPr>
            </w:pPr>
          </w:p>
        </w:tc>
        <w:tc>
          <w:tcPr>
            <w:tcW w:w="1180" w:type="dxa"/>
            <w:vAlign w:val="bottom"/>
          </w:tcPr>
          <w:p>
            <w:pPr>
              <w:jc w:val="center"/>
              <w:ind w:right="162"/>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r>
      <w:tr>
        <w:trPr>
          <w:trHeight w:val="189"/>
        </w:trPr>
        <w:tc>
          <w:tcPr>
            <w:tcW w:w="5200" w:type="dxa"/>
            <w:vAlign w:val="bottom"/>
          </w:tcPr>
          <w:p>
            <w:pPr>
              <w:spacing w:after="0"/>
              <w:rPr>
                <w:sz w:val="16"/>
                <w:szCs w:val="16"/>
                <w:color w:val="auto"/>
              </w:rPr>
            </w:pPr>
          </w:p>
        </w:tc>
        <w:tc>
          <w:tcPr>
            <w:tcW w:w="1120" w:type="dxa"/>
            <w:vAlign w:val="bottom"/>
            <w:tcBorders>
              <w:bottom w:val="single" w:sz="8" w:color="auto"/>
            </w:tcBorders>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183"/>
        </w:trPr>
        <w:tc>
          <w:tcPr>
            <w:tcW w:w="5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07"/>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Subtotal</w:t>
            </w:r>
          </w:p>
        </w:tc>
        <w:tc>
          <w:tcPr>
            <w:tcW w:w="1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w:t>
            </w:r>
          </w:p>
        </w:tc>
        <w:tc>
          <w:tcPr>
            <w:tcW w:w="1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7"/>
              </w:rPr>
              <w:t>(11)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2"/>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bottom w:val="single" w:sz="8" w:color="auto"/>
            </w:tcBorders>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0"/>
        </w:trPr>
        <w:tc>
          <w:tcPr>
            <w:tcW w:w="5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Windfall tax benefits and tax deficiencies for shortfalls related to the vesting and exercise of stock-based awards, which are recognized as a component of the Company’s Income tax expense, were not material for the periods presented.</w:t>
      </w:r>
    </w:p>
    <w:p>
      <w:pPr>
        <w:spacing w:after="0" w:line="189" w:lineRule="exact"/>
        <w:rPr>
          <w:sz w:val="20"/>
          <w:szCs w:val="20"/>
          <w:color w:val="auto"/>
        </w:rPr>
      </w:pPr>
    </w:p>
    <w:p>
      <w:pPr>
        <w:ind w:right="40" w:firstLine="324"/>
        <w:spacing w:after="0" w:line="263" w:lineRule="auto"/>
        <w:rPr>
          <w:sz w:val="20"/>
          <w:szCs w:val="20"/>
          <w:color w:val="auto"/>
        </w:rPr>
      </w:pPr>
      <w:r>
        <w:rPr>
          <w:rFonts w:ascii="Times New Roman" w:cs="Times New Roman" w:eastAsia="Times New Roman" w:hAnsi="Times New Roman"/>
          <w:sz w:val="18"/>
          <w:szCs w:val="18"/>
          <w:color w:val="auto"/>
        </w:rPr>
        <w:t>Compensation cost related to unvested stock options, RSUs, PSUs, and rights to purchase shares of common stock under the ESPP will generally be amortized on a straight-line basis over the remaining average service period. The following table presents the unamortized compensation cost and weighted average service period of all unvested outstanding awards as of January 1, 2021:</w:t>
      </w:r>
    </w:p>
    <w:tbl>
      <w:tblPr>
        <w:tblLayout w:type="fixed"/>
        <w:tblInd w:w="0" w:type="dxa"/>
        <w:tblCellMar>
          <w:top w:w="0" w:type="dxa"/>
          <w:left w:w="0" w:type="dxa"/>
          <w:bottom w:w="0" w:type="dxa"/>
          <w:right w:w="0" w:type="dxa"/>
        </w:tblCellMar>
      </w:tblPr>
      <w:tr>
        <w:trPr>
          <w:trHeight w:val="148"/>
        </w:trPr>
        <w:tc>
          <w:tcPr>
            <w:tcW w:w="8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right="143"/>
              <w:spacing w:after="0" w:line="148"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00" w:type="dxa"/>
            <w:vAlign w:val="bottom"/>
          </w:tcPr>
          <w:p>
            <w:pPr>
              <w:spacing w:after="0"/>
              <w:rPr>
                <w:sz w:val="12"/>
                <w:szCs w:val="12"/>
                <w:color w:val="auto"/>
              </w:rPr>
            </w:pPr>
          </w:p>
        </w:tc>
        <w:tc>
          <w:tcPr>
            <w:tcW w:w="14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89"/>
        </w:trPr>
        <w:tc>
          <w:tcPr>
            <w:tcW w:w="8260" w:type="dxa"/>
            <w:vAlign w:val="bottom"/>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Costs</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 Period</w:t>
            </w:r>
          </w:p>
        </w:tc>
      </w:tr>
      <w:tr>
        <w:trPr>
          <w:trHeight w:val="183"/>
        </w:trPr>
        <w:tc>
          <w:tcPr>
            <w:tcW w:w="8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12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(years)</w:t>
            </w:r>
          </w:p>
        </w:tc>
      </w:tr>
      <w:tr>
        <w:trPr>
          <w:trHeight w:val="216"/>
        </w:trPr>
        <w:tc>
          <w:tcPr>
            <w:tcW w:w="82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RSUs and PSUs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5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2.8</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54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0.7</w:t>
            </w:r>
          </w:p>
        </w:tc>
      </w:tr>
      <w:tr>
        <w:trPr>
          <w:trHeight w:val="237"/>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unamortized compensation cost</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60"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Weighted average service period assumes the performance metrics are met for the PSUs.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Activities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Company’s incentive plans: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2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20" w:type="dxa"/>
            <w:vAlign w:val="bottom"/>
          </w:tcPr>
          <w:p>
            <w:pPr>
              <w:spacing w:after="0"/>
              <w:rPr>
                <w:sz w:val="16"/>
                <w:szCs w:val="16"/>
                <w:color w:val="auto"/>
              </w:rPr>
            </w:pPr>
          </w:p>
        </w:tc>
        <w:tc>
          <w:tcPr>
            <w:tcW w:w="13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July 3, 2020</w:t>
            </w:r>
          </w:p>
        </w:tc>
        <w:tc>
          <w:tcPr>
            <w:tcW w:w="1420" w:type="dxa"/>
            <w:vAlign w:val="bottom"/>
            <w:shd w:val="clear" w:color="auto" w:fill="CCEEFF"/>
          </w:tcPr>
          <w:p>
            <w:pPr>
              <w:jc w:val="center"/>
              <w:ind w:left="1022"/>
              <w:spacing w:after="0"/>
              <w:rPr>
                <w:sz w:val="20"/>
                <w:szCs w:val="20"/>
                <w:color w:val="auto"/>
              </w:rPr>
            </w:pPr>
            <w:r>
              <w:rPr>
                <w:rFonts w:ascii="Times New Roman" w:cs="Times New Roman" w:eastAsia="Times New Roman" w:hAnsi="Times New Roman"/>
                <w:sz w:val="16"/>
                <w:szCs w:val="16"/>
                <w:color w:val="auto"/>
                <w:w w:val="99"/>
              </w:rPr>
              <w:t>2.7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1420" w:type="dxa"/>
            <w:vAlign w:val="bottom"/>
          </w:tcPr>
          <w:p>
            <w:pPr>
              <w:jc w:val="center"/>
              <w:ind w:left="982"/>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44.09</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Canceled or expired</w:t>
            </w:r>
          </w:p>
        </w:tc>
        <w:tc>
          <w:tcPr>
            <w:tcW w:w="1420" w:type="dxa"/>
            <w:vAlign w:val="bottom"/>
            <w:tcBorders>
              <w:bottom w:val="single" w:sz="8" w:color="auto"/>
            </w:tcBorders>
            <w:shd w:val="clear" w:color="auto" w:fill="CCEEFF"/>
          </w:tcPr>
          <w:p>
            <w:pPr>
              <w:jc w:val="center"/>
              <w:ind w:left="982"/>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outstanding at January 1, 2021</w:t>
            </w:r>
          </w:p>
        </w:tc>
        <w:tc>
          <w:tcPr>
            <w:tcW w:w="1420" w:type="dxa"/>
            <w:vAlign w:val="bottom"/>
            <w:tcBorders>
              <w:bottom w:val="single" w:sz="8" w:color="auto"/>
            </w:tcBorders>
          </w:tcPr>
          <w:p>
            <w:pPr>
              <w:jc w:val="center"/>
              <w:ind w:left="1022"/>
              <w:spacing w:after="0"/>
              <w:rPr>
                <w:sz w:val="20"/>
                <w:szCs w:val="20"/>
                <w:color w:val="auto"/>
              </w:rPr>
            </w:pPr>
            <w:r>
              <w:rPr>
                <w:rFonts w:ascii="Times New Roman" w:cs="Times New Roman" w:eastAsia="Times New Roman" w:hAnsi="Times New Roman"/>
                <w:sz w:val="16"/>
                <w:szCs w:val="16"/>
                <w:color w:val="auto"/>
                <w:w w:val="99"/>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69.75</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at January 1, 2021</w:t>
            </w:r>
          </w:p>
        </w:tc>
        <w:tc>
          <w:tcPr>
            <w:tcW w:w="1420" w:type="dxa"/>
            <w:vAlign w:val="bottom"/>
            <w:shd w:val="clear" w:color="auto" w:fill="CCEEFF"/>
          </w:tcPr>
          <w:p>
            <w:pPr>
              <w:jc w:val="center"/>
              <w:ind w:left="1022"/>
              <w:spacing w:after="0"/>
              <w:rPr>
                <w:sz w:val="20"/>
                <w:szCs w:val="20"/>
                <w:color w:val="auto"/>
              </w:rPr>
            </w:pPr>
            <w:r>
              <w:rPr>
                <w:rFonts w:ascii="Times New Roman" w:cs="Times New Roman" w:eastAsia="Times New Roman" w:hAnsi="Times New Roman"/>
                <w:sz w:val="16"/>
                <w:szCs w:val="16"/>
                <w:color w:val="auto"/>
                <w:w w:val="99"/>
              </w:rPr>
              <w:t>1.8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RSUs and PSUs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RSU and PSU activity under the Company’s incentive plans: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42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89"/>
        </w:trPr>
        <w:tc>
          <w:tcPr>
            <w:tcW w:w="67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20" w:type="dxa"/>
            <w:vAlign w:val="bottom"/>
          </w:tcPr>
          <w:p>
            <w:pPr>
              <w:spacing w:after="0"/>
              <w:rPr>
                <w:sz w:val="16"/>
                <w:szCs w:val="16"/>
                <w:color w:val="auto"/>
              </w:rPr>
            </w:pPr>
          </w:p>
        </w:tc>
        <w:tc>
          <w:tcPr>
            <w:tcW w:w="13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Value at Vest Date</w:t>
            </w:r>
          </w:p>
        </w:tc>
        <w:tc>
          <w:tcPr>
            <w:tcW w:w="0" w:type="dxa"/>
            <w:vAlign w:val="bottom"/>
          </w:tcPr>
          <w:p>
            <w:pPr>
              <w:spacing w:after="0"/>
              <w:rPr>
                <w:sz w:val="1"/>
                <w:szCs w:val="1"/>
                <w:color w:val="auto"/>
              </w:rPr>
            </w:pPr>
          </w:p>
        </w:tc>
      </w:tr>
      <w:tr>
        <w:trPr>
          <w:trHeight w:val="183"/>
        </w:trPr>
        <w:tc>
          <w:tcPr>
            <w:tcW w:w="6700" w:type="dxa"/>
            <w:vAlign w:val="bottom"/>
          </w:tcPr>
          <w:p>
            <w:pPr>
              <w:spacing w:after="0"/>
              <w:rPr>
                <w:sz w:val="15"/>
                <w:szCs w:val="15"/>
                <w:color w:val="auto"/>
              </w:rPr>
            </w:pPr>
          </w:p>
        </w:tc>
        <w:tc>
          <w:tcPr>
            <w:tcW w:w="1420" w:type="dxa"/>
            <w:vAlign w:val="bottom"/>
            <w:tcBorders>
              <w:top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 outstanding at July 3, 2020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60.23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 outstanding at January 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RSUs and PSUs are generally settled in an equal number of shares of the Company’s common stock at the time of vesting of the units.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5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Company’s Board of Directors has authorized a stock repurchase program for the repurchase of up to $5.0 billion of the Company’s common stock, which authorization is effective through July 25, 2023. The Company did not make any stock repurchases during the six months ended January 1, 2021 and has not repurchased any shares of its common stock pursuant to its stock repurchase program since the first quarter of fiscal 2019. The remaining amount available to be repurchased under the Company’s current stock repurchase program as of January 1, 2021 was $4.5 billion. Repurchases under the stock repurchase program may be made in the open market or in privately negotiated transactions and may be made under a Rule 10b5-1 plan. The Company expects stock repurchases to be funded principally by operating cash flows.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to Shareholders</w:t>
      </w:r>
    </w:p>
    <w:p>
      <w:pPr>
        <w:spacing w:after="0" w:line="25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Company issued a quarterly cash dividend from the first quarter of fiscal 2013 up to the third quarter of fiscal 2020. In April 2020, the Company suspended its dividend to reinvest in the business and to support its ongoing deleveraging efforts.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Income Tax Expense</w:t>
      </w:r>
    </w:p>
    <w:p>
      <w:pPr>
        <w:spacing w:after="0" w:line="25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enacted in response to the COVID-19 pandemic in the U.S. The CARES Act, among other things, allows net operating losses arising in tax years 2018, 2019, and 2020 to be carried back to each of the five preceding taxable years to generate a refund of previously paid income taxes and increases the business interest expense limitation from 30% to 50% of adjusted taxable income for tax years 2019 and 2020. Additionally, countries around the world continue to implement emergency tax measures to provide relief similar to the CARES Act. The Company at present does not expect that any of the provisions of the CARES Act or the emergency tax measures around the world would result in a material cash benefit.</w:t>
      </w:r>
    </w:p>
    <w:p>
      <w:pPr>
        <w:spacing w:after="0" w:line="21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December 27, 2020, the Consolidated Appropriations Act (the “Appropriations Act”) was enacted to fund the federal government through their fiscal year, extend certain expiring tax provisions and provide additional emergency relief to individuals and businesses related to the COVID-19 pandemic in the U.S. The Company at present does not expect any of the provisions of the Appropriations Act to have a material impact on its financial statements. The Company continues to monitor and evaluate the regulatory and interpretive guidance related to the CARES Act and the Appropriations Act, as well as legislation in other jurisdictions.</w:t>
      </w:r>
    </w:p>
    <w:p>
      <w:pPr>
        <w:spacing w:after="0" w:line="21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Tax Cuts and Jobs Act (the “2017 Act”), enacted on December 22, 2017, includes a broad range of tax reform proposals affecting businesses. The Company completed its accounting for the tax effects of the enactment of the 2017 Act during the second quarter of fiscal 2019. However, the U.S. Treasury and the Internal Revenue Service (“IRS”) have issued tax guidance on certain provisions of the 2017 Act since the enactment date, and the Company anticipates the issuance of additional regulatory and interpretive guidance. The Company applied a reasonable interpretation of the 2017 Act along with the then-available guidance in finalizing its accounting for the tax effects of the 2017 Act. Any additional regulatory or interpretive guidance would constitute new information, which may require further refinements to the Company’s estimates in future periods.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Income tax expense and the effective tax rate: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60" w:type="dxa"/>
            <w:vAlign w:val="bottom"/>
          </w:tcPr>
          <w:p>
            <w:pPr>
              <w:spacing w:after="0"/>
              <w:rPr>
                <w:sz w:val="16"/>
                <w:szCs w:val="16"/>
                <w:color w:val="auto"/>
              </w:rPr>
            </w:pPr>
          </w:p>
        </w:tc>
        <w:tc>
          <w:tcPr>
            <w:tcW w:w="324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2740" w:type="dxa"/>
            <w:vAlign w:val="bottom"/>
            <w:gridSpan w:val="3"/>
          </w:tcPr>
          <w:p>
            <w:pPr>
              <w:jc w:val="right"/>
              <w:ind w:right="92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33"/>
        </w:trPr>
        <w:tc>
          <w:tcPr>
            <w:tcW w:w="4860" w:type="dxa"/>
            <w:vAlign w:val="bottom"/>
          </w:tcPr>
          <w:p>
            <w:pPr>
              <w:spacing w:after="0"/>
              <w:rPr>
                <w:sz w:val="11"/>
                <w:szCs w:val="11"/>
                <w:color w:val="auto"/>
              </w:rPr>
            </w:pPr>
          </w:p>
        </w:tc>
        <w:tc>
          <w:tcPr>
            <w:tcW w:w="1120" w:type="dxa"/>
            <w:vAlign w:val="bottom"/>
            <w:tcBorders>
              <w:top w:val="single" w:sz="8" w:color="auto"/>
            </w:tcBorders>
          </w:tcPr>
          <w:p>
            <w:pPr>
              <w:jc w:val="center"/>
              <w:ind w:left="306"/>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4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344"/>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64"/>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343"/>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r>
      <w:tr>
        <w:trPr>
          <w:trHeight w:val="189"/>
        </w:trPr>
        <w:tc>
          <w:tcPr>
            <w:tcW w:w="4860" w:type="dxa"/>
            <w:vAlign w:val="bottom"/>
          </w:tcPr>
          <w:p>
            <w:pPr>
              <w:spacing w:after="0"/>
              <w:rPr>
                <w:sz w:val="16"/>
                <w:szCs w:val="16"/>
                <w:color w:val="auto"/>
              </w:rPr>
            </w:pPr>
          </w:p>
        </w:tc>
        <w:tc>
          <w:tcPr>
            <w:tcW w:w="11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4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1120" w:type="dxa"/>
            <w:vAlign w:val="bottom"/>
            <w:shd w:val="clear" w:color="auto" w:fill="CCEEFF"/>
          </w:tcPr>
          <w:p>
            <w:pPr>
              <w:jc w:val="right"/>
              <w:ind w:right="946"/>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85</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82</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(277)</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12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w:t>
            </w:r>
          </w:p>
        </w:tc>
        <w:tc>
          <w:tcPr>
            <w:tcW w:w="320" w:type="dxa"/>
            <w:vAlign w:val="bottom"/>
          </w:tcPr>
          <w:p>
            <w:pPr>
              <w:spacing w:after="0"/>
              <w:rPr>
                <w:sz w:val="18"/>
                <w:szCs w:val="18"/>
                <w:color w:val="auto"/>
              </w:rPr>
            </w:pPr>
          </w:p>
        </w:tc>
        <w:tc>
          <w:tcPr>
            <w:tcW w:w="124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80</w:t>
            </w:r>
          </w:p>
        </w:tc>
        <w:tc>
          <w:tcPr>
            <w:tcW w:w="320" w:type="dxa"/>
            <w:vAlign w:val="bottom"/>
          </w:tcPr>
          <w:p>
            <w:pPr>
              <w:spacing w:after="0"/>
              <w:rPr>
                <w:sz w:val="18"/>
                <w:szCs w:val="18"/>
                <w:color w:val="auto"/>
              </w:rPr>
            </w:pPr>
          </w:p>
        </w:tc>
        <w:tc>
          <w:tcPr>
            <w:tcW w:w="12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138</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27 %</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98 %</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bl>
    <w:p>
      <w:pPr>
        <w:spacing w:after="0" w:line="333"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and six months ended January 1, 2021 and the U.S. Federal statutory rate of 21% are the relative mix of earnings and losses by jurisdiction, the deduction for foreign derived intangible income, credits, and tax holidays in Malaysia, the Philippines and Thailand that will expire at various dates during fiscal years 2021 through 2030. In addition, the effective tax rate for the three and six months ended January 1, 2021 includes the discrete effects of favorable adjustments proposed by tax authorities of $8 million. The effective tax rate for the six months ended January 1, 2021 also includes the discrete effects of net tax deficiencies from shortfalls of $12 million related to the vesting of stock-based awards and additional tax expense of $10 million from the re-measurement of deferred tax liabilities due to restructuring activities, which have no impact on the amount of income taxes paid by the Company.</w:t>
      </w:r>
    </w:p>
    <w:p>
      <w:pPr>
        <w:spacing w:after="0" w:line="21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and six months ended January 3, 2020 and the U.S. Federal statutory rate of 21% are the relative mix of earnings and losses by jurisdiction, the deduction for foreign derived intangible income, credits, and tax holidays in Malaysia, Philippines and Thailand that expired or will expire at various dates during fiscal years 2020 through 2030.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IRS previously completed its field examination of the Company’s federal income tax returns for fiscal years 2008 through 2012 and proposed certain adjustments. As previously disclosed, the Company received Revenue Agent Reports from the IRS for fiscal years 2008 through 2009, proposing adjustments relating to transfer pricing with the Company’s foreign subsidiaries and intercompany payable balances. The Company disagrees with the proposed adjustments and in September 2015, filed a protest with the IRS Appeals Office and received the IRS rebuttal in July 2016. The Company and the IRS Appeals Office did not reach a settlement on the disputed matters. On June 28, 2018, the IRS issued a statutory notice of deficiency with respect to the disputed matters for fiscal years 2008 through 2009, seeking to increase the Company’s U.S. taxable income by an amount that would result in additional federal tax through fiscal year 2009 totaling approximately $516 million, subject to interest and penalties. The Company filed a petition with the U.S. Tax Court in September 2018. On December 10, 2018, the IRS issued a statutory notice of deficiency with respect to fiscal years 2010 through 2012, seeking to increase the Company’s U.S. taxable income by an amount that would result in additional federal tax for fiscal years 2010 through 2012 totaling approximately $549 million, subject to interest and penalties. Approximately $535 million of the total additional federal tax for fiscal years 2010 through 2012 relates to proposed adjustments for transfer pricing with the Company’s foreign subsidiaries, intercompany payable balances and the utilization of certain tax attributes. The Company filed a petition with the U.S. Tax Court in March 2019. The U.S. Tax Court consolidated the case for fiscal years 2008 through 2009 with the case for fiscal years 2010 through 2012. On May 4, 2020, the IRS filed with the U.S. Tax Court Amendments to Answer to assert penalties totaling $340 million on the proposed adjustments relating to transfer pricing with respect to fiscal years 2008 through 2009 and fiscal years 2010 through 2012. In September 2020 and December 2020, the IRS proposed adjustments relating to transfer pricing with the Company’s foreign subsidiaries and intercompany payable balances for fiscal years 2013 through 2015 that, if sustained, would result in additional federal tax totaling approximately $343 million. The Company disagrees with the proposed adjustments and continues to believe that its tax positions are properly supported and will vigorously contest the position taken by the IRS.</w:t>
      </w:r>
    </w:p>
    <w:p>
      <w:pPr>
        <w:spacing w:after="0" w:line="21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January 1, 2021,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14"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As of January 1, 2021, the liability for unrecognized tax benefits (excluding accrued interest and penalties) was approximately $715 million. Accrued interest and penalties related to unrecognized tax benefits as of January 1, 2021 was approximately $146 million. Of these amounts, approximately $724 million could result in potential cash payments. The Company is not able to provide a reasonable estimate of the timing of future tax payments related to these obligations.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Net Income (Loss) Per Common Share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income (loss) per common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3060" w:type="dxa"/>
            <w:vAlign w:val="bottom"/>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720" w:type="dxa"/>
            <w:vAlign w:val="bottom"/>
            <w:gridSpan w:val="4"/>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6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02"/>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01"/>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0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20" w:type="dxa"/>
            <w:vAlign w:val="bottom"/>
            <w:gridSpan w:val="5"/>
          </w:tcPr>
          <w:p>
            <w:pPr>
              <w:ind w:left="24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60" w:type="dxa"/>
            <w:vAlign w:val="bottom"/>
            <w:tcBorders>
              <w:bottom w:val="single" w:sz="8" w:color="auto"/>
            </w:tcBorders>
            <w:shd w:val="clear" w:color="auto" w:fill="CCEEFF"/>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stock options, RSUs, PSUs and ESPP</w:t>
            </w: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2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 and diluted</w:t>
            </w:r>
          </w:p>
        </w:tc>
        <w:tc>
          <w:tcPr>
            <w:tcW w:w="1060" w:type="dxa"/>
            <w:vAlign w:val="bottom"/>
            <w:tcBorders>
              <w:top w:val="single" w:sz="8" w:color="auto"/>
              <w:bottom w:val="single" w:sz="8" w:color="auto"/>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Income (loss) per common share</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60" w:type="dxa"/>
            <w:vAlign w:val="bottom"/>
            <w:shd w:val="clear" w:color="auto" w:fill="CCEEFF"/>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6"/>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06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0.20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potential common shares excluded</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 computes basic income (loss) per common share using Net income (loss) and the weighted average number of common shares outstanding during the period. Diluted income (loss) per common share is computed using Net income (loss) and the weighted average number of common shares and potentially dilutive common shares outstanding during the period. Potentially dilutive common shares include dilutive outstanding employee stock options, RSUs and PSUs, and rights to purchase shares of common stock under the Company’s ESPP. For the three and six months ended January 3, 2020, the Company recorded net loss, and all shares subject to outstanding equity awards have been excluded for those periods because including them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Employee Termination, Asset Impairment and Other Charges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recorded the following charges related to employee termination benefits, asset impairment, and other charges: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33"/>
        </w:trPr>
        <w:tc>
          <w:tcPr>
            <w:tcW w:w="5160" w:type="dxa"/>
            <w:vAlign w:val="bottom"/>
          </w:tcPr>
          <w:p>
            <w:pPr>
              <w:spacing w:after="0"/>
              <w:rPr>
                <w:sz w:val="11"/>
                <w:szCs w:val="11"/>
                <w:color w:val="auto"/>
              </w:rPr>
            </w:pPr>
          </w:p>
        </w:tc>
        <w:tc>
          <w:tcPr>
            <w:tcW w:w="1120" w:type="dxa"/>
            <w:vAlign w:val="bottom"/>
          </w:tcPr>
          <w:p>
            <w:pPr>
              <w:jc w:val="right"/>
              <w:ind w:right="4"/>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60" w:type="dxa"/>
            <w:vAlign w:val="bottom"/>
          </w:tcPr>
          <w:p>
            <w:pPr>
              <w:spacing w:after="0"/>
              <w:rPr>
                <w:sz w:val="11"/>
                <w:szCs w:val="11"/>
                <w:color w:val="auto"/>
              </w:rPr>
            </w:pPr>
          </w:p>
        </w:tc>
        <w:tc>
          <w:tcPr>
            <w:tcW w:w="1180" w:type="dxa"/>
            <w:vAlign w:val="bottom"/>
          </w:tcPr>
          <w:p>
            <w:pPr>
              <w:jc w:val="right"/>
              <w:ind w:right="302"/>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r>
      <w:tr>
        <w:trPr>
          <w:trHeight w:val="189"/>
        </w:trPr>
        <w:tc>
          <w:tcPr>
            <w:tcW w:w="5160" w:type="dxa"/>
            <w:vAlign w:val="bottom"/>
          </w:tcPr>
          <w:p>
            <w:pPr>
              <w:spacing w:after="0"/>
              <w:rPr>
                <w:sz w:val="16"/>
                <w:szCs w:val="16"/>
                <w:color w:val="auto"/>
              </w:rPr>
            </w:pPr>
          </w:p>
        </w:tc>
        <w:tc>
          <w:tcPr>
            <w:tcW w:w="11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5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termination and other charges:</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Closure of Foreign Manufacturing Facilities</w:t>
            </w:r>
          </w:p>
        </w:tc>
        <w:tc>
          <w:tcPr>
            <w:tcW w:w="1120" w:type="dxa"/>
            <w:vAlign w:val="bottom"/>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924"/>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Realignment</w:t>
            </w:r>
          </w:p>
        </w:tc>
        <w:tc>
          <w:tcPr>
            <w:tcW w:w="1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7"/>
        </w:trPr>
        <w:tc>
          <w:tcPr>
            <w:tcW w:w="5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employee termination and other charges</w:t>
            </w:r>
          </w:p>
        </w:tc>
        <w:tc>
          <w:tcPr>
            <w:tcW w:w="1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Realignment</w:t>
            </w:r>
          </w:p>
        </w:tc>
        <w:tc>
          <w:tcPr>
            <w:tcW w:w="1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0"/>
        </w:trPr>
        <w:tc>
          <w:tcPr>
            <w:tcW w:w="5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employee termination, asset impairment, and other charges</w:t>
            </w:r>
          </w:p>
        </w:tc>
        <w:tc>
          <w:tcPr>
            <w:tcW w:w="1120" w:type="dxa"/>
            <w:vAlign w:val="bottom"/>
            <w:tcBorders>
              <w:top w:val="single" w:sz="8" w:color="auto"/>
              <w:bottom w:val="single" w:sz="8" w:color="auto"/>
            </w:tcBorders>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924"/>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
        </w:trPr>
        <w:tc>
          <w:tcPr>
            <w:tcW w:w="5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Business Realignment</w:t>
      </w:r>
    </w:p>
    <w:p>
      <w:pPr>
        <w:spacing w:after="0" w:line="254"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Company periodically incurs charges as part of the integration process of recent acquisitions and to realign its operations with anticipated market demand, primarily consisting of organization rationalization designed to streamline its business, reduce its cost structure and focus its resources.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an analysis of the components of the activity against the reserve during the six months ended January 1,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 Termination</w:t>
            </w:r>
          </w:p>
        </w:tc>
        <w:tc>
          <w:tcPr>
            <w:tcW w:w="340" w:type="dxa"/>
            <w:vAlign w:val="bottom"/>
          </w:tcPr>
          <w:p>
            <w:pPr>
              <w:spacing w:after="0"/>
              <w:rPr>
                <w:sz w:val="13"/>
                <w:szCs w:val="13"/>
                <w:color w:val="auto"/>
              </w:rPr>
            </w:pPr>
          </w:p>
        </w:tc>
        <w:tc>
          <w:tcPr>
            <w:tcW w:w="1100" w:type="dxa"/>
            <w:vAlign w:val="bottom"/>
            <w:vMerge w:val="restart"/>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70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at July 3, 2020</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Charges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payments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Accrual balance at January 1, 2021</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Tax</w:t>
      </w:r>
    </w:p>
    <w:p>
      <w:pPr>
        <w:spacing w:after="0" w:line="254"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For disclosures regarding statutory notices of deficiency issued by the IRS on June 28, 2018 and December 10, 2018, and petitions filed by the Company with the U.S. Tax Court in September 2018 and March 2019, see Note 12, </w:t>
      </w:r>
      <w:r>
        <w:rPr>
          <w:rFonts w:ascii="Times New Roman" w:cs="Times New Roman" w:eastAsia="Times New Roman" w:hAnsi="Times New Roman"/>
          <w:sz w:val="18"/>
          <w:szCs w:val="18"/>
          <w:i w:val="1"/>
          <w:iCs w:val="1"/>
          <w:color w:val="auto"/>
        </w:rPr>
        <w:t>Income Tax Expense.</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2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the Company’s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6" w:lineRule="exact"/>
        <w:rPr>
          <w:sz w:val="20"/>
          <w:szCs w:val="20"/>
          <w:color w:val="auto"/>
        </w:rPr>
      </w:pPr>
    </w:p>
    <w:p>
      <w:pPr>
        <w:ind w:right="320" w:firstLine="324"/>
        <w:spacing w:after="0" w:line="220" w:lineRule="exact"/>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included in Part II, Item 8 of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July 3, 2020. See also “Forward-Looking Statements” immediately prior to Part I, Item 1 in this Quarterly Report on Form 10-Q.</w:t>
      </w:r>
    </w:p>
    <w:p>
      <w:pPr>
        <w:spacing w:after="0" w:line="22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5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are a leading developer, manufacturer and provider of data storage devices and solutions that address the evolving needs of the information technology (“IT”) industry and the infrastructure that enables the proliferation of data in virtually every other industry. We create environments for data to thrive. We drive the innovation needed to help customers capture, preserve, access and transform an ever-increasing diversity of data. Everywhere data lives, from advanced data centers to mobile sensors to personal devices, our industry-leading solutions deliver the possibilities of data.</w:t>
      </w:r>
    </w:p>
    <w:p>
      <w:pPr>
        <w:spacing w:after="0" w:line="207"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Our broad portfolio of technology and products address the following key end markets: Client Devices; Data Center Devices and Solutions; and Client Solutions. We also generate license and royalty revenue from our extensive intellectual property (“IP”), which is included in each of these three end market categories.</w:t>
      </w:r>
    </w:p>
    <w:p>
      <w:pPr>
        <w:spacing w:after="0" w:line="20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fiscal year ends on the Friday nearest to June 30 and typically consists of 52 weeks. Approximately every five to six years, we report a 53-week fiscal year to align the fiscal year with the foregoing policy. Fiscal year 2021, which ends on July 2, 2021, will be comprised of 52 weeks, with all quarters presented consisting of 13 weeks. Fiscal year 2020, which ended on July 3, 2020, was comprised of 53 weeks, with the first quarter consisting of 14 weeks and the remaining quarters consisting of 13 weeks each.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Business Structure</w:t>
      </w:r>
    </w:p>
    <w:p>
      <w:pPr>
        <w:spacing w:after="0" w:line="24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Late in the first quarter of fiscal 2021, we announced a decision to reorganize our business by forming two separate product business units: flash-based products and hard disk drive (“HDD”). The new structure is intended to provide each business unit with focus and responsibility for identifying current and future customer requirements while driving the strategy, roadmap, pricing and overall profitability for their respective product areas. Beginning in the second fiscal quarter, we are in the process of transitioning to this new operating model and discrete information has not yet been established to align with the new business structure. We are developing new reporting processes to support the new business structure and evaluating the impact of these changes on our discussion and analysis of our financial condition and results of operations in the future.</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24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a result of the ongoing COVID-19 pandemic, governments and other authorities around the world, including federal, state and local authorities in the United States, have imposed measures intended to reduce its spread, including restrictions on freedom of movement and business operations such as travel bans, border closings, business limitations and closures (subject to exceptions for essential operations and businesses), quarantines and shelter-in-place orders. Although some of these governmental restrictions have since been lifted or scaled back, periodic surges of COVID-19 infections have resulted in the re-imposition of certain restrictions and may lead to other restrictions being re-implemented in response to efforts to reduce the spread of COVID-19. These measures may remain in place for a significant amount of time, and the effects of ongoing vaccination efforts and the emergence of new strains of the virus remain uncertain. In light of these events, we have taken actions to protect the health and safety of our employees while continuing to serve our global customers as an essential business. We have implemented more thorough sanitation practices as outlined by health organizations and instituted social distancing policies at our locations around the world, including working from home, limiting the number of employees attending meetings, reducing the number of people in our sites at any one time, and suspending employee travel. In addition, the responses to COVID-19 taken by others in the supply chain have impacted our operations. As a result, we have incurred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charges of approximately $61 million during the six months ended January 1, 2021, primarily related to higher logistics costs, which were recorded in cost of revenue.</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an essential business, we continue to provide products and solutions that enable the proliferation of data and facilitate the sharing of information remotely, which has become more critical as much of the world is interacting from areas of self-isolation. Generally, demand for our products remains solid. During the six months ended January 1, 2021, we experienced lower sales in some of our capacity enterprise and Client Devices products as customers absorbed purchases made in recent quarters, but we also experienced increased sales in retail as COVID-19 restrictions eased, more brick and mortar businesses resumed operations, the work and learn from home trend increased hard drive demand for desktops and notebooks, and gaming increased. Looking forward, we see positive indications of the progression of 5G ramp and the growth of gaming. We also currently expect retail demand to be solid in the near term and HDD to improve as customers absorb recent purchases and we ramp sales of new products. However, the COVID-19 environment remains dynamic and we cannot predict the duration of the pandemic and how demand may change as it develops.</w:t>
      </w:r>
    </w:p>
    <w:p>
      <w:pPr>
        <w:spacing w:after="0" w:line="219"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will continue to actively monitor the situation and may take further actions altering our business operations that we determine are in the best interests of our employees, customers, partners, suppliers, and stakeholders, or as required by federal, state, or local authorities. See </w:t>
      </w:r>
      <w:r>
        <w:rPr>
          <w:rFonts w:ascii="Times New Roman" w:cs="Times New Roman" w:eastAsia="Times New Roman" w:hAnsi="Times New Roman"/>
          <w:sz w:val="18"/>
          <w:szCs w:val="18"/>
          <w:i w:val="1"/>
          <w:iCs w:val="1"/>
          <w:color w:val="auto"/>
        </w:rPr>
        <w:t>“The COVID-19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pandemic could adversely affect our business, results of operations and financial condition” </w:t>
      </w:r>
      <w:r>
        <w:rPr>
          <w:rFonts w:ascii="Times New Roman" w:cs="Times New Roman" w:eastAsia="Times New Roman" w:hAnsi="Times New Roman"/>
          <w:sz w:val="18"/>
          <w:szCs w:val="18"/>
          <w:color w:val="auto"/>
        </w:rPr>
        <w:t>in Part I, Item 1A,</w:t>
      </w:r>
      <w:r>
        <w:rPr>
          <w:rFonts w:ascii="Times New Roman" w:cs="Times New Roman" w:eastAsia="Times New Roman" w:hAnsi="Times New Roman"/>
          <w:sz w:val="18"/>
          <w:szCs w:val="18"/>
          <w:i w:val="1"/>
          <w:iCs w:val="1"/>
          <w:color w:val="auto"/>
        </w:rPr>
        <w:t xml:space="preserve"> Risk Factors</w:t>
      </w:r>
      <w:r>
        <w:rPr>
          <w:rFonts w:ascii="Times New Roman" w:cs="Times New Roman" w:eastAsia="Times New Roman" w:hAnsi="Times New Roman"/>
          <w:sz w:val="18"/>
          <w:szCs w:val="18"/>
          <w:color w:val="auto"/>
        </w:rPr>
        <w:t>, of our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 for the fiscal year ended July 3, 2020 for more information regarding the risks we face as a result of the COVID-19 pandemic.</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Flash Ventures</w:t>
      </w:r>
    </w:p>
    <w:p>
      <w:pPr>
        <w:spacing w:after="0" w:line="254"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Through our three business ventures with Kioxia Corporation (“Kioxia”), referred to as “Flash Ventures”, we and Kioxia operate flash-based memory wafer manufacturing facilities in Japan. We are obligated to pay for variable costs incurred in producing our share of Flash Ventures’ flash-based memory wafer supply, based on our three-month forecast, which generally equals 50% of Flash Ventures’ output. In addition, we are obligated to pay for half of Flash Ventures’ fixed costs regardless of the output we choose to purchase. We are also obligated to fund 49.9% to 50% of each Flash Ventures entity’s capital investments to the extent that Flash Ventures entity’s operating cash flow is insufficient to fund these investments. We also co-develop flash technologies (including process technology and memory design) with Kioxia and contribute IP for Flash Ventures’ use.</w:t>
      </w:r>
    </w:p>
    <w:p>
      <w:pPr>
        <w:spacing w:after="0" w:line="214"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Since its inception, Flash Ventures’ primary manufacturing site has been located in Yokkaichi, Japan, which currently includes five wafer fabrication facilities. Production levels at the Yokkaichi site were temporarily reduced as a result of an unexpected power outage incident that occurred in the Yokkaichi region on June 15, 2019. The power outage incident impacted the facilities and process tools and resulted in damage to flash wafers in production. The incident resulted in a reduction of our flash wafer availability by approximately 4 exabytes. As a result of this power outage incident, we incurred aggregate charges of $68 million recorded in Cost of revenue in the six months ended January 3, 2020, which primarily consisted of unabsorbed manufacturing overhead costs. During the six months ended January 1, 2021, we recovered $75 million related to this incident from our insurance carriers, which was recorded in Cost of revenue.</w:t>
      </w:r>
    </w:p>
    <w:p>
      <w:pPr>
        <w:spacing w:after="0" w:line="21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May 2019, we entered into additional agreements with Kioxia to extend Flash Ventures to a new wafer fabrication facility, known as “K1,” located in Kitakami, Japan. The primary purpose of K1 is to provide clean room space to continue the transition of existing flash-based wafer capacity to newer technology nodes. K1 is now fully operational. In connection with the start-up of this facility, we agreed to prepay an aggregate of approximately $360 million over a 3-year period beginning in the first half of fiscal year 2020 toward K1 building depreciation, to be credited against future wafer charges. As of January 1, 2021, remaining committed prepayments totaled $149 million.</w:t>
      </w:r>
    </w:p>
    <w:p>
      <w:pPr>
        <w:spacing w:after="0" w:line="210"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October 2020, Kioxia announced the start of construction of the shell for a new fabrication facility in Yokkaichi, Japan, referred to as “Y7”. We expect to continue Flash Ventures investments into Y7 in due course, following the completion of agreements with Kioxia governing the construction and operation of the new facility and according to then-prevailing market trends.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Second Quarter and First Half Overview</w:t>
      </w:r>
    </w:p>
    <w:p>
      <w:pPr>
        <w:spacing w:after="0" w:line="254" w:lineRule="exact"/>
        <w:rPr>
          <w:sz w:val="20"/>
          <w:szCs w:val="20"/>
          <w:color w:val="auto"/>
        </w:rPr>
      </w:pPr>
    </w:p>
    <w:p>
      <w:pPr>
        <w:ind w:firstLine="324"/>
        <w:spacing w:after="0" w:line="246" w:lineRule="auto"/>
        <w:rPr>
          <w:sz w:val="20"/>
          <w:szCs w:val="20"/>
          <w:color w:val="auto"/>
        </w:rPr>
      </w:pPr>
      <w:r>
        <w:rPr>
          <w:rFonts w:ascii="Times New Roman" w:cs="Times New Roman" w:eastAsia="Times New Roman" w:hAnsi="Times New Roman"/>
          <w:sz w:val="18"/>
          <w:szCs w:val="18"/>
          <w:color w:val="auto"/>
        </w:rPr>
        <w:t>The following table sets forth, for the periods presented, selected summary information from our Condensed Consolidated Statements of Operations by dollars and percentage of net revenue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cente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center"/>
              <w:ind w:left="261"/>
              <w:spacing w:after="0" w:line="129"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860" w:type="dxa"/>
            <w:vAlign w:val="bottom"/>
          </w:tcPr>
          <w:p>
            <w:pPr>
              <w:spacing w:after="0"/>
              <w:rPr>
                <w:sz w:val="11"/>
                <w:szCs w:val="11"/>
                <w:color w:val="auto"/>
              </w:rPr>
            </w:pPr>
          </w:p>
        </w:tc>
        <w:tc>
          <w:tcPr>
            <w:tcW w:w="94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gridSpan w:val="3"/>
          </w:tcPr>
          <w:p>
            <w:pPr>
              <w:jc w:val="right"/>
              <w:ind w:right="659"/>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3,943</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100.0 %</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4,234</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  $</w:t>
            </w:r>
          </w:p>
        </w:tc>
        <w:tc>
          <w:tcPr>
            <w:tcW w:w="9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4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ind w:right="219"/>
              <w:spacing w:after="0"/>
              <w:rPr>
                <w:sz w:val="20"/>
                <w:szCs w:val="20"/>
                <w:color w:val="auto"/>
              </w:rPr>
            </w:pPr>
            <w:r>
              <w:rPr>
                <w:rFonts w:ascii="Times New Roman" w:cs="Times New Roman" w:eastAsia="Times New Roman" w:hAnsi="Times New Roman"/>
                <w:sz w:val="16"/>
                <w:szCs w:val="16"/>
                <w:color w:val="auto"/>
              </w:rPr>
              <w:t>75.7</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3,299</w:t>
            </w:r>
          </w:p>
        </w:tc>
        <w:tc>
          <w:tcPr>
            <w:tcW w:w="4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379"/>
              <w:spacing w:after="0"/>
              <w:rPr>
                <w:sz w:val="20"/>
                <w:szCs w:val="20"/>
                <w:color w:val="auto"/>
              </w:rPr>
            </w:pPr>
            <w:r>
              <w:rPr>
                <w:rFonts w:ascii="Times New Roman" w:cs="Times New Roman" w:eastAsia="Times New Roman" w:hAnsi="Times New Roman"/>
                <w:sz w:val="16"/>
                <w:szCs w:val="16"/>
                <w:color w:val="auto"/>
              </w:rPr>
              <w:t>77.9</w:t>
            </w:r>
          </w:p>
        </w:tc>
        <w:tc>
          <w:tcPr>
            <w:tcW w:w="94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(316)</w:t>
            </w:r>
          </w:p>
        </w:tc>
        <w:tc>
          <w:tcPr>
            <w:tcW w:w="104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2"/>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24.3</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935</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22.1</w:t>
            </w: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9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13.6</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578</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13.7</w:t>
            </w:r>
          </w:p>
        </w:tc>
        <w:tc>
          <w:tcPr>
            <w:tcW w:w="9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(43)</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48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6.7</w:t>
            </w:r>
          </w:p>
        </w:tc>
        <w:tc>
          <w:tcPr>
            <w:tcW w:w="26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298</w:t>
            </w:r>
          </w:p>
        </w:tc>
        <w:tc>
          <w:tcPr>
            <w:tcW w:w="480" w:type="dxa"/>
            <w:vAlign w:val="bottom"/>
          </w:tcPr>
          <w:p>
            <w:pPr>
              <w:spacing w:after="0"/>
              <w:rPr>
                <w:sz w:val="18"/>
                <w:szCs w:val="18"/>
                <w:color w:val="auto"/>
              </w:rPr>
            </w:pPr>
          </w:p>
        </w:tc>
        <w:tc>
          <w:tcPr>
            <w:tcW w:w="8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7.0</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(33)</w:t>
            </w: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termination, asset impairment, and other charges</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0.2</w:t>
            </w:r>
          </w:p>
        </w:tc>
        <w:tc>
          <w:tcPr>
            <w:tcW w:w="9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07"/>
        </w:trPr>
        <w:tc>
          <w:tcPr>
            <w:tcW w:w="4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48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20.3</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885</w:t>
            </w:r>
          </w:p>
        </w:tc>
        <w:tc>
          <w:tcPr>
            <w:tcW w:w="4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20.9</w:t>
            </w:r>
          </w:p>
        </w:tc>
        <w:tc>
          <w:tcPr>
            <w:tcW w:w="94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(83)</w:t>
            </w:r>
          </w:p>
        </w:tc>
        <w:tc>
          <w:tcPr>
            <w:tcW w:w="104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4.0</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1.2</w:t>
            </w: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108</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1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0.2</w:t>
            </w:r>
          </w:p>
        </w:tc>
        <w:tc>
          <w:tcPr>
            <w:tcW w:w="9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3"/>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480" w:type="dxa"/>
            <w:vAlign w:val="bottom"/>
          </w:tcPr>
          <w:p>
            <w:pPr>
              <w:spacing w:after="0"/>
              <w:rPr>
                <w:sz w:val="18"/>
                <w:szCs w:val="18"/>
                <w:color w:val="auto"/>
              </w:rPr>
            </w:pPr>
          </w:p>
        </w:tc>
        <w:tc>
          <w:tcPr>
            <w:tcW w:w="7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480" w:type="dxa"/>
            <w:vAlign w:val="bottom"/>
          </w:tcPr>
          <w:p>
            <w:pPr>
              <w:spacing w:after="0"/>
              <w:rPr>
                <w:sz w:val="18"/>
                <w:szCs w:val="18"/>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(2.5)</w:t>
            </w: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24</w:t>
            </w: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0.2</w:t>
            </w:r>
          </w:p>
        </w:tc>
        <w:tc>
          <w:tcPr>
            <w:tcW w:w="9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7"/>
        </w:trPr>
        <w:tc>
          <w:tcPr>
            <w:tcW w:w="4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48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(1.9)</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4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ind w:right="339"/>
              <w:spacing w:after="0"/>
              <w:rPr>
                <w:sz w:val="20"/>
                <w:szCs w:val="20"/>
                <w:color w:val="auto"/>
              </w:rPr>
            </w:pPr>
            <w:r>
              <w:rPr>
                <w:rFonts w:ascii="Times New Roman" w:cs="Times New Roman" w:eastAsia="Times New Roman" w:hAnsi="Times New Roman"/>
                <w:sz w:val="16"/>
                <w:szCs w:val="16"/>
                <w:color w:val="auto"/>
              </w:rPr>
              <w:t>(2.1)</w:t>
            </w:r>
          </w:p>
        </w:tc>
        <w:tc>
          <w:tcPr>
            <w:tcW w:w="94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16"/>
                <w:szCs w:val="16"/>
                <w:color w:val="auto"/>
              </w:rPr>
              <w:t>17</w:t>
            </w:r>
          </w:p>
        </w:tc>
        <w:tc>
          <w:tcPr>
            <w:tcW w:w="104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(0.9)</w:t>
            </w: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125</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4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ind w:right="219"/>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99</w:t>
            </w:r>
          </w:p>
        </w:tc>
        <w:tc>
          <w:tcPr>
            <w:tcW w:w="4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379"/>
              <w:spacing w:after="0"/>
              <w:rPr>
                <w:sz w:val="20"/>
                <w:szCs w:val="20"/>
                <w:color w:val="auto"/>
              </w:rPr>
            </w:pPr>
            <w:r>
              <w:rPr>
                <w:rFonts w:ascii="Times New Roman" w:cs="Times New Roman" w:eastAsia="Times New Roman" w:hAnsi="Times New Roman"/>
                <w:sz w:val="16"/>
                <w:szCs w:val="16"/>
                <w:color w:val="auto"/>
              </w:rPr>
              <w:t>2.3</w:t>
            </w:r>
          </w:p>
        </w:tc>
        <w:tc>
          <w:tcPr>
            <w:tcW w:w="94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(76)</w:t>
            </w:r>
          </w:p>
        </w:tc>
        <w:tc>
          <w:tcPr>
            <w:tcW w:w="104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4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4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(3.3)</w:t>
            </w:r>
          </w:p>
        </w:tc>
        <w:tc>
          <w:tcPr>
            <w:tcW w:w="94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201</w:t>
            </w: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9683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Percentages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center"/>
              <w:ind w:left="26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center"/>
              <w:ind w:left="281"/>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860" w:type="dxa"/>
            <w:vAlign w:val="bottom"/>
          </w:tcPr>
          <w:p>
            <w:pPr>
              <w:spacing w:after="0"/>
              <w:rPr>
                <w:sz w:val="11"/>
                <w:szCs w:val="11"/>
                <w:color w:val="auto"/>
              </w:rPr>
            </w:pPr>
          </w:p>
        </w:tc>
        <w:tc>
          <w:tcPr>
            <w:tcW w:w="94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gridSpan w:val="3"/>
          </w:tcPr>
          <w:p>
            <w:pPr>
              <w:jc w:val="right"/>
              <w:ind w:right="639"/>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7,865</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100.0 %</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8,274</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  $</w:t>
            </w:r>
          </w:p>
        </w:tc>
        <w:tc>
          <w:tcPr>
            <w:tcW w:w="9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6,001</w:t>
            </w:r>
          </w:p>
        </w:tc>
        <w:tc>
          <w:tcPr>
            <w:tcW w:w="5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ind w:right="219"/>
              <w:spacing w:after="0"/>
              <w:rPr>
                <w:sz w:val="20"/>
                <w:szCs w:val="20"/>
                <w:color w:val="auto"/>
              </w:rPr>
            </w:pPr>
            <w:r>
              <w:rPr>
                <w:rFonts w:ascii="Times New Roman" w:cs="Times New Roman" w:eastAsia="Times New Roman" w:hAnsi="Times New Roman"/>
                <w:sz w:val="16"/>
                <w:szCs w:val="16"/>
                <w:color w:val="auto"/>
              </w:rPr>
              <w:t>76.3</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6,581</w:t>
            </w:r>
          </w:p>
        </w:tc>
        <w:tc>
          <w:tcPr>
            <w:tcW w:w="4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379"/>
              <w:spacing w:after="0"/>
              <w:rPr>
                <w:sz w:val="20"/>
                <w:szCs w:val="20"/>
                <w:color w:val="auto"/>
              </w:rPr>
            </w:pPr>
            <w:r>
              <w:rPr>
                <w:rFonts w:ascii="Times New Roman" w:cs="Times New Roman" w:eastAsia="Times New Roman" w:hAnsi="Times New Roman"/>
                <w:sz w:val="16"/>
                <w:szCs w:val="16"/>
                <w:color w:val="auto"/>
              </w:rPr>
              <w:t>79.5</w:t>
            </w:r>
          </w:p>
        </w:tc>
        <w:tc>
          <w:tcPr>
            <w:tcW w:w="94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(580)</w:t>
            </w:r>
          </w:p>
        </w:tc>
        <w:tc>
          <w:tcPr>
            <w:tcW w:w="104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2"/>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23.7</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20.5</w:t>
            </w: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171</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13.9</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13.9</w:t>
            </w:r>
          </w:p>
        </w:tc>
        <w:tc>
          <w:tcPr>
            <w:tcW w:w="9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(62)</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50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6.6</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480" w:type="dxa"/>
            <w:vAlign w:val="bottom"/>
          </w:tcPr>
          <w:p>
            <w:pPr>
              <w:spacing w:after="0"/>
              <w:rPr>
                <w:sz w:val="18"/>
                <w:szCs w:val="18"/>
                <w:color w:val="auto"/>
              </w:rPr>
            </w:pPr>
          </w:p>
        </w:tc>
        <w:tc>
          <w:tcPr>
            <w:tcW w:w="8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7.3</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(82)</w:t>
            </w: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termination, asset impairment, and other charges</w:t>
            </w: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0.2</w:t>
            </w: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7"/>
        </w:trPr>
        <w:tc>
          <w:tcPr>
            <w:tcW w:w="4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5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20.8</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4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ind w:right="379"/>
              <w:spacing w:after="0"/>
              <w:rPr>
                <w:sz w:val="20"/>
                <w:szCs w:val="20"/>
                <w:color w:val="auto"/>
              </w:rPr>
            </w:pPr>
            <w:r>
              <w:rPr>
                <w:rFonts w:ascii="Times New Roman" w:cs="Times New Roman" w:eastAsia="Times New Roman" w:hAnsi="Times New Roman"/>
                <w:sz w:val="16"/>
                <w:szCs w:val="16"/>
                <w:color w:val="auto"/>
              </w:rPr>
              <w:t>21.4</w:t>
            </w:r>
          </w:p>
        </w:tc>
        <w:tc>
          <w:tcPr>
            <w:tcW w:w="94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(136)</w:t>
            </w:r>
          </w:p>
        </w:tc>
        <w:tc>
          <w:tcPr>
            <w:tcW w:w="104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(1.0)</w:t>
            </w: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307</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0.2</w:t>
            </w:r>
          </w:p>
        </w:tc>
        <w:tc>
          <w:tcPr>
            <w:tcW w:w="9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3"/>
        </w:trPr>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500" w:type="dxa"/>
            <w:vAlign w:val="bottom"/>
          </w:tcPr>
          <w:p>
            <w:pPr>
              <w:spacing w:after="0"/>
              <w:rPr>
                <w:sz w:val="18"/>
                <w:szCs w:val="18"/>
                <w:color w:val="auto"/>
              </w:rPr>
            </w:pPr>
          </w:p>
        </w:tc>
        <w:tc>
          <w:tcPr>
            <w:tcW w:w="7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48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(2.7)</w:t>
            </w: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62</w:t>
            </w: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0.1</w:t>
            </w: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7"/>
        </w:trPr>
        <w:tc>
          <w:tcPr>
            <w:tcW w:w="4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5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(1.9)</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4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ind w:right="319"/>
              <w:spacing w:after="0"/>
              <w:rPr>
                <w:sz w:val="20"/>
                <w:szCs w:val="20"/>
                <w:color w:val="auto"/>
              </w:rPr>
            </w:pPr>
            <w:r>
              <w:rPr>
                <w:rFonts w:ascii="Times New Roman" w:cs="Times New Roman" w:eastAsia="Times New Roman" w:hAnsi="Times New Roman"/>
                <w:sz w:val="16"/>
                <w:szCs w:val="16"/>
                <w:color w:val="auto"/>
              </w:rPr>
              <w:t>(2.4)</w:t>
            </w:r>
          </w:p>
        </w:tc>
        <w:tc>
          <w:tcPr>
            <w:tcW w:w="94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16"/>
                <w:szCs w:val="16"/>
                <w:color w:val="auto"/>
              </w:rPr>
              <w:t>52</w:t>
            </w:r>
          </w:p>
        </w:tc>
        <w:tc>
          <w:tcPr>
            <w:tcW w:w="104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2"/>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(3.3)</w:t>
            </w: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359</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5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ind w:right="219"/>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4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379"/>
              <w:spacing w:after="0"/>
              <w:rPr>
                <w:sz w:val="20"/>
                <w:szCs w:val="20"/>
                <w:color w:val="auto"/>
              </w:rPr>
            </w:pPr>
            <w:r>
              <w:rPr>
                <w:rFonts w:ascii="Times New Roman" w:cs="Times New Roman" w:eastAsia="Times New Roman" w:hAnsi="Times New Roman"/>
                <w:sz w:val="16"/>
                <w:szCs w:val="16"/>
                <w:color w:val="auto"/>
              </w:rPr>
              <w:t>1.7</w:t>
            </w:r>
          </w:p>
        </w:tc>
        <w:tc>
          <w:tcPr>
            <w:tcW w:w="94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(58)</w:t>
            </w:r>
          </w:p>
        </w:tc>
        <w:tc>
          <w:tcPr>
            <w:tcW w:w="104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5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4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(5.0)</w:t>
            </w:r>
          </w:p>
        </w:tc>
        <w:tc>
          <w:tcPr>
            <w:tcW w:w="94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417</w:t>
            </w: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for the periods presented, summary information regarding our revenue: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262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33"/>
        </w:trPr>
        <w:tc>
          <w:tcPr>
            <w:tcW w:w="52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01"/>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r>
      <w:tr>
        <w:trPr>
          <w:trHeight w:val="189"/>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4,804</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Flash-based</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w:t>
            </w: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3,943</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8,274</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6"/>
        </w:trPr>
        <w:tc>
          <w:tcPr>
            <w:tcW w:w="5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by End Market</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Client Devices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Data Center Devices &amp; Solutions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w:t>
            </w: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Client Solutions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w:t>
            </w:r>
          </w:p>
        </w:tc>
      </w:tr>
      <w:tr>
        <w:trPr>
          <w:trHeight w:val="212"/>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8,274</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by Geography</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w:t>
            </w: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3,943</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8,274</w:t>
            </w:r>
          </w:p>
        </w:tc>
      </w:tr>
      <w:tr>
        <w:trPr>
          <w:trHeight w:val="2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254"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Net revenue decreased 7% for the three months ended January 1, 2021 compared to the three months ended January 3, 2020, which reflects an approximate 11 percentage point decline in revenue related to pricing per gigabyte of memory for both HDD and flash products and an approximate 6 percentage point decline in exabyte volume of HDD memory sold, primarily in Data Center Devices and Solutions as discussed further below. These declines were largely offset by higher volumes of flash memory sold.</w:t>
      </w:r>
    </w:p>
    <w:p>
      <w:pPr>
        <w:spacing w:after="0" w:line="20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Client Devices revenue increased 19% year over year. Higher volumes of flash memory contributed 28 percentage points of growth, as work-, school-and game-from-home trends continued to drive demand for our solutions for notebook and desktop applications. Western Digital’s industry leading NVMe-based client SSDs and strong relationships with major PC OEMs drove a record level of exabyte shipments. These increases were slightly offset, in relatively equal portions, by lower average pricing per gigabyte of memory on both HDD and flash products and lower volumes of HDD.</w:t>
      </w:r>
    </w:p>
    <w:p>
      <w:pPr>
        <w:spacing w:after="0" w:line="20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Data Center Devices and Solutions revenue declined 46% year over year due to ongoing cloud digestion, one ongoing qualification delay and China shipment restrictions. Revenue from both capacity enterprise hard drives and enterprise SSDs were down year over year. We believe cloud digestion is abating and are seeing stabilization of OEM demand. Should these demand trends continue, we believe capacity enterprise hard drive revenue bottomed in the second quarter and anticipate a rebound in the third quarter. Within our enterprise SSD product line, we completed the qualification process at a cloud titan for our second-generation product and began shipping to this customer in the third quarter.</w:t>
      </w:r>
    </w:p>
    <w:p>
      <w:pPr>
        <w:spacing w:after="0" w:line="210"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Client Solutions revenue increased 6% year over year with approximately 12 percentage points driven by volume growth. The work-, school- and gaming-from-home trends benefited both hard drive and flash-based products. This growth was partially offset by more competitive pricing.</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Net revenue decreased 5% for the six months ended January 1, 2021 from the comparable period in the prior year, reflecting an approximate 11 percentage point decline related to pricing per gigabyte of memory for both HDD and flash products and an approximate 8 percentage point decline in HDD memory sold, primarily in Data Center Devices and Solutions. These declines were largely offset by higher volumes of memory, predominantly in flash products. Client Devices revenue increased 19% year over year, with approximately 25 percentage points of growth coming from higher volumes of memory, driven by growth in flash products for the same reasons noted above for the quarter. This increase was partially offset by lower average selling prices per gigabyte of memory in both flash and HDD products. Revenue for Data Center Devices and Solutions declined 36% year over year, which also reflects the drivers noted for the quarter above. Client Solutions revenue was essentially flat year over year, with relatively stable retail demand and pricing in both HDD and flash products.</w:t>
      </w:r>
    </w:p>
    <w:p>
      <w:pPr>
        <w:spacing w:after="0" w:line="21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changes in net revenue by geography reflect an increase in Asia due to our increased sales of mobility products to manufacturers in the Asia region, and a decrease in the Americas driven by lower sales of capacity enterprise products.</w:t>
      </w:r>
    </w:p>
    <w:p>
      <w:pPr>
        <w:spacing w:after="0" w:line="18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top 10 customers accounted for 43% and 41% of our net revenue for the three and six months ended January 1, 2021, respectively, and 44% and 43% for the three and six months ended January 3, 2020, respectively. For the three and six months ended January 1, 2021 and January 3, 2020, no single customer accounted for 10% or more of our net revenue.</w:t>
      </w:r>
    </w:p>
    <w:p>
      <w:pPr>
        <w:spacing w:after="0" w:line="203"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Consistent with standard industry practice, we have sales incentive and marketing programs that provide customers with price protection and other incentives or reimbursements that are recorded as a reduction to gross revenue. For the three and six months ended January 1, 2021 and January 3, 2020, these programs represented 20% and 19% and 17% and 16%, respectively, of gross revenues, and adjustments to revenue due to changes in accruals for these programs have generally averaged less than 1% of gross revenue year over year. The increase in adjustments year over year reflects the current competitive environment.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54"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Gross profit increased by $25 million for the three months ended January 1, 2021 from the comparable period in the prior year, which reflects a $48 million decrease in charges in the current year related to amortization expense on acquired intangible assets and the $45 million insurance recovery in the current year related to the power outage incident, partially offset by lower revenues.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Gross margin increased approximately 3 percentage points for the three months ended January 1, 2021 from the comparable period in the prior year, substantially all of which is attributed to the impacts of the lower charges for amortization of acquired intangible assets and the insurance recovery noted above.</w:t>
      </w:r>
    </w:p>
    <w:p>
      <w:pPr>
        <w:spacing w:after="0" w:line="20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Gross profit increased by $171 million for the six months ended January 1, 2021 from the comparable period in the prior year, which reflects the power outage charges of $68 million incurred in the prior year compared to the $75 million partial recovery in the current year, a $67 million decrease in charges in the current year related to amortization expense on acquired intangible assets and reduced manufacturing costs.</w:t>
      </w:r>
    </w:p>
    <w:p>
      <w:pPr>
        <w:spacing w:after="0" w:line="20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Gross margin increased approximately 10 percentage points for the six months ended January 1, 2021 from the comparable period in the prior year, substantially all of which is attributed to the impacts of the charges related to the power outage incident in the prior year, the insurance recovery in the current year and the lower charges for amortization of acquired intangible assets noted above. Over the near term, we expect flash gross margin to benefit from improved pricing and cost reductions while HDD gross margin is expected to be constrained by the pricing environment for 16-terabyte drives, but we expect improved gross margins over the longer term as we ramp production on higher capacity drives.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5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(“R&amp;D”) expense decreased $43 million for the three months ended January 1, 2021 from the comparable period in the prior year. The decrease was driven, in comparable amounts, by lower compensation costs, lower travel and entertainment expenses due to the COVID-19 restrictions, and a decline in outside services. R&amp;D expense decreased $62 million for the six months ended January 1, 2021 from the comparable period in the prior year, reflecting the drivers noted above for the quarter, as well as the impact of additional expense in the prior year for the additional week in the prior year.</w:t>
      </w:r>
    </w:p>
    <w:p>
      <w:pPr>
        <w:spacing w:after="0" w:line="21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(“SG&amp;A”) expense decreased $33 million for the three months ended January 1, 2021 from the comparable period in the prior year. The decrease was driven, in comparable amounts, by lower compensation costs, lower travel and entertainment as a result of COVID-19 restrictions and lower consulting and marketing expenses due to event cancellations. SG&amp;A expense decreased $82 million for the six months ended January 1, 2021 from the comparable period in the prior year. Similar to the quarter, the decline was driven, in comparable amounts, by lower compensation costs, lower travel and entertainment as a result of COVID-19 restrictions and lower consulting and marketing expenses due to event cancellations, as well as approximately $10 million of additional expense in the prior year related to the additional week.</w:t>
      </w:r>
    </w:p>
    <w:p>
      <w:pPr>
        <w:spacing w:after="0" w:line="214" w:lineRule="exact"/>
        <w:rPr>
          <w:sz w:val="20"/>
          <w:szCs w:val="20"/>
          <w:color w:val="auto"/>
        </w:rPr>
      </w:pPr>
    </w:p>
    <w:p>
      <w:pPr>
        <w:ind w:right="180" w:firstLine="324"/>
        <w:spacing w:after="0" w:line="245" w:lineRule="auto"/>
        <w:rPr>
          <w:sz w:val="20"/>
          <w:szCs w:val="20"/>
          <w:color w:val="auto"/>
        </w:rPr>
      </w:pPr>
      <w:r>
        <w:rPr>
          <w:rFonts w:ascii="Times New Roman" w:cs="Times New Roman" w:eastAsia="Times New Roman" w:hAnsi="Times New Roman"/>
          <w:sz w:val="18"/>
          <w:szCs w:val="18"/>
          <w:color w:val="auto"/>
        </w:rPr>
        <w:t xml:space="preserve">Employee termination, asset impairment and other charges increased from the comparable period in the prior year as we initiated incremental actions to align our operations with current market demand. For information regarding employee termination, asset impairment and other charges, see Part I, Item 1, Note 14, </w:t>
      </w:r>
      <w:r>
        <w:rPr>
          <w:rFonts w:ascii="Times New Roman" w:cs="Times New Roman" w:eastAsia="Times New Roman" w:hAnsi="Times New Roman"/>
          <w:sz w:val="18"/>
          <w:szCs w:val="18"/>
          <w:i w:val="1"/>
          <w:iCs w:val="1"/>
          <w:color w:val="auto"/>
        </w:rPr>
        <w:t>Employee Termination, Asset Impairment and Other Charges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and Other Income (Expense)</w:t>
      </w:r>
    </w:p>
    <w:p>
      <w:pPr>
        <w:spacing w:after="0" w:line="254"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decreases in total interest and other expense, net for the three and six months ended January 1, 2021 reflect lower interest expense resulting from lower index rates and the pay-down of principal on our debt.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5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Tax Cuts and Jobs Act (the “2017 Act”) includes a broad range of tax reform proposals affecting businesses. We completed our accounting for the tax effects of the enactment of the 2017 Act during the second quarter of fiscal 2019. However, the U.S. Treasury and the Internal Revenue Service (“IRS”) have issued tax guidance on certain provisions of the 2017 Act since the enactment date, and we anticipate the issuance of additional regulatory and interpretive guidance. We applied a reasonable interpretation of the 2017 Act along with the then-available guidance in finalizing our accounting for the tax effects of the 2017 Act. Any additional regulatory or interpretive guidance would constitute new information, which may require further refinements to our estimates in future periods.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income tax information from our Condensed Consolidated Statements of Operations by dollar and effective tax rate: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00" w:type="dxa"/>
            <w:vAlign w:val="bottom"/>
          </w:tcPr>
          <w:p>
            <w:pPr>
              <w:spacing w:after="0"/>
              <w:rPr>
                <w:sz w:val="16"/>
                <w:szCs w:val="16"/>
                <w:color w:val="auto"/>
              </w:rPr>
            </w:pPr>
          </w:p>
        </w:tc>
        <w:tc>
          <w:tcPr>
            <w:tcW w:w="322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2700" w:type="dxa"/>
            <w:vAlign w:val="bottom"/>
            <w:gridSpan w:val="3"/>
          </w:tcPr>
          <w:p>
            <w:pPr>
              <w:jc w:val="right"/>
              <w:ind w:right="92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33"/>
        </w:trPr>
        <w:tc>
          <w:tcPr>
            <w:tcW w:w="4900" w:type="dxa"/>
            <w:vAlign w:val="bottom"/>
          </w:tcPr>
          <w:p>
            <w:pPr>
              <w:spacing w:after="0"/>
              <w:rPr>
                <w:sz w:val="11"/>
                <w:szCs w:val="11"/>
                <w:color w:val="auto"/>
              </w:rPr>
            </w:pPr>
          </w:p>
        </w:tc>
        <w:tc>
          <w:tcPr>
            <w:tcW w:w="1100" w:type="dxa"/>
            <w:vAlign w:val="bottom"/>
            <w:tcBorders>
              <w:top w:val="single" w:sz="8" w:color="auto"/>
            </w:tcBorders>
          </w:tcPr>
          <w:p>
            <w:pPr>
              <w:jc w:val="center"/>
              <w:ind w:left="326"/>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4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362"/>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404"/>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343"/>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r>
      <w:tr>
        <w:trPr>
          <w:trHeight w:val="189"/>
        </w:trPr>
        <w:tc>
          <w:tcPr>
            <w:tcW w:w="4900" w:type="dxa"/>
            <w:vAlign w:val="bottom"/>
          </w:tcPr>
          <w:p>
            <w:pPr>
              <w:spacing w:after="0"/>
              <w:rPr>
                <w:sz w:val="16"/>
                <w:szCs w:val="16"/>
                <w:color w:val="auto"/>
              </w:rPr>
            </w:pPr>
          </w:p>
        </w:tc>
        <w:tc>
          <w:tcPr>
            <w:tcW w:w="11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8"/>
        </w:trPr>
        <w:tc>
          <w:tcPr>
            <w:tcW w:w="4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 in millions)</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8"/>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110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85</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82</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(277)</w:t>
            </w: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w:t>
            </w:r>
          </w:p>
        </w:tc>
        <w:tc>
          <w:tcPr>
            <w:tcW w:w="32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80</w:t>
            </w:r>
          </w:p>
        </w:tc>
        <w:tc>
          <w:tcPr>
            <w:tcW w:w="320" w:type="dxa"/>
            <w:vAlign w:val="bottom"/>
          </w:tcPr>
          <w:p>
            <w:pPr>
              <w:spacing w:after="0"/>
              <w:rPr>
                <w:sz w:val="18"/>
                <w:szCs w:val="18"/>
                <w:color w:val="auto"/>
              </w:rPr>
            </w:pPr>
          </w:p>
        </w:tc>
        <w:tc>
          <w:tcPr>
            <w:tcW w:w="12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138</w:t>
            </w:r>
          </w:p>
        </w:tc>
      </w:tr>
      <w:tr>
        <w:trPr>
          <w:trHeight w:val="21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27 %</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98 %</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bl>
    <w:p>
      <w:pPr>
        <w:spacing w:after="0" w:line="333"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and six months ended January 1, 2021 and the U.S. Federal statutory rate of 21% are the relative mix of earnings and losses by jurisdiction, the deduction for foreign derived intangible income, credits, and tax holidays in Malaysia, the Philippines and Thailand that will expire at various dates during fiscal years 2021 through 2030. In addition, the effective tax rate for the three and six months ended January 1, 2021 includes the discrete effects of favorable adjustments proposed by tax authorities of $8 million. The effective tax rate for the six months ended January 1, 2021 also includes the discrete effects of net tax deficiencies from shortfalls of $12 million related to the vesting of stock-based awards and additional tax expense of $10 million from the re-measurement of deferred tax liabilities due to restructuring activities, which have no impact on the amount of income taxes paid by us.</w:t>
      </w:r>
    </w:p>
    <w:p>
      <w:pPr>
        <w:spacing w:after="0" w:line="216"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primary driver of the difference between the effective tax rate for the three and six months ended January 3, 2020 and the U.S. Federal statutory rate of 21% are the relative mix of earnings and losses by jurisdiction, the deduction for foreign derived intangible income, credits, and tax holidays in Malaysia, Philippines and Thailand that expired or will expire at various dates during fiscal years 2020 through 2030.</w:t>
      </w:r>
    </w:p>
    <w:p>
      <w:pPr>
        <w:spacing w:after="0" w:line="203" w:lineRule="exact"/>
        <w:rPr>
          <w:sz w:val="20"/>
          <w:szCs w:val="20"/>
          <w:color w:val="auto"/>
        </w:rPr>
      </w:pPr>
    </w:p>
    <w:p>
      <w:pPr>
        <w:ind w:right="980" w:firstLine="324"/>
        <w:spacing w:after="0" w:line="282" w:lineRule="auto"/>
        <w:rPr>
          <w:sz w:val="20"/>
          <w:szCs w:val="20"/>
          <w:color w:val="auto"/>
        </w:rPr>
      </w:pPr>
      <w:r>
        <w:rPr>
          <w:rFonts w:ascii="Times New Roman" w:cs="Times New Roman" w:eastAsia="Times New Roman" w:hAnsi="Times New Roman"/>
          <w:sz w:val="18"/>
          <w:szCs w:val="18"/>
          <w:color w:val="auto"/>
        </w:rPr>
        <w:t>Our future effective tax rate is subject to future regulatory developments and changes in the mix of our U.S. earnings compared to foreign earnings. Our total tax expense in future fiscal years may also vary as a result of discrete items such as excess tax benefits or deficiencies.</w:t>
      </w:r>
    </w:p>
    <w:p>
      <w:pPr>
        <w:spacing w:after="0" w:line="187" w:lineRule="exact"/>
        <w:rPr>
          <w:sz w:val="20"/>
          <w:szCs w:val="20"/>
          <w:color w:val="auto"/>
        </w:rPr>
      </w:pPr>
    </w:p>
    <w:p>
      <w:pPr>
        <w:ind w:right="5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regarding Income tax expense (benefit), see Part I, Item 1, Note 12,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statements of cash flows: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80" w:type="dxa"/>
            <w:vAlign w:val="bottom"/>
            <w:tcBorders>
              <w:bottom w:val="single" w:sz="8" w:color="auto"/>
            </w:tcBorders>
          </w:tcPr>
          <w:p>
            <w:pPr>
              <w:spacing w:after="0"/>
              <w:rPr>
                <w:sz w:val="16"/>
                <w:szCs w:val="16"/>
                <w:color w:val="auto"/>
              </w:rPr>
            </w:pPr>
          </w:p>
        </w:tc>
      </w:tr>
      <w:tr>
        <w:trPr>
          <w:trHeight w:val="134"/>
        </w:trPr>
        <w:tc>
          <w:tcPr>
            <w:tcW w:w="8260" w:type="dxa"/>
            <w:vAlign w:val="bottom"/>
          </w:tcPr>
          <w:p>
            <w:pPr>
              <w:spacing w:after="0"/>
              <w:rPr>
                <w:sz w:val="11"/>
                <w:szCs w:val="11"/>
                <w:color w:val="auto"/>
              </w:rPr>
            </w:pPr>
          </w:p>
        </w:tc>
        <w:tc>
          <w:tcPr>
            <w:tcW w:w="106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380" w:type="dxa"/>
            <w:vAlign w:val="bottom"/>
          </w:tcPr>
          <w:p>
            <w:pPr>
              <w:spacing w:after="0"/>
              <w:rPr>
                <w:sz w:val="11"/>
                <w:szCs w:val="11"/>
                <w:color w:val="auto"/>
              </w:rPr>
            </w:pPr>
          </w:p>
        </w:tc>
      </w:tr>
      <w:tr>
        <w:trPr>
          <w:trHeight w:val="189"/>
        </w:trPr>
        <w:tc>
          <w:tcPr>
            <w:tcW w:w="8260" w:type="dxa"/>
            <w:vAlign w:val="bottom"/>
          </w:tcPr>
          <w:p>
            <w:pPr>
              <w:spacing w:after="0"/>
              <w:rPr>
                <w:sz w:val="16"/>
                <w:szCs w:val="16"/>
                <w:color w:val="auto"/>
              </w:rPr>
            </w:pPr>
          </w:p>
        </w:tc>
        <w:tc>
          <w:tcPr>
            <w:tcW w:w="10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r>
      <w:tr>
        <w:trPr>
          <w:trHeight w:val="183"/>
        </w:trPr>
        <w:tc>
          <w:tcPr>
            <w:tcW w:w="8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40" w:type="dxa"/>
            <w:vAlign w:val="bottom"/>
            <w:gridSpan w:val="3"/>
          </w:tcPr>
          <w:p>
            <w:pPr>
              <w:jc w:val="right"/>
              <w:ind w:right="68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Pr>
          <w:p>
            <w:pPr>
              <w:spacing w:after="0"/>
              <w:rPr>
                <w:sz w:val="15"/>
                <w:szCs w:val="15"/>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activities</w:t>
            </w:r>
          </w:p>
        </w:tc>
        <w:tc>
          <w:tcPr>
            <w:tcW w:w="1060" w:type="dxa"/>
            <w:vAlign w:val="bottom"/>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Pr>
          <w:p>
            <w:pPr>
              <w:spacing w:after="0"/>
              <w:rPr>
                <w:sz w:val="18"/>
                <w:szCs w:val="18"/>
                <w:color w:val="auto"/>
              </w:rPr>
            </w:pPr>
          </w:p>
        </w:tc>
        <w:tc>
          <w:tcPr>
            <w:tcW w:w="1060" w:type="dxa"/>
            <w:vAlign w:val="bottom"/>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Investing activities</w:t>
            </w: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(436)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activities</w:t>
            </w: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(450)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(985)</w:t>
            </w:r>
          </w:p>
        </w:tc>
      </w:tr>
      <w:tr>
        <w:trPr>
          <w:trHeight w:val="216"/>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0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06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(318)</w:t>
            </w:r>
          </w:p>
        </w:tc>
      </w:tr>
      <w:tr>
        <w:trPr>
          <w:trHeight w:val="21"/>
        </w:trPr>
        <w:tc>
          <w:tcPr>
            <w:tcW w:w="8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believe our cash, cash equivalents and cash generated from operations as well as our available credit facilities will be sufficient to meet our working capital, debt and capital expenditure needs for at least the next twelve months. Our ability to sustain our working capital position is subject to a number of risks that we discuss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fiscal year ended July 3, 2020.</w:t>
      </w:r>
    </w:p>
    <w:p>
      <w:pPr>
        <w:spacing w:after="0" w:line="203"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During fiscal 2021, we expect expenditures for property, plant and equipment for our company plus our portion of the capital expenditures by our Flash Ventures joint venture with Kioxia for its operations to aggregate approximately $3.1 billion. After consideration of the Flash Ventures’ lease financing of its capital expenditures and net operating cash flow, we expect net cash used for our purchases of property, plant and equipment and net activity in notes receivable relating to Flash Ventures to be a cash outflow of approximately $1.0 billion during fiscal 2021. The total expected cash to be used could vary depending on the timing and completion of various capital projects and the availability, timing and terms of related financing</w:t>
      </w:r>
      <w:r>
        <w:rPr>
          <w:rFonts w:ascii="Times New Roman" w:cs="Times New Roman" w:eastAsia="Times New Roman" w:hAnsi="Times New Roman"/>
          <w:sz w:val="18"/>
          <w:szCs w:val="18"/>
          <w:color w:val="7030A0"/>
        </w:rPr>
        <w:t>.</w:t>
      </w:r>
    </w:p>
    <w:p>
      <w:pPr>
        <w:spacing w:after="0" w:line="21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During fiscal 2019, we determined that it was our intention to repatriate all of our foreign undistributed earnings as a result of the 2017 Act, except a portion of our foreign undistributed earnings, which could result in additional federal taxes based on interpretive guidance issued by the IRS. After consideration of this interpretative guidance affecting the taxation of a certain portion of our foreign undistributed earnings, we determined that we do not intend to repatriate this portion of our foreign undistributed earnings and did not establish an accrual for this liability.</w:t>
      </w:r>
    </w:p>
    <w:p>
      <w:pPr>
        <w:spacing w:after="0" w:line="20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 total of $1.91 billion and $2.28 billion of our Cash and cash equivalents was held outside of the U.S. as of January 1, 2021 and January 3, 2020, respectively. As a result of the change in our permanent reinvestment assertion, there are no material tax consequences that were not previously accrued for on the repatriation of this cash.</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Cash flow from operating activities primarily consists of net income, adjusted for non-cash charges, plus or minus changes in operating assets and liabilities. This represents our principal source of cash. Net cash used for changes in operating assets and liabilities was $78 million for the six months ended January 1, 2021, as compared to $20 million of net cash used for changes in operating assets and liabilities for the six months ended January 3, 2020. Changes in our operating assets and liabilities are largely affected by our working capital requirements, which are dependent on the effective management of our cash conversion cycle as well as timing of payments for taxes. Our cash conversion cycle measures how quickly we can convert our products into cash through sales. The cash conversion cycles were as follows:</w:t>
      </w:r>
    </w:p>
    <w:p>
      <w:pPr>
        <w:spacing w:after="0" w:line="5"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60" w:type="dxa"/>
            <w:vAlign w:val="bottom"/>
          </w:tcPr>
          <w:p>
            <w:pPr>
              <w:spacing w:after="0"/>
              <w:rPr>
                <w:sz w:val="12"/>
                <w:szCs w:val="12"/>
                <w:color w:val="auto"/>
              </w:rPr>
            </w:pPr>
          </w:p>
        </w:tc>
        <w:tc>
          <w:tcPr>
            <w:tcW w:w="1100" w:type="dxa"/>
            <w:vAlign w:val="bottom"/>
            <w:tcBorders>
              <w:top w:val="single" w:sz="8" w:color="auto"/>
            </w:tcBorders>
          </w:tcPr>
          <w:p>
            <w:pPr>
              <w:ind w:left="400"/>
              <w:spacing w:after="0" w:line="13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202"/>
              <w:spacing w:after="0" w:line="139" w:lineRule="exact"/>
              <w:rPr>
                <w:sz w:val="20"/>
                <w:szCs w:val="20"/>
                <w:color w:val="auto"/>
              </w:rPr>
            </w:pPr>
            <w:r>
              <w:rPr>
                <w:rFonts w:ascii="Times New Roman" w:cs="Times New Roman" w:eastAsia="Times New Roman" w:hAnsi="Times New Roman"/>
                <w:sz w:val="14"/>
                <w:szCs w:val="14"/>
                <w:b w:val="1"/>
                <w:bCs w:val="1"/>
                <w:color w:val="auto"/>
              </w:rPr>
              <w:t>January 3,</w:t>
            </w:r>
          </w:p>
        </w:tc>
      </w:tr>
      <w:tr>
        <w:trPr>
          <w:trHeight w:val="189"/>
        </w:trPr>
        <w:tc>
          <w:tcPr>
            <w:tcW w:w="9360" w:type="dxa"/>
            <w:vAlign w:val="bottom"/>
            <w:gridSpan w:val="2"/>
          </w:tcPr>
          <w:p>
            <w:pPr>
              <w:ind w:left="88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2"/>
        </w:trPr>
        <w:tc>
          <w:tcPr>
            <w:tcW w:w="826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i w:val="1"/>
                <w:iCs w:val="1"/>
                <w:color w:val="auto"/>
              </w:rPr>
              <w:t>(in days)</w:t>
            </w:r>
          </w:p>
        </w:tc>
        <w:tc>
          <w:tcPr>
            <w:tcW w:w="1140" w:type="dxa"/>
            <w:vAlign w:val="bottom"/>
            <w:tcBorders>
              <w:top w:val="single" w:sz="8" w:color="auto"/>
            </w:tcBorders>
          </w:tcPr>
          <w:p>
            <w:pPr>
              <w:spacing w:after="0"/>
              <w:rPr>
                <w:sz w:val="15"/>
                <w:szCs w:val="15"/>
                <w:color w:val="auto"/>
              </w:rPr>
            </w:pPr>
          </w:p>
        </w:tc>
      </w:tr>
      <w:tr>
        <w:trPr>
          <w:trHeight w:val="216"/>
        </w:trPr>
        <w:tc>
          <w:tcPr>
            <w:tcW w:w="9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Days sales outstanding</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782"/>
              <w:spacing w:after="0"/>
              <w:rPr>
                <w:sz w:val="20"/>
                <w:szCs w:val="20"/>
                <w:color w:val="auto"/>
              </w:rPr>
            </w:pPr>
            <w:r>
              <w:rPr>
                <w:rFonts w:ascii="Times New Roman" w:cs="Times New Roman" w:eastAsia="Times New Roman" w:hAnsi="Times New Roman"/>
                <w:sz w:val="16"/>
                <w:szCs w:val="16"/>
                <w:color w:val="auto"/>
                <w:w w:val="99"/>
              </w:rPr>
              <w:t>38</w:t>
            </w:r>
          </w:p>
        </w:tc>
      </w:tr>
      <w:tr>
        <w:trPr>
          <w:trHeight w:val="213"/>
        </w:trPr>
        <w:tc>
          <w:tcPr>
            <w:tcW w:w="9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Days in inventory</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center"/>
              <w:ind w:left="782"/>
              <w:spacing w:after="0"/>
              <w:rPr>
                <w:sz w:val="20"/>
                <w:szCs w:val="20"/>
                <w:color w:val="auto"/>
              </w:rPr>
            </w:pPr>
            <w:r>
              <w:rPr>
                <w:rFonts w:ascii="Times New Roman" w:cs="Times New Roman" w:eastAsia="Times New Roman" w:hAnsi="Times New Roman"/>
                <w:sz w:val="16"/>
                <w:szCs w:val="16"/>
                <w:color w:val="auto"/>
                <w:w w:val="99"/>
              </w:rPr>
              <w:t>86</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Days payables outstanding</w:t>
            </w: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center"/>
              <w:ind w:left="742"/>
              <w:spacing w:after="0"/>
              <w:rPr>
                <w:sz w:val="20"/>
                <w:szCs w:val="20"/>
                <w:color w:val="auto"/>
              </w:rPr>
            </w:pPr>
            <w:r>
              <w:rPr>
                <w:rFonts w:ascii="Times New Roman" w:cs="Times New Roman" w:eastAsia="Times New Roman" w:hAnsi="Times New Roman"/>
                <w:sz w:val="16"/>
                <w:szCs w:val="16"/>
                <w:color w:val="auto"/>
              </w:rPr>
              <w:t>(58)</w:t>
            </w:r>
          </w:p>
        </w:tc>
      </w:tr>
      <w:tr>
        <w:trPr>
          <w:trHeight w:val="212"/>
        </w:trPr>
        <w:tc>
          <w:tcPr>
            <w:tcW w:w="9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conversion cycle</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center"/>
              <w:ind w:left="782"/>
              <w:spacing w:after="0"/>
              <w:rPr>
                <w:sz w:val="20"/>
                <w:szCs w:val="20"/>
                <w:color w:val="auto"/>
              </w:rPr>
            </w:pPr>
            <w:r>
              <w:rPr>
                <w:rFonts w:ascii="Times New Roman" w:cs="Times New Roman" w:eastAsia="Times New Roman" w:hAnsi="Times New Roman"/>
                <w:sz w:val="16"/>
                <w:szCs w:val="16"/>
                <w:color w:val="auto"/>
                <w:w w:val="99"/>
              </w:rPr>
              <w:t>66</w:t>
            </w:r>
          </w:p>
        </w:tc>
      </w:tr>
      <w:tr>
        <w:trPr>
          <w:trHeight w:val="21"/>
        </w:trPr>
        <w:tc>
          <w:tcPr>
            <w:tcW w:w="8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Changes in days sales outstanding (“DSO”) are generally due to the timing of shipments. Changes in days in inventory (“DIO”) are generally related to the timing of inventory builds. Changes in days payables outstanding (“DPO”)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210"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For the three months ended January 1, 2021, DSO increased by 4 days over the prior year, primarily reflecting the timing of shipments and customer collections. We have seen no significant deterioration in our receivables as a result of COVID-19. DIO increased by 23 days over the prior year, primarily reflecting higher stocking levels of HDD inventory and delays in new product qualifications. With supply chains experiencing disruptions as a result of COVID-19, we are taking actions to ensure that we have the components we need to build products and are stocking higher levels of inventory so that we can ship by ocean and reduce higher cost air freight. DPO increased by 13 days over the prior year, primarily reflecting resumptions of flash production volumes as well as routine variations in the timing of purchases and payments during the period.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54"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January 1, 2021 primarily consisted of $576 million in capital expenditures, partially offset by a $94 million net decrease in notes receivable issuances to Flash Ventures. Net cash provided by investing activities for the six months ended January 3, 2020 primarily consisted of a $466 million net decrease in notes receivable issuances to Flash Ventures to fund its capital expansion, partially offset by $305 million of capital expenditures.</w:t>
      </w:r>
    </w:p>
    <w:p>
      <w:pPr>
        <w:spacing w:after="0" w:line="20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cash equivalents are primarily invested in money market funds that invest in U.S. Treasury securities and U.S. Government agency securities. In addition, from time to time, we invest directly in U.S. Treasury securities, U.S. and international government agency securities, certificates of deposit, asset backed securities and corporate and municipal notes and bonds.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4"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January 1, 2021, net cash used in financing activities primarily consisted of $461 million for repayment of debt, which included a $300 million voluntary prepayment on our Term Loan B-4. Net cash used in financing activities for the six months ended January 3, 2020 primarily consisted of $707 million for the repayment of our debt and $296 million to pay dividends on our common stock.</w:t>
      </w:r>
    </w:p>
    <w:p>
      <w:pPr>
        <w:spacing w:after="0" w:line="20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 April 2020, we suspended our dividend to reinvest in the business and to support our ongoing deleveraging efforts. We will reevaluate our dividend policy as our leverage ratio improves.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Other than the commitments related to Flash Ventures incurred in the normal course of business and certain indemnification provisions (see “Short and Long-term Liquidity-Contractual Obligations and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with the exception of Flash Ventures and our joint venture with Unisplendour Corporation Limited and Unissoft (Wuxi) Group Co. Ltd., we do not have an interest in, or relationships with, any variable interest entities. For additional information regarding our off-balance sheet arrangements, see Part I, Item 1, Note 9, </w:t>
      </w:r>
      <w:r>
        <w:rPr>
          <w:rFonts w:ascii="Times New Roman" w:cs="Times New Roman" w:eastAsia="Times New Roman" w:hAnsi="Times New Roman"/>
          <w:sz w:val="18"/>
          <w:szCs w:val="18"/>
          <w:i w:val="1"/>
          <w:iCs w:val="1"/>
          <w:color w:val="auto"/>
        </w:rPr>
        <w:t>Related Parties and Related Commitments and Contingencies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 and Long-term Liquidity</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known contractual cash obligations and commercial commitments as of January 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Remaining six</w:t>
            </w:r>
          </w:p>
        </w:tc>
        <w:tc>
          <w:tcPr>
            <w:tcW w:w="160" w:type="dxa"/>
            <w:vAlign w:val="bottom"/>
          </w:tcPr>
          <w:p>
            <w:pPr>
              <w:spacing w:after="0"/>
              <w:rPr>
                <w:sz w:val="13"/>
                <w:szCs w:val="13"/>
                <w:color w:val="auto"/>
              </w:rPr>
            </w:pPr>
          </w:p>
        </w:tc>
        <w:tc>
          <w:tcPr>
            <w:tcW w:w="104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2022-2023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2024-2025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Beyond 2025</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months of 2021</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Long-term debt, including current portion</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debt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Flash Ventures related commitments</w:t>
            </w:r>
            <w:r>
              <w:rPr>
                <w:rFonts w:ascii="Times New Roman" w:cs="Times New Roman" w:eastAsia="Times New Roman" w:hAnsi="Times New Roman"/>
                <w:sz w:val="21"/>
                <w:szCs w:val="21"/>
                <w:color w:val="auto"/>
                <w:vertAlign w:val="superscript"/>
              </w:rPr>
              <w:t>(2)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obligations and other commitments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Mandatory Deemed Repatriation Tax</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34"/>
        </w:trPr>
        <w:tc>
          <w:tcPr>
            <w:tcW w:w="47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9683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Principal portion of debt, excluding discounts and issuance costs.</w:t>
      </w:r>
    </w:p>
    <w:p>
      <w:pPr>
        <w:spacing w:after="0" w:line="1" w:lineRule="exact"/>
        <w:rPr>
          <w:rFonts w:ascii="Times New Roman" w:cs="Times New Roman" w:eastAsia="Times New Roman" w:hAnsi="Times New Roman"/>
          <w:sz w:val="23"/>
          <w:szCs w:val="23"/>
          <w:color w:val="auto"/>
          <w:vertAlign w:val="superscript"/>
        </w:rPr>
      </w:pPr>
    </w:p>
    <w:p>
      <w:pPr>
        <w:ind w:left="340" w:right="440" w:hanging="332"/>
        <w:spacing w:after="0" w:line="228"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reimbursement for depreciation and lease payments on owned and committed equipment, funding commitments for loans and equity investments and payments for other committed expenses, including R&amp;D and building depreciation. Funding commitments assume no additional operating lease guarantees. Additional operating lease guarantees can reduce funding commitments.</w:t>
      </w:r>
    </w:p>
    <w:p>
      <w:pPr>
        <w:spacing w:after="0" w:line="2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5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addition to our existing debt, we have $2.25 billion available for borrowing under our revolving credit facility, subject to customary conditions under the credit agreement. Additional information regarding our indebtedness, including information about availability under our revolving credit facility and the principal repayment terms, interest rates, covenants and other key terms of our outstanding indebtedness, is included in Part I, Item 1,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Condensed Consolidated Financial Statements in this Quarterly Report on Form 10-Q and in Part II, Item 8,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Consolidated Financial Statements included in our Annual Report on Form 10-K for the fiscal year ended July 3, 2020. The credit agreement governing our revolving credit facility and Term Loan A-1 requires us to comply with certain financial covenants, consisting of a leverage ratio and an interest coverage ratio. As of January 1, 2021, we were in compliance with these financial covenants.</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Flash Ventures</w:t>
      </w:r>
    </w:p>
    <w:p>
      <w:pPr>
        <w:spacing w:after="0" w:line="25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January 1, 2021, we were in compliance with all covenants under these Japanese lease facilities. See Part I, Item 1, Note 9, </w:t>
      </w:r>
      <w:r>
        <w:rPr>
          <w:rFonts w:ascii="Times New Roman" w:cs="Times New Roman" w:eastAsia="Times New Roman" w:hAnsi="Times New Roman"/>
          <w:sz w:val="18"/>
          <w:szCs w:val="18"/>
          <w:i w:val="1"/>
          <w:iCs w:val="1"/>
          <w:color w:val="auto"/>
        </w:rPr>
        <w:t>Related Parties and Related Commitments and Contingencies</w:t>
      </w:r>
      <w:r>
        <w:rPr>
          <w:rFonts w:ascii="Times New Roman" w:cs="Times New Roman" w:eastAsia="Times New Roman" w:hAnsi="Times New Roman"/>
          <w:sz w:val="18"/>
          <w:szCs w:val="18"/>
          <w:color w:val="auto"/>
        </w:rPr>
        <w:t>, of the Notes to Condensed Consolidated Financial Statements included in this Quarterly Report on Form 10-Q for information regarding Flash Ventures.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Purchase Obligations and Other Commitments</w:t>
      </w:r>
    </w:p>
    <w:p>
      <w:pPr>
        <w:spacing w:after="0" w:line="2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Mandatory Deemed Repatriation Tax</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estimated mandatory deemed repatriation tax obligations that are payable in the following fiscal years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January 1,</w:t>
            </w:r>
          </w:p>
        </w:tc>
      </w:tr>
      <w:tr>
        <w:trPr>
          <w:trHeight w:val="189"/>
        </w:trPr>
        <w:tc>
          <w:tcPr>
            <w:tcW w:w="98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9800" w:type="dxa"/>
            <w:vAlign w:val="bottom"/>
            <w:shd w:val="clear" w:color="auto" w:fill="CCEEFF"/>
          </w:tcPr>
          <w:p>
            <w:pPr>
              <w:jc w:val="right"/>
              <w:ind w:right="9359"/>
              <w:spacing w:after="0"/>
              <w:rPr>
                <w:sz w:val="20"/>
                <w:szCs w:val="20"/>
                <w:color w:val="auto"/>
              </w:rPr>
            </w:pPr>
            <w:r>
              <w:rPr>
                <w:rFonts w:ascii="Times New Roman" w:cs="Times New Roman" w:eastAsia="Times New Roman" w:hAnsi="Times New Roman"/>
                <w:sz w:val="16"/>
                <w:szCs w:val="16"/>
                <w:color w:val="auto"/>
              </w:rPr>
              <w:t>2022</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3"/>
        </w:trPr>
        <w:tc>
          <w:tcPr>
            <w:tcW w:w="9800" w:type="dxa"/>
            <w:vAlign w:val="bottom"/>
          </w:tcPr>
          <w:p>
            <w:pPr>
              <w:jc w:val="right"/>
              <w:ind w:right="9359"/>
              <w:spacing w:after="0"/>
              <w:rPr>
                <w:sz w:val="20"/>
                <w:szCs w:val="20"/>
                <w:color w:val="auto"/>
              </w:rPr>
            </w:pPr>
            <w:r>
              <w:rPr>
                <w:rFonts w:ascii="Times New Roman" w:cs="Times New Roman" w:eastAsia="Times New Roman" w:hAnsi="Times New Roman"/>
                <w:sz w:val="16"/>
                <w:szCs w:val="16"/>
                <w:color w:val="auto"/>
              </w:rPr>
              <w:t>2023</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9"/>
        </w:trPr>
        <w:tc>
          <w:tcPr>
            <w:tcW w:w="9800" w:type="dxa"/>
            <w:vAlign w:val="bottom"/>
            <w:shd w:val="clear" w:color="auto" w:fill="CCEEFF"/>
          </w:tcPr>
          <w:p>
            <w:pPr>
              <w:jc w:val="right"/>
              <w:ind w:right="9359"/>
              <w:spacing w:after="0"/>
              <w:rPr>
                <w:sz w:val="20"/>
                <w:szCs w:val="20"/>
                <w:color w:val="auto"/>
              </w:rPr>
            </w:pPr>
            <w:r>
              <w:rPr>
                <w:rFonts w:ascii="Times New Roman" w:cs="Times New Roman" w:eastAsia="Times New Roman" w:hAnsi="Times New Roman"/>
                <w:sz w:val="16"/>
                <w:szCs w:val="16"/>
                <w:color w:val="auto"/>
              </w:rPr>
              <w:t>2024</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13"/>
        </w:trPr>
        <w:tc>
          <w:tcPr>
            <w:tcW w:w="9800" w:type="dxa"/>
            <w:vAlign w:val="bottom"/>
          </w:tcPr>
          <w:p>
            <w:pPr>
              <w:jc w:val="right"/>
              <w:ind w:right="9359"/>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16"/>
        </w:trPr>
        <w:tc>
          <w:tcPr>
            <w:tcW w:w="9800" w:type="dxa"/>
            <w:vAlign w:val="bottom"/>
            <w:shd w:val="clear" w:color="auto" w:fill="CCEEFF"/>
          </w:tcPr>
          <w:p>
            <w:pPr>
              <w:jc w:val="right"/>
              <w:ind w:right="9359"/>
              <w:spacing w:after="0"/>
              <w:rPr>
                <w:sz w:val="20"/>
                <w:szCs w:val="20"/>
                <w:color w:val="auto"/>
              </w:rPr>
            </w:pPr>
            <w:r>
              <w:rPr>
                <w:rFonts w:ascii="Times New Roman" w:cs="Times New Roman" w:eastAsia="Times New Roman" w:hAnsi="Times New Roman"/>
                <w:sz w:val="16"/>
                <w:szCs w:val="16"/>
                <w:color w:val="auto"/>
              </w:rPr>
              <w:t>2026</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12"/>
        </w:trPr>
        <w:tc>
          <w:tcPr>
            <w:tcW w:w="9800" w:type="dxa"/>
            <w:vAlign w:val="bottom"/>
          </w:tcPr>
          <w:p>
            <w:pPr>
              <w:jc w:val="right"/>
              <w:ind w:right="9239"/>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w:t>
            </w:r>
          </w:p>
        </w:tc>
      </w:tr>
      <w:tr>
        <w:trPr>
          <w:trHeight w:val="21"/>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For additional information regarding our estimate of the total tax liability for the mandatory deemed repatriation tax, see Part II, Item 8, Note 13,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of the Notes to Consolidated Financial Statements included in our Annual Report on Form 10-K for the fiscal year ended June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254"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As of January 1, 2021, the liability for unrecognized tax benefits (excluding accrued interest and penalties) was approximately $715 million. Accrued interest and penalties related to unrecognized tax benefits as of January 1, 2021 was approximately $146 million. Of these amounts, approximately $724 million could result in potential cash payments. We are not able to provide a reasonable estimate of the timing of future tax payments related to these obligations.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Swap</w:t>
      </w:r>
    </w:p>
    <w:p>
      <w:pPr>
        <w:spacing w:after="0" w:line="25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generally held a balance of fixed and variable rate debt. At January 1, 2021, we had $5.85 billion of variable rate debt, comprising 63% of the par value of our debt. To balance the portfolio and moderate our exposure to fluctuations in interest rates underlying our variable debt, we entered into pay-fixed interest rate swaps on $2.00 billion notional amount, which effectively converts a portion of our term loan to fixed rates through February 2023. After giving effect to the $2.00 billion of interest rate swaps, we effectively had $3.85 billion of Long-term debt subject to variations in interest rates and a one percent increase in the variable rate of interest would increase annual interest expense by $39 million.</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Exchange Contracts</w:t>
      </w:r>
    </w:p>
    <w:p>
      <w:pPr>
        <w:spacing w:after="0" w:line="25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 Item 1, Note 6, </w:t>
      </w:r>
      <w:r>
        <w:rPr>
          <w:rFonts w:ascii="Times New Roman" w:cs="Times New Roman" w:eastAsia="Times New Roman" w:hAnsi="Times New Roman"/>
          <w:sz w:val="18"/>
          <w:szCs w:val="18"/>
          <w:i w:val="1"/>
          <w:iCs w:val="1"/>
          <w:color w:val="auto"/>
        </w:rPr>
        <w:t>Derivative Instruments and Hedging Activities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IP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21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25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has authorized a stock repurchase program for the repurchase of up to $5.0 billion of our common stock, which authorization is effective through July 25, 2023. We did not make any stock repurchases during the six months ended January 1, 2021 and have not repurchased any shares of our common stock pursuant to our stock repurchase program since the first quarter of fiscal 2019. Although we will reevaluate the repurchasing of our common stock when appropriate, there can be no assurance if, when or at what level we may resume such activity. The remaining amount available to be repurchased under our current stock repurchase program as of January 1, 2021 was $4.5 billion. Repurchases under the stock repurchase program may be made in the open market or in privately negotiated transactions and may be made under a Rule 10b5-1 plan.</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Dividend</w:t>
      </w:r>
    </w:p>
    <w:p>
      <w:pPr>
        <w:spacing w:after="0" w:line="254" w:lineRule="exact"/>
        <w:rPr>
          <w:sz w:val="20"/>
          <w:szCs w:val="20"/>
          <w:color w:val="auto"/>
        </w:rPr>
      </w:pPr>
    </w:p>
    <w:p>
      <w:pPr>
        <w:ind w:right="40" w:firstLine="324"/>
        <w:spacing w:after="0" w:line="312" w:lineRule="auto"/>
        <w:rPr>
          <w:sz w:val="20"/>
          <w:szCs w:val="20"/>
          <w:color w:val="auto"/>
        </w:rPr>
      </w:pPr>
      <w:r>
        <w:rPr>
          <w:rFonts w:ascii="Times New Roman" w:cs="Times New Roman" w:eastAsia="Times New Roman" w:hAnsi="Times New Roman"/>
          <w:sz w:val="17"/>
          <w:szCs w:val="17"/>
          <w:color w:val="auto"/>
        </w:rPr>
        <w:t>We issued a quarterly cash dividend from the first quarter of fiscal 2013 through the third quarter of fiscal 2020. In April 2020, we suspended our dividend to reinvest in the business and to support our ongoing deleveraging efforts. We will reevaluate our dividend policy as our leverage ratio improves.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182" w:lineRule="exact"/>
        <w:rPr>
          <w:sz w:val="20"/>
          <w:szCs w:val="20"/>
          <w:color w:val="auto"/>
        </w:rPr>
      </w:pPr>
    </w:p>
    <w:p>
      <w:pPr>
        <w:ind w:right="20" w:firstLine="324"/>
        <w:spacing w:after="0" w:line="232" w:lineRule="exact"/>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estimates from those disclosed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July 3, 2020. Please refer to Part II, Item 7 of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July 3, 2020 for a discussion of our critical accounting policies and estimates.</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w:t>
      </w:r>
      <w:r>
        <w:rPr>
          <w:rFonts w:ascii="Times New Roman" w:cs="Times New Roman" w:eastAsia="Times New Roman" w:hAnsi="Times New Roman"/>
          <w:sz w:val="18"/>
          <w:szCs w:val="18"/>
          <w:color w:val="212529"/>
        </w:rPr>
        <w:t>o our market risk during the six months ended</w:t>
      </w:r>
      <w:r>
        <w:rPr>
          <w:rFonts w:ascii="Times New Roman" w:cs="Times New Roman" w:eastAsia="Times New Roman" w:hAnsi="Times New Roman"/>
          <w:sz w:val="18"/>
          <w:szCs w:val="18"/>
          <w:color w:val="auto"/>
        </w:rPr>
        <w:t xml:space="preserve"> January 1, 2021</w:t>
      </w:r>
      <w:r>
        <w:rPr>
          <w:rFonts w:ascii="Times New Roman" w:cs="Times New Roman" w:eastAsia="Times New Roman" w:hAnsi="Times New Roman"/>
          <w:sz w:val="18"/>
          <w:szCs w:val="18"/>
          <w:color w:val="212529"/>
        </w:rPr>
        <w:t>. For a discussion of our exposure to market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see Part II, Item 7A, “Quantitative and Qualitative Disclosures About Market Risk” in our Annual Report on Form 10-K for the fiscal year ended July 3, 2020.</w:t>
      </w: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5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As required by Rule 13a-15(b) promulgated by the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214"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implementing an enterprise resource planning (“ERP”) system on a worldwide basis, which is expected to improve the efficiency of certain financial and related transactional processes. The gradual implementation is expected to occur in phases over the next several years. We have completed the implementation of certain processes, including the financial consolidation and reporting, fixed assets, supplier management and indirect procure-to-pay processes, and have revised and updated the related controls. These changes did not materially affect our internal control over financial reporting. As we implement the remaining functionality under this ERP system over the next several years, we will continue to assess the impact on our internal control over financial reporting.</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2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5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described under the heading “Risk Factors” in Part I, Item 1A of our Annual Report on Form 10-K for the fiscal year ended July 3, 2020 risks and uncertainties that could cause our actual results of operations and financial condition to vary materially from past, or from anticipated future, results of operations and financial condition. There have been no material changes from these risk factors previously described in our Annual Report on Form 10-K for the fiscal year ended July 3, 2020. These risks and uncertainties are not the only risks facing us. Additional risks and uncertainties not presently known to us or that we currently deem immaterial may also adversely affect our business, financial condition, results of operations or the market price of our common stock.</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exhibits listed in the Exhibit Index below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w:t>
      </w:r>
    </w:p>
    <w:p>
      <w:pPr>
        <w:spacing w:after="0" w:line="3" w:lineRule="exact"/>
        <w:rPr>
          <w:sz w:val="20"/>
          <w:szCs w:val="20"/>
          <w:color w:val="auto"/>
        </w:rPr>
      </w:pPr>
    </w:p>
    <w:p>
      <w:pPr>
        <w:ind w:right="160" w:firstLine="8"/>
        <w:spacing w:after="0" w:line="250" w:lineRule="auto"/>
        <w:tabs>
          <w:tab w:leader="none" w:pos="2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w:t>
      </w:r>
    </w:p>
    <w:p>
      <w:pPr>
        <w:ind w:firstLine="8"/>
        <w:spacing w:after="0" w:line="260" w:lineRule="auto"/>
        <w:tabs>
          <w:tab w:leader="none" w:pos="3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0" w:type="dxa"/>
            <w:vAlign w:val="bottom"/>
          </w:tcPr>
          <w:p>
            <w:pPr>
              <w:ind w:left="3620"/>
              <w:spacing w:after="0"/>
              <w:rPr>
                <w:sz w:val="20"/>
                <w:szCs w:val="20"/>
                <w:color w:val="auto"/>
              </w:rPr>
            </w:pPr>
            <w:r>
              <w:rPr>
                <w:rFonts w:ascii="Times New Roman" w:cs="Times New Roman" w:eastAsia="Times New Roman" w:hAnsi="Times New Roman"/>
                <w:sz w:val="20"/>
                <w:szCs w:val="20"/>
                <w:b w:val="1"/>
                <w:bCs w:val="1"/>
                <w:color w:val="auto"/>
              </w:rPr>
              <w:t>EXHIBIT INDEX</w:t>
            </w:r>
          </w:p>
        </w:tc>
        <w:tc>
          <w:tcPr>
            <w:tcW w:w="0" w:type="dxa"/>
            <w:vAlign w:val="bottom"/>
          </w:tcPr>
          <w:p>
            <w:pPr>
              <w:spacing w:after="0"/>
              <w:rPr>
                <w:sz w:val="1"/>
                <w:szCs w:val="1"/>
                <w:color w:val="auto"/>
              </w:rPr>
            </w:pPr>
          </w:p>
        </w:tc>
      </w:tr>
      <w:tr>
        <w:trPr>
          <w:trHeight w:val="197"/>
        </w:trPr>
        <w:tc>
          <w:tcPr>
            <w:tcW w:w="12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Exhibit</w:t>
            </w:r>
          </w:p>
        </w:tc>
        <w:tc>
          <w:tcPr>
            <w:tcW w:w="10000" w:type="dxa"/>
            <w:vAlign w:val="bottom"/>
            <w:vMerge w:val="restart"/>
          </w:tcPr>
          <w:p>
            <w:pPr>
              <w:ind w:left="4580"/>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29"/>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Number</w:t>
            </w:r>
          </w:p>
        </w:tc>
        <w:tc>
          <w:tcPr>
            <w:tcW w:w="10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120" w:type="dxa"/>
            <w:vAlign w:val="bottom"/>
            <w:tcBorders>
              <w:top w:val="single" w:sz="8" w:color="auto"/>
            </w:tcBorders>
            <w:shd w:val="clear" w:color="auto" w:fill="CCEEFF"/>
          </w:tcPr>
          <w:p>
            <w:pPr>
              <w:jc w:val="center"/>
              <w:spacing w:after="0" w:line="169" w:lineRule="exact"/>
              <w:rPr>
                <w:rFonts w:ascii="Times New Roman" w:cs="Times New Roman" w:eastAsia="Times New Roman" w:hAnsi="Times New Roman"/>
                <w:sz w:val="18"/>
                <w:szCs w:val="18"/>
                <w:u w:val="single" w:color="auto"/>
                <w:color w:val="0000FF"/>
                <w:w w:val="97"/>
              </w:rPr>
            </w:pPr>
            <w:hyperlink r:id="rId71">
              <w:r>
                <w:rPr>
                  <w:rFonts w:ascii="Times New Roman" w:cs="Times New Roman" w:eastAsia="Times New Roman" w:hAnsi="Times New Roman"/>
                  <w:sz w:val="18"/>
                  <w:szCs w:val="18"/>
                  <w:u w:val="single" w:color="auto"/>
                  <w:color w:val="0000FF"/>
                  <w:w w:val="97"/>
                </w:rPr>
                <w:t>3.1</w:t>
              </w:r>
            </w:hyperlink>
          </w:p>
        </w:tc>
        <w:tc>
          <w:tcPr>
            <w:tcW w:w="120" w:type="dxa"/>
            <w:vAlign w:val="bottom"/>
            <w:tcBorders>
              <w:top w:val="single" w:sz="8" w:color="CCEEFF"/>
            </w:tcBorders>
            <w:shd w:val="clear" w:color="auto" w:fill="CCEEFF"/>
          </w:tcPr>
          <w:p>
            <w:pPr>
              <w:spacing w:after="0"/>
              <w:rPr>
                <w:sz w:val="14"/>
                <w:szCs w:val="14"/>
                <w:color w:val="auto"/>
              </w:rPr>
            </w:pPr>
          </w:p>
        </w:tc>
        <w:tc>
          <w:tcPr>
            <w:tcW w:w="100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Amended and Restated Certificate of Incorporation of Western Digital Corporation, as amended to date (Filed as Exhibit 3.1 to the</w:t>
            </w:r>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Quarterly Report on Form 10-Q (File No. 1-08703) with the Securities and Exchange Commission on February 8, 2006)</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460"/>
        <w:spacing w:after="0"/>
        <w:rPr>
          <w:rFonts w:ascii="Times New Roman" w:cs="Times New Roman" w:eastAsia="Times New Roman" w:hAnsi="Times New Roman"/>
          <w:sz w:val="18"/>
          <w:szCs w:val="18"/>
          <w:u w:val="single" w:color="auto"/>
          <w:color w:val="0000FF"/>
        </w:rPr>
      </w:pPr>
      <w:hyperlink r:id="rId72">
        <w:r>
          <w:rPr>
            <w:rFonts w:ascii="Times New Roman" w:cs="Times New Roman" w:eastAsia="Times New Roman" w:hAnsi="Times New Roman"/>
            <w:sz w:val="18"/>
            <w:szCs w:val="18"/>
            <w:u w:val="single" w:color="auto"/>
            <w:color w:val="0000FF"/>
          </w:rPr>
          <w:t>3.2</w:t>
        </w:r>
      </w:hyperlink>
    </w:p>
    <w:p>
      <w:pPr>
        <w:spacing w:after="0" w:line="193" w:lineRule="exact"/>
        <w:rPr>
          <w:sz w:val="20"/>
          <w:szCs w:val="20"/>
          <w:color w:val="auto"/>
        </w:rPr>
      </w:pPr>
    </w:p>
    <w:p>
      <w:pPr>
        <w:ind w:left="420"/>
        <w:spacing w:after="0"/>
        <w:rPr>
          <w:rFonts w:ascii="Times New Roman" w:cs="Times New Roman" w:eastAsia="Times New Roman" w:hAnsi="Times New Roman"/>
          <w:sz w:val="17"/>
          <w:szCs w:val="17"/>
          <w:u w:val="single" w:color="auto"/>
          <w:color w:val="0000FF"/>
        </w:rPr>
      </w:pPr>
      <w:hyperlink w:anchor="page54">
        <w:r>
          <w:rPr>
            <w:rFonts w:ascii="Times New Roman" w:cs="Times New Roman" w:eastAsia="Times New Roman" w:hAnsi="Times New Roman"/>
            <w:sz w:val="17"/>
            <w:szCs w:val="17"/>
            <w:u w:val="single" w:color="auto"/>
            <w:color w:val="0000FF"/>
          </w:rPr>
          <w:t>10.1</w:t>
        </w:r>
      </w:hyperlink>
    </w:p>
    <w:p>
      <w:pPr>
        <w:spacing w:after="0" w:line="61" w:lineRule="exact"/>
        <w:rPr>
          <w:sz w:val="20"/>
          <w:szCs w:val="20"/>
          <w:color w:val="auto"/>
        </w:rPr>
      </w:pPr>
    </w:p>
    <w:p>
      <w:pPr>
        <w:ind w:left="420"/>
        <w:spacing w:after="0"/>
        <w:rPr>
          <w:rFonts w:ascii="Times New Roman" w:cs="Times New Roman" w:eastAsia="Times New Roman" w:hAnsi="Times New Roman"/>
          <w:sz w:val="17"/>
          <w:szCs w:val="17"/>
          <w:u w:val="single" w:color="auto"/>
          <w:color w:val="0000FF"/>
        </w:rPr>
      </w:pPr>
      <w:hyperlink w:anchor="page78">
        <w:r>
          <w:rPr>
            <w:rFonts w:ascii="Times New Roman" w:cs="Times New Roman" w:eastAsia="Times New Roman" w:hAnsi="Times New Roman"/>
            <w:sz w:val="17"/>
            <w:szCs w:val="17"/>
            <w:u w:val="single" w:color="auto"/>
            <w:color w:val="0000FF"/>
          </w:rPr>
          <w:t>10.2</w:t>
        </w:r>
      </w:hyperlink>
    </w:p>
    <w:p>
      <w:pPr>
        <w:spacing w:after="0" w:line="264" w:lineRule="exact"/>
        <w:rPr>
          <w:sz w:val="20"/>
          <w:szCs w:val="20"/>
          <w:color w:val="auto"/>
        </w:rPr>
      </w:pPr>
    </w:p>
    <w:p>
      <w:pPr>
        <w:ind w:left="420"/>
        <w:spacing w:after="0"/>
        <w:rPr>
          <w:rFonts w:ascii="Times New Roman" w:cs="Times New Roman" w:eastAsia="Times New Roman" w:hAnsi="Times New Roman"/>
          <w:sz w:val="17"/>
          <w:szCs w:val="17"/>
          <w:u w:val="single" w:color="auto"/>
          <w:color w:val="0000FF"/>
        </w:rPr>
      </w:pPr>
      <w:hyperlink w:anchor="page94">
        <w:r>
          <w:rPr>
            <w:rFonts w:ascii="Times New Roman" w:cs="Times New Roman" w:eastAsia="Times New Roman" w:hAnsi="Times New Roman"/>
            <w:sz w:val="17"/>
            <w:szCs w:val="17"/>
            <w:u w:val="single" w:color="auto"/>
            <w:color w:val="0000FF"/>
          </w:rPr>
          <w:t>10.3</w:t>
        </w:r>
      </w:hyperlink>
    </w:p>
    <w:p>
      <w:pPr>
        <w:spacing w:after="0" w:line="20" w:lineRule="exact"/>
        <w:rPr>
          <w:sz w:val="20"/>
          <w:szCs w:val="20"/>
          <w:color w:val="auto"/>
        </w:rPr>
      </w:pPr>
      <w:r>
        <w:rPr>
          <w:sz w:val="20"/>
          <w:szCs w:val="20"/>
          <w:color w:val="auto"/>
        </w:rPr>
        <w:br w:type="column"/>
      </w:r>
    </w:p>
    <w:p>
      <w:pPr>
        <w:ind w:right="400"/>
        <w:spacing w:after="0" w:line="234" w:lineRule="auto"/>
        <w:rPr>
          <w:sz w:val="20"/>
          <w:szCs w:val="20"/>
          <w:color w:val="auto"/>
        </w:rPr>
      </w:pPr>
      <w:r>
        <w:rPr>
          <w:rFonts w:ascii="Times New Roman" w:cs="Times New Roman" w:eastAsia="Times New Roman" w:hAnsi="Times New Roman"/>
          <w:sz w:val="18"/>
          <w:szCs w:val="18"/>
          <w:color w:val="auto"/>
        </w:rPr>
        <w:t>Amended and Restated By-Laws of Western Digital Corporation, as amended effective as of May 2, 2018 (Filed as Exhibit 3.1 to the Company’s Current Report on Form 8-K (File No. 1-08703) with the Securities and Exchange Commission on May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635</wp:posOffset>
            </wp:positionV>
            <wp:extent cx="713232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Western Digital Corporation Amended and Restated 2017 Performance Incentive Plan†*</w:t>
      </w:r>
    </w:p>
    <w:p>
      <w:pPr>
        <w:spacing w:after="0" w:line="45"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color w:val="auto"/>
        </w:rPr>
        <w:t xml:space="preserve">Form of Notice of Grant of Performance Stock Units and Performance Stock Unit Award Agreement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Financial Measure, under the Amended and Restated Western Digital Corporation 2017 Performance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-4445</wp:posOffset>
            </wp:positionV>
            <wp:extent cx="7132320" cy="291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right="40"/>
        <w:spacing w:after="0" w:line="258" w:lineRule="auto"/>
        <w:rPr>
          <w:sz w:val="20"/>
          <w:szCs w:val="20"/>
          <w:color w:val="auto"/>
        </w:rPr>
      </w:pPr>
      <w:r>
        <w:rPr>
          <w:rFonts w:ascii="Times New Roman" w:cs="Times New Roman" w:eastAsia="Times New Roman" w:hAnsi="Times New Roman"/>
          <w:sz w:val="18"/>
          <w:szCs w:val="18"/>
          <w:color w:val="auto"/>
        </w:rPr>
        <w:t>Form of Notice of Grant of Performance Stock Units and Performance Stock Unit Award Agreement – TSR Measure, under the Amended and Restated Western Digital Corporation 2017 Performance Incentive Plan†*</w:t>
      </w:r>
    </w:p>
    <w:p>
      <w:pPr>
        <w:spacing w:after="0" w:line="1" w:lineRule="exact"/>
        <w:rPr>
          <w:sz w:val="20"/>
          <w:szCs w:val="20"/>
          <w:color w:val="auto"/>
        </w:rPr>
      </w:pPr>
    </w:p>
    <w:p>
      <w:pPr>
        <w:sectPr>
          <w:pgSz w:w="11900" w:h="16838" w:orient="portrait"/>
          <w:cols w:equalWidth="0" w:num="2">
            <w:col w:w="720" w:space="540"/>
            <w:col w:w="99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80" w:type="dxa"/>
            <w:vAlign w:val="bottom"/>
          </w:tcPr>
          <w:p>
            <w:pPr>
              <w:jc w:val="center"/>
              <w:spacing w:after="0"/>
              <w:rPr>
                <w:rFonts w:ascii="Times New Roman" w:cs="Times New Roman" w:eastAsia="Times New Roman" w:hAnsi="Times New Roman"/>
                <w:sz w:val="18"/>
                <w:szCs w:val="18"/>
                <w:u w:val="single" w:color="auto"/>
                <w:color w:val="0000FF"/>
                <w:w w:val="95"/>
              </w:rPr>
            </w:pPr>
            <w:hyperlink w:anchor="page111">
              <w:r>
                <w:rPr>
                  <w:rFonts w:ascii="Times New Roman" w:cs="Times New Roman" w:eastAsia="Times New Roman" w:hAnsi="Times New Roman"/>
                  <w:sz w:val="18"/>
                  <w:szCs w:val="18"/>
                  <w:u w:val="single" w:color="auto"/>
                  <w:color w:val="0000FF"/>
                  <w:w w:val="95"/>
                </w:rPr>
                <w:t>10.4</w:t>
              </w:r>
            </w:hyperlink>
          </w:p>
        </w:tc>
        <w:tc>
          <w:tcPr>
            <w:tcW w:w="10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Notice of Grant of Restricted Stock Units and Restricted Stock Unit Award Agreement – Vice President and Above, under the</w:t>
            </w:r>
          </w:p>
        </w:tc>
      </w:tr>
      <w:tr>
        <w:trPr>
          <w:trHeight w:val="241"/>
        </w:trPr>
        <w:tc>
          <w:tcPr>
            <w:tcW w:w="1080" w:type="dxa"/>
            <w:vAlign w:val="bottom"/>
          </w:tcPr>
          <w:p>
            <w:pPr>
              <w:spacing w:after="0"/>
              <w:rPr>
                <w:sz w:val="20"/>
                <w:szCs w:val="20"/>
                <w:color w:val="auto"/>
              </w:rPr>
            </w:pPr>
          </w:p>
        </w:tc>
        <w:tc>
          <w:tcPr>
            <w:tcW w:w="10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Amended and Restated Western Digital Corporation 2017 Performance Incentive Plan†*</w:t>
            </w:r>
          </w:p>
        </w:tc>
      </w:tr>
      <w:tr>
        <w:trPr>
          <w:trHeight w:val="236"/>
        </w:trPr>
        <w:tc>
          <w:tcPr>
            <w:tcW w:w="1080" w:type="dxa"/>
            <w:vAlign w:val="bottom"/>
            <w:shd w:val="clear" w:color="auto" w:fill="CCEEFF"/>
          </w:tcPr>
          <w:p>
            <w:pPr>
              <w:jc w:val="center"/>
              <w:spacing w:after="0"/>
              <w:rPr>
                <w:rFonts w:ascii="Times New Roman" w:cs="Times New Roman" w:eastAsia="Times New Roman" w:hAnsi="Times New Roman"/>
                <w:sz w:val="18"/>
                <w:szCs w:val="18"/>
                <w:u w:val="single" w:color="auto"/>
                <w:color w:val="0000FF"/>
                <w:w w:val="95"/>
              </w:rPr>
            </w:pPr>
            <w:hyperlink w:anchor="page126">
              <w:r>
                <w:rPr>
                  <w:rFonts w:ascii="Times New Roman" w:cs="Times New Roman" w:eastAsia="Times New Roman" w:hAnsi="Times New Roman"/>
                  <w:sz w:val="18"/>
                  <w:szCs w:val="18"/>
                  <w:u w:val="single" w:color="auto"/>
                  <w:color w:val="0000FF"/>
                  <w:w w:val="95"/>
                </w:rPr>
                <w:t>31.1</w:t>
              </w:r>
            </w:hyperlink>
          </w:p>
        </w:tc>
        <w:tc>
          <w:tcPr>
            <w:tcW w:w="10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w:t>
            </w:r>
          </w:p>
        </w:tc>
      </w:tr>
      <w:tr>
        <w:trPr>
          <w:trHeight w:val="229"/>
        </w:trPr>
        <w:tc>
          <w:tcPr>
            <w:tcW w:w="1080" w:type="dxa"/>
            <w:vAlign w:val="bottom"/>
          </w:tcPr>
          <w:p>
            <w:pPr>
              <w:jc w:val="center"/>
              <w:spacing w:after="0"/>
              <w:rPr>
                <w:rFonts w:ascii="Times New Roman" w:cs="Times New Roman" w:eastAsia="Times New Roman" w:hAnsi="Times New Roman"/>
                <w:sz w:val="18"/>
                <w:szCs w:val="18"/>
                <w:u w:val="single" w:color="auto"/>
                <w:color w:val="0000FF"/>
                <w:w w:val="95"/>
              </w:rPr>
            </w:pPr>
            <w:hyperlink w:anchor="page127">
              <w:r>
                <w:rPr>
                  <w:rFonts w:ascii="Times New Roman" w:cs="Times New Roman" w:eastAsia="Times New Roman" w:hAnsi="Times New Roman"/>
                  <w:sz w:val="18"/>
                  <w:szCs w:val="18"/>
                  <w:u w:val="single" w:color="auto"/>
                  <w:color w:val="0000FF"/>
                  <w:w w:val="95"/>
                </w:rPr>
                <w:t>31.2</w:t>
              </w:r>
            </w:hyperlink>
          </w:p>
        </w:tc>
        <w:tc>
          <w:tcPr>
            <w:tcW w:w="10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r>
        <w:trPr>
          <w:trHeight w:val="176"/>
        </w:trPr>
        <w:tc>
          <w:tcPr>
            <w:tcW w:w="1080" w:type="dxa"/>
            <w:vAlign w:val="bottom"/>
            <w:shd w:val="clear" w:color="auto" w:fill="CCEEFF"/>
          </w:tcPr>
          <w:p>
            <w:pPr>
              <w:jc w:val="center"/>
              <w:spacing w:after="0" w:line="176" w:lineRule="exact"/>
              <w:rPr>
                <w:rFonts w:ascii="Times New Roman" w:cs="Times New Roman" w:eastAsia="Times New Roman" w:hAnsi="Times New Roman"/>
                <w:sz w:val="18"/>
                <w:szCs w:val="18"/>
                <w:u w:val="single" w:color="auto"/>
                <w:color w:val="0000FF"/>
                <w:w w:val="95"/>
              </w:rPr>
            </w:pPr>
            <w:hyperlink w:anchor="page128">
              <w:r>
                <w:rPr>
                  <w:rFonts w:ascii="Times New Roman" w:cs="Times New Roman" w:eastAsia="Times New Roman" w:hAnsi="Times New Roman"/>
                  <w:sz w:val="18"/>
                  <w:szCs w:val="18"/>
                  <w:u w:val="single" w:color="auto"/>
                  <w:color w:val="0000FF"/>
                  <w:w w:val="95"/>
                </w:rPr>
                <w:t>32.1</w:t>
              </w:r>
            </w:hyperlink>
          </w:p>
        </w:tc>
        <w:tc>
          <w:tcPr>
            <w:tcW w:w="101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w:t>
            </w:r>
          </w:p>
        </w:tc>
      </w:tr>
      <w:tr>
        <w:trPr>
          <w:trHeight w:val="229"/>
        </w:trPr>
        <w:tc>
          <w:tcPr>
            <w:tcW w:w="1080" w:type="dxa"/>
            <w:vAlign w:val="bottom"/>
            <w:shd w:val="clear" w:color="auto" w:fill="CCEEFF"/>
          </w:tcPr>
          <w:p>
            <w:pPr>
              <w:spacing w:after="0"/>
              <w:rPr>
                <w:sz w:val="19"/>
                <w:szCs w:val="19"/>
                <w:color w:val="auto"/>
              </w:rPr>
            </w:pPr>
          </w:p>
        </w:tc>
        <w:tc>
          <w:tcPr>
            <w:tcW w:w="10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 of 2002**</w:t>
            </w:r>
          </w:p>
        </w:tc>
      </w:tr>
      <w:tr>
        <w:trPr>
          <w:trHeight w:val="176"/>
        </w:trPr>
        <w:tc>
          <w:tcPr>
            <w:tcW w:w="1080" w:type="dxa"/>
            <w:vAlign w:val="bottom"/>
          </w:tcPr>
          <w:p>
            <w:pPr>
              <w:jc w:val="center"/>
              <w:spacing w:after="0" w:line="176" w:lineRule="exact"/>
              <w:rPr>
                <w:rFonts w:ascii="Times New Roman" w:cs="Times New Roman" w:eastAsia="Times New Roman" w:hAnsi="Times New Roman"/>
                <w:sz w:val="18"/>
                <w:szCs w:val="18"/>
                <w:u w:val="single" w:color="auto"/>
                <w:color w:val="0000FF"/>
                <w:w w:val="95"/>
              </w:rPr>
            </w:pPr>
            <w:hyperlink w:anchor="page129">
              <w:r>
                <w:rPr>
                  <w:rFonts w:ascii="Times New Roman" w:cs="Times New Roman" w:eastAsia="Times New Roman" w:hAnsi="Times New Roman"/>
                  <w:sz w:val="18"/>
                  <w:szCs w:val="18"/>
                  <w:u w:val="single" w:color="auto"/>
                  <w:color w:val="0000FF"/>
                  <w:w w:val="95"/>
                </w:rPr>
                <w:t>32.2</w:t>
              </w:r>
            </w:hyperlink>
          </w:p>
        </w:tc>
        <w:tc>
          <w:tcPr>
            <w:tcW w:w="101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w:t>
            </w:r>
          </w:p>
        </w:tc>
      </w:tr>
      <w:tr>
        <w:trPr>
          <w:trHeight w:val="229"/>
        </w:trPr>
        <w:tc>
          <w:tcPr>
            <w:tcW w:w="1080" w:type="dxa"/>
            <w:vAlign w:val="bottom"/>
          </w:tcPr>
          <w:p>
            <w:pPr>
              <w:spacing w:after="0"/>
              <w:rPr>
                <w:sz w:val="19"/>
                <w:szCs w:val="19"/>
                <w:color w:val="auto"/>
              </w:rPr>
            </w:pPr>
          </w:p>
        </w:tc>
        <w:tc>
          <w:tcPr>
            <w:tcW w:w="10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 of 2002**</w:t>
            </w:r>
          </w:p>
        </w:tc>
      </w:tr>
      <w:tr>
        <w:trPr>
          <w:trHeight w:val="176"/>
        </w:trPr>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101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29"/>
        </w:trPr>
        <w:tc>
          <w:tcPr>
            <w:tcW w:w="1080" w:type="dxa"/>
            <w:vAlign w:val="bottom"/>
            <w:shd w:val="clear" w:color="auto" w:fill="CCEEFF"/>
          </w:tcPr>
          <w:p>
            <w:pPr>
              <w:spacing w:after="0"/>
              <w:rPr>
                <w:sz w:val="19"/>
                <w:szCs w:val="19"/>
                <w:color w:val="auto"/>
              </w:rPr>
            </w:pPr>
          </w:p>
        </w:tc>
        <w:tc>
          <w:tcPr>
            <w:tcW w:w="10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9"/>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0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0"/>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10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29"/>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10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0"/>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10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0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260" w:hanging="827"/>
        <w:spacing w:after="0"/>
        <w:tabs>
          <w:tab w:leader="none" w:pos="12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formatted in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33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9683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7" w:lineRule="exact"/>
        <w:rPr>
          <w:sz w:val="20"/>
          <w:szCs w:val="20"/>
          <w:color w:val="auto"/>
        </w:rPr>
      </w:pPr>
    </w:p>
    <w:p>
      <w:pPr>
        <w:ind w:left="340" w:right="740" w:hanging="332"/>
        <w:spacing w:after="0" w:line="250" w:lineRule="auto"/>
        <w:tabs>
          <w:tab w:leader="none" w:pos="2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Quarterly Report on Form 10-Q to be signed on its behalf by the undersigned, thereunto duly authorized.</w:t>
      </w:r>
    </w:p>
    <w:p>
      <w:pPr>
        <w:spacing w:after="0" w:line="2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WESTERN DIGITAL CORPORATION</w:t>
      </w:r>
    </w:p>
    <w:p>
      <w:pPr>
        <w:spacing w:after="0" w:line="185" w:lineRule="exact"/>
        <w:rPr>
          <w:sz w:val="20"/>
          <w:szCs w:val="20"/>
          <w:color w:val="auto"/>
        </w:rPr>
      </w:pPr>
    </w:p>
    <w:p>
      <w:pPr>
        <w:ind w:left="5980"/>
        <w:spacing w:after="0"/>
        <w:tabs>
          <w:tab w:leader="none" w:pos="6420" w:val="left"/>
        </w:tabs>
        <w:rPr>
          <w:sz w:val="20"/>
          <w:szCs w:val="20"/>
          <w:color w:val="auto"/>
        </w:rPr>
      </w:pPr>
      <w:r>
        <w:rPr>
          <w:rFonts w:ascii="Times New Roman" w:cs="Times New Roman" w:eastAsia="Times New Roman" w:hAnsi="Times New Roman"/>
          <w:sz w:val="18"/>
          <w:szCs w:val="18"/>
          <w:color w:val="auto"/>
        </w:rPr>
        <w:t>By:</w:t>
        <w:tab/>
        <w:t>/s/ Gene Zamiska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435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043555" cy="8890"/>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Gene Zamiska</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7"/>
          <w:szCs w:val="17"/>
          <w:i w:val="1"/>
          <w:iCs w:val="1"/>
          <w:color w:val="auto"/>
        </w:rPr>
        <w:t>Vice President, Global Accounting and Chief Accounting Officer</w:t>
      </w:r>
    </w:p>
    <w:p>
      <w:pPr>
        <w:spacing w:after="0" w:line="3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9, 2021</w:t>
      </w: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121" w:right="47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WESTERN DIGITAL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2017 PERFORMANCE INCENTIVE PLAN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as of August 11, 2020)</w:t>
      </w:r>
    </w:p>
    <w:p>
      <w:pPr>
        <w:spacing w:after="0" w:line="247"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0000FF"/>
        </w:rPr>
        <w:t>PURPOSE OF PLAN</w:t>
      </w:r>
    </w:p>
    <w:p>
      <w:pPr>
        <w:spacing w:after="0" w:line="224" w:lineRule="exact"/>
        <w:rPr>
          <w:sz w:val="20"/>
          <w:szCs w:val="20"/>
          <w:color w:val="auto"/>
        </w:rPr>
      </w:pPr>
    </w:p>
    <w:p>
      <w:pPr>
        <w:ind w:left="660" w:right="300"/>
        <w:spacing w:after="0" w:line="250" w:lineRule="auto"/>
        <w:rPr>
          <w:sz w:val="20"/>
          <w:szCs w:val="20"/>
          <w:color w:val="auto"/>
        </w:rPr>
      </w:pPr>
      <w:r>
        <w:rPr>
          <w:rFonts w:ascii="Times New Roman" w:cs="Times New Roman" w:eastAsia="Times New Roman" w:hAnsi="Times New Roman"/>
          <w:sz w:val="22"/>
          <w:szCs w:val="22"/>
          <w:color w:val="auto"/>
        </w:rPr>
        <w:t>The purpose of this Western Digital Corporation 2017 Performance Incentive Plan (formerly the “Western Digital Corporation 2004 Performance Incentive Plan” and referred to herein as this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of Western Digital Corporation, a Delaware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is to promote the success of the Corporation and to increase stockholder value by providing an additional means through the grant of awards to attract, motivate, retain and reward selected employees and other eligible persons.</w:t>
      </w:r>
    </w:p>
    <w:p>
      <w:pPr>
        <w:spacing w:after="0" w:line="177"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0000FF"/>
        </w:rPr>
        <w:t>ELIGIBILITY</w:t>
      </w:r>
    </w:p>
    <w:p>
      <w:pPr>
        <w:spacing w:after="0" w:line="224"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1"/>
          <w:szCs w:val="21"/>
          <w:color w:val="auto"/>
        </w:rPr>
        <w:t>The Administrator (as such term is defined in Section 3.1) may grant awards under this Plan only to those persons that the Administrator determines to be Eligible Persons. An “</w:t>
      </w:r>
      <w:r>
        <w:rPr>
          <w:rFonts w:ascii="Times New Roman" w:cs="Times New Roman" w:eastAsia="Times New Roman" w:hAnsi="Times New Roman"/>
          <w:sz w:val="21"/>
          <w:szCs w:val="21"/>
          <w:b w:val="1"/>
          <w:bCs w:val="1"/>
          <w:color w:val="auto"/>
        </w:rPr>
        <w:t>Eligible Person</w:t>
      </w:r>
      <w:r>
        <w:rPr>
          <w:rFonts w:ascii="Times New Roman" w:cs="Times New Roman" w:eastAsia="Times New Roman" w:hAnsi="Times New Roman"/>
          <w:sz w:val="21"/>
          <w:szCs w:val="21"/>
          <w:color w:val="auto"/>
        </w:rPr>
        <w:t>” is any person who is either: (a) an officer (whether or not a director) or employee of the Corporation or one of its Subsidiaries; (b) a member of the Board; or (c) an individual consultant or advisor who renders or has rendered bona fide services (other than services in connection with the offering or sale of securities of the Corporation or one of its Subsidiaries in a capital-raising transaction or as a market maker or promoter of securities of the Corporation or one of its Subsidiaries) to the Corporation or one of its Subsidiaries and who is selected to participate in this Plan by the Administrator; provided, however, that a person who is otherwise an Eligible Person under clause (c) above may participate in this Plan only if such participation would not adversely affect either the Corporation’s eligibility to use Form S-8 to register under the Securities Act of 1933, as amended (the “</w:t>
      </w:r>
      <w:r>
        <w:rPr>
          <w:rFonts w:ascii="Times New Roman" w:cs="Times New Roman" w:eastAsia="Times New Roman" w:hAnsi="Times New Roman"/>
          <w:sz w:val="21"/>
          <w:szCs w:val="21"/>
          <w:b w:val="1"/>
          <w:bCs w:val="1"/>
          <w:color w:val="auto"/>
        </w:rPr>
        <w:t>Securities Act</w:t>
      </w:r>
      <w:r>
        <w:rPr>
          <w:rFonts w:ascii="Times New Roman" w:cs="Times New Roman" w:eastAsia="Times New Roman" w:hAnsi="Times New Roman"/>
          <w:sz w:val="21"/>
          <w:szCs w:val="21"/>
          <w:color w:val="auto"/>
        </w:rPr>
        <w:t>”), the offering and sale of shares issuable under this Plan by the Corporation or the Corporation’s compliance with any other applicable laws. An Eligible Person who has been granted an award (a “participant”) may, if otherwise eligible, be granted additional awards if the Administrator shall so determine. As used herein, “</w:t>
      </w:r>
      <w:r>
        <w:rPr>
          <w:rFonts w:ascii="Times New Roman" w:cs="Times New Roman" w:eastAsia="Times New Roman" w:hAnsi="Times New Roman"/>
          <w:sz w:val="21"/>
          <w:szCs w:val="21"/>
          <w:b w:val="1"/>
          <w:bCs w:val="1"/>
          <w:color w:val="auto"/>
        </w:rPr>
        <w:t>Subsidiary</w:t>
      </w:r>
      <w:r>
        <w:rPr>
          <w:rFonts w:ascii="Times New Roman" w:cs="Times New Roman" w:eastAsia="Times New Roman" w:hAnsi="Times New Roman"/>
          <w:sz w:val="21"/>
          <w:szCs w:val="21"/>
          <w:color w:val="auto"/>
        </w:rPr>
        <w:t>” means any corporation or other entity a majority of whose outstanding voting stock or voting power is beneficially owned directly or indirectly by the Corporation; and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means the Board of Directors of the Corporation.</w:t>
      </w:r>
    </w:p>
    <w:p>
      <w:pPr>
        <w:spacing w:after="0" w:line="169"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0000FF"/>
        </w:rPr>
        <w:t>PLAN ADMINISTRATION</w:t>
      </w:r>
    </w:p>
    <w:p>
      <w:pPr>
        <w:spacing w:after="0" w:line="218" w:lineRule="exact"/>
        <w:rPr>
          <w:sz w:val="20"/>
          <w:szCs w:val="20"/>
          <w:color w:val="auto"/>
        </w:rPr>
      </w:pPr>
    </w:p>
    <w:p>
      <w:pPr>
        <w:ind w:left="1300" w:right="500" w:hanging="647"/>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3.1 </w:t>
      </w:r>
      <w:r>
        <w:rPr>
          <w:rFonts w:ascii="Times New Roman" w:cs="Times New Roman" w:eastAsia="Times New Roman" w:hAnsi="Times New Roman"/>
          <w:sz w:val="22"/>
          <w:szCs w:val="22"/>
          <w:b w:val="1"/>
          <w:bCs w:val="1"/>
          <w:i w:val="1"/>
          <w:iCs w:val="1"/>
          <w:color w:val="auto"/>
        </w:rPr>
        <w:t>The Administrator</w:t>
      </w:r>
      <w:r>
        <w:rPr>
          <w:rFonts w:ascii="Times New Roman" w:cs="Times New Roman" w:eastAsia="Times New Roman" w:hAnsi="Times New Roman"/>
          <w:sz w:val="22"/>
          <w:szCs w:val="22"/>
          <w:color w:val="auto"/>
        </w:rPr>
        <w:t>. This Plan shall be administered by and all awards under this Plan shall be authorized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Administrator. The “</w:t>
      </w:r>
      <w:r>
        <w:rPr>
          <w:rFonts w:ascii="Times New Roman" w:cs="Times New Roman" w:eastAsia="Times New Roman" w:hAnsi="Times New Roman"/>
          <w:sz w:val="22"/>
          <w:szCs w:val="22"/>
          <w:b w:val="1"/>
          <w:bCs w:val="1"/>
          <w:color w:val="auto"/>
        </w:rPr>
        <w:t>Administrator</w:t>
      </w:r>
      <w:r>
        <w:rPr>
          <w:rFonts w:ascii="Times New Roman" w:cs="Times New Roman" w:eastAsia="Times New Roman" w:hAnsi="Times New Roman"/>
          <w:sz w:val="22"/>
          <w:szCs w:val="22"/>
          <w:color w:val="auto"/>
        </w:rPr>
        <w:t>” means the Board or one or more committees appointed by the Board or another committee (within its delegated authority) to administer all or certain aspects of this Plan. Any such committee shall be comprised solely of one or more directors or such number of directors as may be required under applicable law. A committee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278" w:right="339" w:bottom="1440" w:gutter="0" w:footer="0" w:header="0"/>
        </w:sectPr>
      </w:pPr>
    </w:p>
    <w:bookmarkStart w:id="54" w:name="page55"/>
    <w:bookmarkEnd w:id="54"/>
    <w:p>
      <w:pPr>
        <w:ind w:left="180" w:right="240"/>
        <w:spacing w:after="0" w:line="247" w:lineRule="auto"/>
        <w:rPr>
          <w:sz w:val="20"/>
          <w:szCs w:val="20"/>
          <w:color w:val="auto"/>
        </w:rPr>
      </w:pPr>
      <w:r>
        <w:rPr>
          <w:rFonts w:ascii="Times New Roman" w:cs="Times New Roman" w:eastAsia="Times New Roman" w:hAnsi="Times New Roman"/>
          <w:sz w:val="22"/>
          <w:szCs w:val="22"/>
          <w:color w:val="auto"/>
        </w:rPr>
        <w:t>delegate some or all of its authority to another committee so constituted. The Board or a committee comprised solely of directors may also delegate, to the extent permitted by applicable law, to one or more officers of the Corporation, its powers under this Plan. The Board may delegate different levels of authority to different committees with administrative and grant authority under this Plan. Unless otherwise provided in the Bylaws of the Corporation or the applicable charter of any Administrator: (x) a majority of the members of the acting Administrator shall constitute a quorum, and (y) the vote of a majority of the members present assuming the presence of a quorum or the unanimous written consent of the members of the Administrator shall constitute action by the acting Administrator.</w:t>
      </w:r>
    </w:p>
    <w:p>
      <w:pPr>
        <w:spacing w:after="0" w:line="179" w:lineRule="exact"/>
        <w:rPr>
          <w:sz w:val="20"/>
          <w:szCs w:val="20"/>
          <w:color w:val="auto"/>
        </w:rPr>
      </w:pPr>
    </w:p>
    <w:p>
      <w:pPr>
        <w:ind w:left="180" w:right="200" w:hanging="64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3.2 </w:t>
      </w:r>
      <w:r>
        <w:rPr>
          <w:rFonts w:ascii="Times New Roman" w:cs="Times New Roman" w:eastAsia="Times New Roman" w:hAnsi="Times New Roman"/>
          <w:sz w:val="22"/>
          <w:szCs w:val="22"/>
          <w:b w:val="1"/>
          <w:bCs w:val="1"/>
          <w:i w:val="1"/>
          <w:iCs w:val="1"/>
          <w:color w:val="auto"/>
        </w:rPr>
        <w:t>Powers of the Administrator</w:t>
      </w:r>
      <w:r>
        <w:rPr>
          <w:rFonts w:ascii="Times New Roman" w:cs="Times New Roman" w:eastAsia="Times New Roman" w:hAnsi="Times New Roman"/>
          <w:sz w:val="22"/>
          <w:szCs w:val="22"/>
          <w:color w:val="auto"/>
        </w:rPr>
        <w:t>. Subject to the express provisions of this Plan, the Administrator is authorized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empowered to do all things necessary or desirable in connection with the authorization of awards and the administration of this Plan (in the case of a committee or delegation to one or more officers, within the authority delegated to that committee or person(s)), including, without limitation, the authority to:</w:t>
      </w:r>
    </w:p>
    <w:p>
      <w:pPr>
        <w:spacing w:after="0" w:line="177" w:lineRule="exact"/>
        <w:rPr>
          <w:sz w:val="20"/>
          <w:szCs w:val="20"/>
          <w:color w:val="auto"/>
        </w:rPr>
      </w:pPr>
    </w:p>
    <w:p>
      <w:pPr>
        <w:ind w:left="840" w:hanging="656"/>
        <w:spacing w:after="0" w:line="271" w:lineRule="auto"/>
        <w:tabs>
          <w:tab w:leader="none" w:pos="64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eligibility and, from among those persons determined to be eligible, the particular Eligible Persons who will receive an award under this Plan;</w:t>
      </w:r>
    </w:p>
    <w:p>
      <w:pPr>
        <w:spacing w:after="0" w:line="157" w:lineRule="exact"/>
        <w:rPr>
          <w:rFonts w:ascii="Times New Roman" w:cs="Times New Roman" w:eastAsia="Times New Roman" w:hAnsi="Times New Roman"/>
          <w:sz w:val="22"/>
          <w:szCs w:val="22"/>
          <w:color w:val="auto"/>
        </w:rPr>
      </w:pPr>
    </w:p>
    <w:p>
      <w:pPr>
        <w:ind w:left="840" w:right="20" w:hanging="656"/>
        <w:spacing w:after="0" w:line="245" w:lineRule="auto"/>
        <w:tabs>
          <w:tab w:leader="none" w:pos="71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awards to Eligible Persons, determine the price (if any) at which securities will be offered or awarded and the number of securities to be offered or awarded to any of such persons (in the case of securities-based awards), determine the other specific terms and conditions of such awards consistent with the express limits of this Plan, establish the installment(s) (if any) in which such awards shall become exercisable or shall vest (which may include, without limitation, performance and/or time-based schedules), or determine that no delayed exercisability or vesting is required (subject to the minimum vesting rules of Section 5.1.5), establish any applicable performance-based exercisability or vesting requirements, determine the circumstances in which any performance-based goals (or the applicable measure of performance) will be adjusted and the nature and impact of any such adjustment, determine the extent (if any) to which any applicable exercise and vesting requirements have been satisfied, establish the events (if any) on which exercisability or vesting may accelerate (which may include, without limitation, retirement and other specified terminations of employment or services, or other circumstances), and establish the events (if any) of termination, expiration or reversion of such awards;</w:t>
      </w:r>
    </w:p>
    <w:p>
      <w:pPr>
        <w:spacing w:after="0" w:line="193" w:lineRule="exact"/>
        <w:rPr>
          <w:rFonts w:ascii="Times New Roman" w:cs="Times New Roman" w:eastAsia="Times New Roman" w:hAnsi="Times New Roman"/>
          <w:sz w:val="22"/>
          <w:szCs w:val="22"/>
          <w:color w:val="auto"/>
        </w:rPr>
      </w:pPr>
    </w:p>
    <w:p>
      <w:pPr>
        <w:ind w:left="840" w:right="400" w:hanging="656"/>
        <w:spacing w:after="0" w:line="271" w:lineRule="auto"/>
        <w:tabs>
          <w:tab w:leader="none" w:pos="64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approve the forms of award agreements (which need not be identical either as to type of award or among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80"/>
          </w:cols>
          <w:pgMar w:left="1440" w:top="1287" w:right="379" w:bottom="1440" w:gutter="0" w:footer="0" w:header="0"/>
        </w:sectPr>
      </w:pPr>
    </w:p>
    <w:bookmarkStart w:id="55" w:name="page56"/>
    <w:bookmarkEnd w:id="55"/>
    <w:p>
      <w:pPr>
        <w:ind w:left="840" w:right="60" w:hanging="656"/>
        <w:spacing w:after="0" w:line="268" w:lineRule="auto"/>
        <w:tabs>
          <w:tab w:leader="none" w:pos="714"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construe and interpret this Plan and any agreements defining the rights and obligations of the Corporation, its Subsidiaries, and participants under this Plan, make any and all determinations necessary under this Plan and any such agreements, further define the terms used in this Plan, and prescribe, amend and rescind rules and regulations relating to the administration of this Plan or the awards granted under this Plan;</w:t>
      </w:r>
    </w:p>
    <w:p>
      <w:pPr>
        <w:spacing w:after="0" w:line="163" w:lineRule="exact"/>
        <w:rPr>
          <w:rFonts w:ascii="Times New Roman" w:cs="Times New Roman" w:eastAsia="Times New Roman" w:hAnsi="Times New Roman"/>
          <w:sz w:val="21"/>
          <w:szCs w:val="21"/>
          <w:color w:val="auto"/>
        </w:rPr>
      </w:pPr>
    </w:p>
    <w:p>
      <w:pPr>
        <w:ind w:left="840" w:right="700" w:hanging="656"/>
        <w:spacing w:after="0" w:line="271" w:lineRule="auto"/>
        <w:tabs>
          <w:tab w:leader="none" w:pos="70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 modify, or waive the Corporation’s rights with respect to, or modify, discontinue, suspend, or terminate any or all outstanding awards, subject to any required consent under Section 8.6.5;</w:t>
      </w:r>
    </w:p>
    <w:p>
      <w:pPr>
        <w:spacing w:after="0" w:line="157" w:lineRule="exact"/>
        <w:rPr>
          <w:rFonts w:ascii="Times New Roman" w:cs="Times New Roman" w:eastAsia="Times New Roman" w:hAnsi="Times New Roman"/>
          <w:sz w:val="22"/>
          <w:szCs w:val="22"/>
          <w:color w:val="auto"/>
        </w:rPr>
      </w:pPr>
    </w:p>
    <w:p>
      <w:pPr>
        <w:ind w:left="840" w:right="40" w:hanging="656"/>
        <w:spacing w:after="0" w:line="250" w:lineRule="auto"/>
        <w:tabs>
          <w:tab w:leader="none" w:pos="67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accelerate, waive or extend the vesting or exercisability, or modify or extend the term of, any or all such outstanding awards (in the case of options or stock appreciation rights, within the maximum term of such awards) in such circumstances as the Administrator may deem appropriate (including, without limitation, in connection with a termination of employment or services or other events of a personal nature) subject to any required consent under Section 8.6.5;</w:t>
      </w:r>
    </w:p>
    <w:p>
      <w:pPr>
        <w:spacing w:after="0" w:line="180" w:lineRule="exact"/>
        <w:rPr>
          <w:rFonts w:ascii="Times New Roman" w:cs="Times New Roman" w:eastAsia="Times New Roman" w:hAnsi="Times New Roman"/>
          <w:sz w:val="22"/>
          <w:szCs w:val="22"/>
          <w:color w:val="auto"/>
        </w:rPr>
      </w:pPr>
    </w:p>
    <w:p>
      <w:pPr>
        <w:ind w:left="840" w:hanging="656"/>
        <w:spacing w:after="0" w:line="252" w:lineRule="auto"/>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 the number of shares of Common Stock subject to any award, adjust the price of any or all outstanding awards or otherwise waive or change previously imposed terms and conditions, in such circumstances as the Administrator may deem appropriate, in each case subject to Sections 4 and 8.6 (and subject to the no repricing provision below);</w:t>
      </w:r>
    </w:p>
    <w:p>
      <w:pPr>
        <w:spacing w:after="0" w:line="179" w:lineRule="exact"/>
        <w:rPr>
          <w:rFonts w:ascii="Times New Roman" w:cs="Times New Roman" w:eastAsia="Times New Roman" w:hAnsi="Times New Roman"/>
          <w:sz w:val="22"/>
          <w:szCs w:val="22"/>
          <w:color w:val="auto"/>
        </w:rPr>
      </w:pPr>
    </w:p>
    <w:p>
      <w:pPr>
        <w:ind w:left="840" w:right="60" w:hanging="656"/>
        <w:spacing w:after="0" w:line="252" w:lineRule="auto"/>
        <w:tabs>
          <w:tab w:leader="none" w:pos="71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date of grant of an award, which may be a designated date after but not before the date of the Administrator’s action (unless otherwise designated by the Administrator, the date of grant of an award shall be the date upon which the Administrator took the action granting an award); provided, that the grant date of any award may not be modified once such grant date has occurred;</w:t>
      </w:r>
    </w:p>
    <w:p>
      <w:pPr>
        <w:spacing w:after="0" w:line="179" w:lineRule="exact"/>
        <w:rPr>
          <w:rFonts w:ascii="Times New Roman" w:cs="Times New Roman" w:eastAsia="Times New Roman" w:hAnsi="Times New Roman"/>
          <w:sz w:val="22"/>
          <w:szCs w:val="22"/>
          <w:color w:val="auto"/>
        </w:rPr>
      </w:pPr>
    </w:p>
    <w:p>
      <w:pPr>
        <w:ind w:left="840" w:hanging="656"/>
        <w:spacing w:after="0" w:line="257" w:lineRule="auto"/>
        <w:tabs>
          <w:tab w:leader="none" w:pos="66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whether, and the extent to which, adjustments are required pursuant to Section 7 hereof and authorize the termination, conversion, substitution or succession of awards upon the occurrence of an event of the type described in Section 7;</w:t>
      </w:r>
    </w:p>
    <w:p>
      <w:pPr>
        <w:spacing w:after="0" w:line="172" w:lineRule="exact"/>
        <w:rPr>
          <w:rFonts w:ascii="Times New Roman" w:cs="Times New Roman" w:eastAsia="Times New Roman" w:hAnsi="Times New Roman"/>
          <w:sz w:val="22"/>
          <w:szCs w:val="22"/>
          <w:color w:val="auto"/>
        </w:rPr>
      </w:pPr>
    </w:p>
    <w:p>
      <w:pPr>
        <w:ind w:left="840" w:right="140" w:hanging="656"/>
        <w:spacing w:after="0" w:line="271" w:lineRule="auto"/>
        <w:tabs>
          <w:tab w:leader="none" w:pos="45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or settle (subject to Sections 7 and 8.6) rights under awards in cash, stock of equivalent value, or other consideration (subject to the no repricing provision below); and</w:t>
      </w:r>
    </w:p>
    <w:p>
      <w:pPr>
        <w:spacing w:after="0" w:line="157" w:lineRule="exact"/>
        <w:rPr>
          <w:rFonts w:ascii="Times New Roman" w:cs="Times New Roman" w:eastAsia="Times New Roman" w:hAnsi="Times New Roman"/>
          <w:sz w:val="22"/>
          <w:szCs w:val="22"/>
          <w:color w:val="auto"/>
        </w:rPr>
      </w:pPr>
    </w:p>
    <w:p>
      <w:pPr>
        <w:ind w:left="840" w:right="40" w:hanging="656"/>
        <w:spacing w:after="0" w:line="271" w:lineRule="auto"/>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fair market value of the Common Stock or awards under this Plan from time to time and/or the manner in which such value will be determined.</w:t>
      </w:r>
    </w:p>
    <w:p>
      <w:pPr>
        <w:spacing w:after="0" w:line="158" w:lineRule="exact"/>
        <w:rPr>
          <w:sz w:val="20"/>
          <w:szCs w:val="20"/>
          <w:color w:val="auto"/>
        </w:rPr>
      </w:pPr>
    </w:p>
    <w:p>
      <w:pPr>
        <w:ind w:left="180" w:right="320"/>
        <w:spacing w:after="0" w:line="271" w:lineRule="auto"/>
        <w:rPr>
          <w:sz w:val="20"/>
          <w:szCs w:val="20"/>
          <w:color w:val="auto"/>
        </w:rPr>
      </w:pPr>
      <w:r>
        <w:rPr>
          <w:rFonts w:ascii="Times New Roman" w:cs="Times New Roman" w:eastAsia="Times New Roman" w:hAnsi="Times New Roman"/>
          <w:sz w:val="22"/>
          <w:szCs w:val="22"/>
          <w:color w:val="auto"/>
        </w:rPr>
        <w:t>Notwithstanding the foregoing and except for an adjustment pursuant to Section 7.1 or a repricing approved by stockholders, in no case may the Administrator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00"/>
          </w:cols>
          <w:pgMar w:left="1440" w:top="1287" w:right="359" w:bottom="1440" w:gutter="0" w:footer="0" w:header="0"/>
        </w:sectPr>
      </w:pPr>
    </w:p>
    <w:bookmarkStart w:id="56" w:name="page57"/>
    <w:bookmarkEnd w:id="56"/>
    <w:p>
      <w:pPr>
        <w:ind w:left="1292" w:right="280"/>
        <w:spacing w:after="0" w:line="250" w:lineRule="auto"/>
        <w:rPr>
          <w:sz w:val="20"/>
          <w:szCs w:val="20"/>
          <w:color w:val="auto"/>
        </w:rPr>
      </w:pPr>
      <w:r>
        <w:rPr>
          <w:rFonts w:ascii="Times New Roman" w:cs="Times New Roman" w:eastAsia="Times New Roman" w:hAnsi="Times New Roman"/>
          <w:sz w:val="22"/>
          <w:szCs w:val="22"/>
          <w:color w:val="auto"/>
        </w:rPr>
        <w:t>amend an outstanding stock option or SAR to reduce the exercise price or base price of the award, (2) cancel, exchange, replace or surrender an outstanding stock option or SAR in exchange for cash or other awards for the purpose of repricing the award, or (3) cancel, exchange, or surrender an outstanding stock option or SAR in exchange for an option or SAR with an exercise or base price that is less than the exercise or base price of the original award.</w:t>
      </w:r>
    </w:p>
    <w:p>
      <w:pPr>
        <w:spacing w:after="0" w:line="175" w:lineRule="exact"/>
        <w:rPr>
          <w:sz w:val="20"/>
          <w:szCs w:val="20"/>
          <w:color w:val="auto"/>
        </w:rPr>
      </w:pPr>
    </w:p>
    <w:p>
      <w:pPr>
        <w:ind w:left="1292" w:right="100" w:hanging="647"/>
        <w:spacing w:after="0" w:line="257" w:lineRule="auto"/>
        <w:rPr>
          <w:sz w:val="20"/>
          <w:szCs w:val="20"/>
          <w:color w:val="auto"/>
        </w:rPr>
      </w:pPr>
      <w:r>
        <w:rPr>
          <w:rFonts w:ascii="Times New Roman" w:cs="Times New Roman" w:eastAsia="Times New Roman" w:hAnsi="Times New Roman"/>
          <w:sz w:val="21"/>
          <w:szCs w:val="21"/>
          <w:b w:val="1"/>
          <w:bCs w:val="1"/>
          <w:color w:val="auto"/>
        </w:rPr>
        <w:t xml:space="preserve">3.3 </w:t>
      </w:r>
      <w:r>
        <w:rPr>
          <w:rFonts w:ascii="Times New Roman" w:cs="Times New Roman" w:eastAsia="Times New Roman" w:hAnsi="Times New Roman"/>
          <w:sz w:val="21"/>
          <w:szCs w:val="21"/>
          <w:b w:val="1"/>
          <w:bCs w:val="1"/>
          <w:i w:val="1"/>
          <w:iCs w:val="1"/>
          <w:color w:val="auto"/>
        </w:rPr>
        <w:t>Binding Determinations</w:t>
      </w:r>
      <w:r>
        <w:rPr>
          <w:rFonts w:ascii="Times New Roman" w:cs="Times New Roman" w:eastAsia="Times New Roman" w:hAnsi="Times New Roman"/>
          <w:sz w:val="21"/>
          <w:szCs w:val="21"/>
          <w:color w:val="auto"/>
        </w:rPr>
        <w:t>. Any determination or other action taken by, or inaction of, the Corporation, any Subsidiary,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the Administrator relating or pursuant to this Plan (or any award made under this Plan) and within its authority hereunder or under applicable law shall be within the absolute discretion of that entity or body and shall be conclusive and binding upon all persons. Neither the Board nor any Board committee, nor any member thereof or person acting at the direction thereof, shall be liable for any act, omission, interpretation, construction or determination made in good faith in connection with this Plan (or any award made under this Plan), and all such persons shall be entitled to indemnification and reimbursement by the Corporation in respect of any claim, loss, damage or expense (including, without limitation, attorneys’ fees) arising or resulting therefrom to the fullest extent permitted by law and/or under any directors and officers liability insurance coverage that may be in effect from time to time. Neither the Board nor any Board committee, nor any member thereof or person acting at the direction thereof, nor the Corporation or any of its Subsidiaries, shall be liable for any damages of a participant should an award or other action with respect thereto not satisfy Rule 16b-3 promulgated under the Securities Exchange Act of 1934, as amended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should an option intended as an ISO (as defined below) fail to actually meet the requirements of the Internal Revenue Code of 1986, as amended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applicable to ISOs, should any award fail to qualify for any intended tax treatment or be subject to tax, penalty, or interest under Section 409A of the Code or other tax penalties, or otherwise for any tax or other liability imposed on a participant with respect to an award.</w:t>
      </w:r>
    </w:p>
    <w:p>
      <w:pPr>
        <w:spacing w:after="0" w:line="181" w:lineRule="exact"/>
        <w:rPr>
          <w:sz w:val="20"/>
          <w:szCs w:val="20"/>
          <w:color w:val="auto"/>
        </w:rPr>
      </w:pPr>
    </w:p>
    <w:p>
      <w:pPr>
        <w:ind w:left="1292" w:hanging="64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3.4 </w:t>
      </w:r>
      <w:r>
        <w:rPr>
          <w:rFonts w:ascii="Times New Roman" w:cs="Times New Roman" w:eastAsia="Times New Roman" w:hAnsi="Times New Roman"/>
          <w:sz w:val="22"/>
          <w:szCs w:val="22"/>
          <w:b w:val="1"/>
          <w:bCs w:val="1"/>
          <w:i w:val="1"/>
          <w:iCs w:val="1"/>
          <w:color w:val="auto"/>
        </w:rPr>
        <w:t>Reliance on Experts</w:t>
      </w:r>
      <w:r>
        <w:rPr>
          <w:rFonts w:ascii="Times New Roman" w:cs="Times New Roman" w:eastAsia="Times New Roman" w:hAnsi="Times New Roman"/>
          <w:sz w:val="22"/>
          <w:szCs w:val="22"/>
          <w:color w:val="auto"/>
        </w:rPr>
        <w:t>. In making any determination or in taking or not taking any action under this Plan, the Board 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as the case may be, may obtain and may rely upon the advice of experts, including employees and professional advisors to the Corporation. No director, officer or agent of the Corporation or any of its Subsidiaries shall be liable for any such action or determination taken or made or omitted in good faith.</w:t>
      </w:r>
    </w:p>
    <w:p>
      <w:pPr>
        <w:spacing w:after="0" w:line="171" w:lineRule="exact"/>
        <w:rPr>
          <w:sz w:val="20"/>
          <w:szCs w:val="20"/>
          <w:color w:val="auto"/>
        </w:rPr>
      </w:pPr>
    </w:p>
    <w:p>
      <w:pPr>
        <w:ind w:left="1292" w:right="220" w:hanging="647"/>
        <w:spacing w:after="0" w:line="276" w:lineRule="auto"/>
        <w:rPr>
          <w:sz w:val="20"/>
          <w:szCs w:val="20"/>
          <w:color w:val="auto"/>
        </w:rPr>
      </w:pPr>
      <w:r>
        <w:rPr>
          <w:rFonts w:ascii="Times New Roman" w:cs="Times New Roman" w:eastAsia="Times New Roman" w:hAnsi="Times New Roman"/>
          <w:sz w:val="22"/>
          <w:szCs w:val="22"/>
          <w:b w:val="1"/>
          <w:bCs w:val="1"/>
          <w:color w:val="auto"/>
        </w:rPr>
        <w:t xml:space="preserve">3.5 </w:t>
      </w:r>
      <w:r>
        <w:rPr>
          <w:rFonts w:ascii="Times New Roman" w:cs="Times New Roman" w:eastAsia="Times New Roman" w:hAnsi="Times New Roman"/>
          <w:sz w:val="22"/>
          <w:szCs w:val="22"/>
          <w:b w:val="1"/>
          <w:bCs w:val="1"/>
          <w:i w:val="1"/>
          <w:iCs w:val="1"/>
          <w:color w:val="auto"/>
        </w:rPr>
        <w:t>Delegation</w:t>
      </w:r>
      <w:r>
        <w:rPr>
          <w:rFonts w:ascii="Times New Roman" w:cs="Times New Roman" w:eastAsia="Times New Roman" w:hAnsi="Times New Roman"/>
          <w:sz w:val="22"/>
          <w:szCs w:val="22"/>
          <w:color w:val="auto"/>
        </w:rPr>
        <w:t>. The Administrator may delegate ministerial, non-discretionary functions to individuals who are officers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employees of the Corporation or any of its Subsidiaries or to third parties.</w:t>
      </w:r>
    </w:p>
    <w:p>
      <w:pPr>
        <w:spacing w:after="0" w:line="149" w:lineRule="exact"/>
        <w:rPr>
          <w:sz w:val="20"/>
          <w:szCs w:val="20"/>
          <w:color w:val="auto"/>
        </w:rPr>
      </w:pPr>
    </w:p>
    <w:p>
      <w:pPr>
        <w:ind w:left="332" w:hanging="332"/>
        <w:spacing w:after="0"/>
        <w:tabs>
          <w:tab w:leader="none" w:pos="332"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0000FF"/>
        </w:rPr>
        <w:t>SHARES OF COMMON STOCK SUBJECT TO THE PLAN; SHARE LIMITS</w:t>
      </w:r>
    </w:p>
    <w:p>
      <w:pPr>
        <w:spacing w:after="0" w:line="218" w:lineRule="exact"/>
        <w:rPr>
          <w:sz w:val="20"/>
          <w:szCs w:val="20"/>
          <w:color w:val="auto"/>
        </w:rPr>
      </w:pPr>
    </w:p>
    <w:p>
      <w:pPr>
        <w:ind w:left="1292" w:right="20" w:hanging="647"/>
        <w:spacing w:after="0" w:line="260" w:lineRule="auto"/>
        <w:rPr>
          <w:sz w:val="20"/>
          <w:szCs w:val="20"/>
          <w:color w:val="auto"/>
        </w:rPr>
      </w:pPr>
      <w:r>
        <w:rPr>
          <w:rFonts w:ascii="Times New Roman" w:cs="Times New Roman" w:eastAsia="Times New Roman" w:hAnsi="Times New Roman"/>
          <w:sz w:val="22"/>
          <w:szCs w:val="22"/>
          <w:b w:val="1"/>
          <w:bCs w:val="1"/>
          <w:color w:val="auto"/>
        </w:rPr>
        <w:t xml:space="preserve">4.1 </w:t>
      </w:r>
      <w:r>
        <w:rPr>
          <w:rFonts w:ascii="Times New Roman" w:cs="Times New Roman" w:eastAsia="Times New Roman" w:hAnsi="Times New Roman"/>
          <w:sz w:val="22"/>
          <w:szCs w:val="22"/>
          <w:b w:val="1"/>
          <w:bCs w:val="1"/>
          <w:i w:val="1"/>
          <w:iCs w:val="1"/>
          <w:color w:val="auto"/>
        </w:rPr>
        <w:t>Shares Available</w:t>
      </w:r>
      <w:r>
        <w:rPr>
          <w:rFonts w:ascii="Times New Roman" w:cs="Times New Roman" w:eastAsia="Times New Roman" w:hAnsi="Times New Roman"/>
          <w:sz w:val="22"/>
          <w:szCs w:val="22"/>
          <w:color w:val="auto"/>
        </w:rPr>
        <w:t>. Subject to the provisions of Section 7.1, the capital stock that may be delivered under this Plan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shares of the Corporation’s authorized but unissued Common Stock and any shares of its Common Stock held as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32"/>
          </w:cols>
          <w:pgMar w:left="328" w:top="1287" w:right="339" w:bottom="1440" w:gutter="0" w:footer="0" w:header="0"/>
        </w:sectPr>
      </w:pPr>
    </w:p>
    <w:bookmarkStart w:id="57" w:name="page58"/>
    <w:bookmarkEnd w:id="57"/>
    <w:p>
      <w:pPr>
        <w:ind w:left="640" w:right="140"/>
        <w:spacing w:after="0" w:line="259" w:lineRule="auto"/>
        <w:rPr>
          <w:sz w:val="20"/>
          <w:szCs w:val="20"/>
          <w:color w:val="auto"/>
        </w:rPr>
      </w:pPr>
      <w:r>
        <w:rPr>
          <w:rFonts w:ascii="Times New Roman" w:cs="Times New Roman" w:eastAsia="Times New Roman" w:hAnsi="Times New Roman"/>
          <w:sz w:val="22"/>
          <w:szCs w:val="22"/>
          <w:color w:val="auto"/>
        </w:rPr>
        <w:t>shares. For purposes of this Plan,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shall mean the common stock of the Corporation and such other securities or property as may become the subject of awards under this Plan, or may become subject to such awards, pursuant to an adjustment made under Section 7.1.</w:t>
      </w:r>
    </w:p>
    <w:p>
      <w:pPr>
        <w:spacing w:after="0" w:line="16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i w:val="1"/>
          <w:iCs w:val="1"/>
          <w:color w:val="auto"/>
        </w:rPr>
        <w:t>Share Limits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40" w:right="80" w:firstLine="13"/>
        <w:spacing w:after="0" w:line="301" w:lineRule="auto"/>
        <w:rPr>
          <w:sz w:val="20"/>
          <w:szCs w:val="20"/>
          <w:color w:val="auto"/>
        </w:rPr>
      </w:pPr>
      <w:r>
        <w:rPr>
          <w:rFonts w:ascii="Times New Roman" w:cs="Times New Roman" w:eastAsia="Times New Roman" w:hAnsi="Times New Roman"/>
          <w:sz w:val="21"/>
          <w:szCs w:val="21"/>
          <w:b w:val="1"/>
          <w:bCs w:val="1"/>
          <w:color w:val="auto"/>
        </w:rPr>
        <w:t xml:space="preserve">4.2.1 </w:t>
      </w:r>
      <w:r>
        <w:rPr>
          <w:rFonts w:ascii="Times New Roman" w:cs="Times New Roman" w:eastAsia="Times New Roman" w:hAnsi="Times New Roman"/>
          <w:sz w:val="21"/>
          <w:szCs w:val="21"/>
          <w:b w:val="1"/>
          <w:bCs w:val="1"/>
          <w:i w:val="1"/>
          <w:iCs w:val="1"/>
          <w:color w:val="auto"/>
        </w:rPr>
        <w:t>Aggregate Share Limit</w:t>
      </w:r>
      <w:r>
        <w:rPr>
          <w:rFonts w:ascii="Times New Roman" w:cs="Times New Roman" w:eastAsia="Times New Roman" w:hAnsi="Times New Roman"/>
          <w:sz w:val="21"/>
          <w:szCs w:val="21"/>
          <w:color w:val="auto"/>
        </w:rPr>
        <w:t>. The maximum number of shares of Common Stock that may be delivered pursuant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awards granted to Eligible Persons under this Plan (the “</w:t>
      </w:r>
      <w:r>
        <w:rPr>
          <w:rFonts w:ascii="Times New Roman" w:cs="Times New Roman" w:eastAsia="Times New Roman" w:hAnsi="Times New Roman"/>
          <w:sz w:val="21"/>
          <w:szCs w:val="21"/>
          <w:b w:val="1"/>
          <w:bCs w:val="1"/>
          <w:color w:val="auto"/>
        </w:rPr>
        <w:t>Share Limit</w:t>
      </w:r>
      <w:r>
        <w:rPr>
          <w:rFonts w:ascii="Times New Roman" w:cs="Times New Roman" w:eastAsia="Times New Roman" w:hAnsi="Times New Roman"/>
          <w:sz w:val="21"/>
          <w:szCs w:val="21"/>
          <w:color w:val="auto"/>
        </w:rPr>
        <w:t>”) is equal to the sum of the following:</w:t>
      </w:r>
    </w:p>
    <w:p>
      <w:pPr>
        <w:spacing w:after="0" w:line="129" w:lineRule="exact"/>
        <w:rPr>
          <w:sz w:val="20"/>
          <w:szCs w:val="20"/>
          <w:color w:val="auto"/>
        </w:rPr>
      </w:pPr>
    </w:p>
    <w:p>
      <w:pPr>
        <w:ind w:left="1120" w:hanging="476"/>
        <w:spacing w:after="0"/>
        <w:tabs>
          <w:tab w:leader="none" w:pos="11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105,580,215 shares of Common Stock, plus</w:t>
      </w:r>
    </w:p>
    <w:p>
      <w:pPr>
        <w:spacing w:after="0" w:line="219" w:lineRule="exact"/>
        <w:rPr>
          <w:rFonts w:ascii="Times New Roman" w:cs="Times New Roman" w:eastAsia="Times New Roman" w:hAnsi="Times New Roman"/>
          <w:sz w:val="22"/>
          <w:szCs w:val="22"/>
          <w:color w:val="auto"/>
        </w:rPr>
      </w:pPr>
    </w:p>
    <w:p>
      <w:pPr>
        <w:ind w:left="1040" w:right="200" w:hanging="396"/>
        <w:spacing w:after="0" w:line="252" w:lineRule="auto"/>
        <w:tabs>
          <w:tab w:leader="none" w:pos="94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any shares of Common Stock subject to stock options outstanding under the SanDisk 2013 Incentive Plan (the “</w:t>
      </w:r>
      <w:r>
        <w:rPr>
          <w:rFonts w:ascii="Times New Roman" w:cs="Times New Roman" w:eastAsia="Times New Roman" w:hAnsi="Times New Roman"/>
          <w:sz w:val="22"/>
          <w:szCs w:val="22"/>
          <w:b w:val="1"/>
          <w:bCs w:val="1"/>
          <w:color w:val="auto"/>
        </w:rPr>
        <w:t>SanDisk Plan</w:t>
      </w:r>
      <w:r>
        <w:rPr>
          <w:rFonts w:ascii="Times New Roman" w:cs="Times New Roman" w:eastAsia="Times New Roman" w:hAnsi="Times New Roman"/>
          <w:sz w:val="22"/>
          <w:szCs w:val="22"/>
          <w:color w:val="auto"/>
        </w:rPr>
        <w:t>”) as of the Effective Date (as defined below) which expire, or for any reason are cancelled or terminated, after the Effective Date without being exercised (which, for purposes of clarity, shall become available for award grants under this Plan on a one-for-one basis), plus</w:t>
      </w:r>
    </w:p>
    <w:p>
      <w:pPr>
        <w:spacing w:after="0" w:line="179" w:lineRule="exact"/>
        <w:rPr>
          <w:rFonts w:ascii="Times New Roman" w:cs="Times New Roman" w:eastAsia="Times New Roman" w:hAnsi="Times New Roman"/>
          <w:sz w:val="22"/>
          <w:szCs w:val="22"/>
          <w:color w:val="auto"/>
        </w:rPr>
      </w:pPr>
    </w:p>
    <w:p>
      <w:pPr>
        <w:ind w:left="1040" w:right="60" w:hanging="396"/>
        <w:spacing w:after="0" w:line="250" w:lineRule="auto"/>
        <w:tabs>
          <w:tab w:leader="none" w:pos="94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1.72 times the number of any shares of Common Stock subject to restricted stock unit awards outstanding and unvested under the SanDisk Plan as of the Effective Date (including any dividend equivalents thereon) that are forfeited, terminated, cancelled or otherwise reacquired by the Corporation after the Effective Date without having become vested (for clarity, with the 1.72:1 ratio to reflect the “Full-Value Award” ratio below);</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provided that in no event shall the Share Limit exceed the sum of (i) the 105,580,215 shares set forth above, plus</w:t>
      </w:r>
    </w:p>
    <w:p>
      <w:pPr>
        <w:spacing w:after="0" w:line="39" w:lineRule="exact"/>
        <w:rPr>
          <w:sz w:val="20"/>
          <w:szCs w:val="20"/>
          <w:color w:val="auto"/>
        </w:rPr>
      </w:pPr>
    </w:p>
    <w:p>
      <w:pPr>
        <w:ind w:left="640" w:firstLine="4"/>
        <w:spacing w:after="0" w:line="244" w:lineRule="auto"/>
        <w:tabs>
          <w:tab w:leader="none" w:pos="95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of Common Stock subject to stock options outstanding under the SanDisk Plan as of the Effective Date that could become available for award grants under this Plan pursuant to clause (2) above, plus (iii) the number of shares of Common Stock subject to restricted stock unit awards outstanding and unvested under the SanDisk Plan as of the Effective Date that could become available for award grants under this Plan pursuant to clause (3) above).</w:t>
      </w:r>
    </w:p>
    <w:p>
      <w:pPr>
        <w:spacing w:after="0" w:line="189" w:lineRule="exact"/>
        <w:rPr>
          <w:sz w:val="20"/>
          <w:szCs w:val="20"/>
          <w:color w:val="auto"/>
        </w:rPr>
      </w:pPr>
    </w:p>
    <w:p>
      <w:pPr>
        <w:ind w:left="640" w:right="60"/>
        <w:spacing w:after="0" w:line="252" w:lineRule="auto"/>
        <w:rPr>
          <w:sz w:val="20"/>
          <w:szCs w:val="20"/>
          <w:color w:val="auto"/>
        </w:rPr>
      </w:pPr>
      <w:r>
        <w:rPr>
          <w:rFonts w:ascii="Times New Roman" w:cs="Times New Roman" w:eastAsia="Times New Roman" w:hAnsi="Times New Roman"/>
          <w:sz w:val="22"/>
          <w:szCs w:val="22"/>
          <w:color w:val="auto"/>
        </w:rPr>
        <w:t>Shares issued in respect of any “Full-Value Award” granted under this Plan shall be counted against the foregoing Share Limit as 1.72 shares for every one share actually issued in connection with such award. For this purpose, a “</w:t>
      </w:r>
      <w:r>
        <w:rPr>
          <w:rFonts w:ascii="Times New Roman" w:cs="Times New Roman" w:eastAsia="Times New Roman" w:hAnsi="Times New Roman"/>
          <w:sz w:val="22"/>
          <w:szCs w:val="22"/>
          <w:b w:val="1"/>
          <w:bCs w:val="1"/>
          <w:color w:val="auto"/>
        </w:rPr>
        <w:t>Full-Value Award</w:t>
      </w:r>
      <w:r>
        <w:rPr>
          <w:rFonts w:ascii="Times New Roman" w:cs="Times New Roman" w:eastAsia="Times New Roman" w:hAnsi="Times New Roman"/>
          <w:sz w:val="22"/>
          <w:szCs w:val="22"/>
          <w:color w:val="auto"/>
        </w:rPr>
        <w:t xml:space="preserve">” means any award under this Plan that is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a stock option grant or a stock appreciation right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20"/>
          </w:cols>
          <w:pgMar w:left="980" w:top="1283" w:right="399" w:bottom="1440" w:gutter="0" w:footer="0" w:header="0"/>
        </w:sectPr>
      </w:pPr>
    </w:p>
    <w:bookmarkStart w:id="58" w:name="page59"/>
    <w:bookmarkEnd w:id="58"/>
    <w:p>
      <w:pPr>
        <w:ind w:left="180"/>
        <w:spacing w:after="0"/>
        <w:rPr>
          <w:sz w:val="20"/>
          <w:szCs w:val="20"/>
          <w:color w:val="auto"/>
        </w:rPr>
      </w:pPr>
      <w:r>
        <w:rPr>
          <w:rFonts w:ascii="Times New Roman" w:cs="Times New Roman" w:eastAsia="Times New Roman" w:hAnsi="Times New Roman"/>
          <w:sz w:val="22"/>
          <w:szCs w:val="22"/>
          <w:b w:val="1"/>
          <w:bCs w:val="1"/>
          <w:color w:val="auto"/>
        </w:rPr>
        <w:t xml:space="preserve">4.2.2 </w:t>
      </w:r>
      <w:r>
        <w:rPr>
          <w:rFonts w:ascii="Times New Roman" w:cs="Times New Roman" w:eastAsia="Times New Roman" w:hAnsi="Times New Roman"/>
          <w:sz w:val="22"/>
          <w:szCs w:val="22"/>
          <w:b w:val="1"/>
          <w:bCs w:val="1"/>
          <w:i w:val="1"/>
          <w:iCs w:val="1"/>
          <w:color w:val="auto"/>
        </w:rPr>
        <w:t>Aggregate Share Limit</w:t>
      </w:r>
      <w:r>
        <w:rPr>
          <w:rFonts w:ascii="Times New Roman" w:cs="Times New Roman" w:eastAsia="Times New Roman" w:hAnsi="Times New Roman"/>
          <w:sz w:val="22"/>
          <w:szCs w:val="22"/>
          <w:color w:val="auto"/>
        </w:rPr>
        <w:t>. The following limits also apply with respect to awards granted under this Plan:</w:t>
      </w:r>
    </w:p>
    <w:p>
      <w:pPr>
        <w:spacing w:after="0" w:line="226" w:lineRule="exact"/>
        <w:rPr>
          <w:sz w:val="20"/>
          <w:szCs w:val="20"/>
          <w:color w:val="auto"/>
        </w:rPr>
      </w:pPr>
    </w:p>
    <w:p>
      <w:pPr>
        <w:ind w:left="680" w:right="260" w:hanging="496"/>
        <w:spacing w:after="0" w:line="271" w:lineRule="auto"/>
        <w:tabs>
          <w:tab w:leader="none" w:pos="71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number of shares of Common Stock that may be delivered pursuant to options qualified as incentive stock options granted under this Plan is 91,837,248 shares.</w:t>
      </w:r>
    </w:p>
    <w:p>
      <w:pPr>
        <w:spacing w:after="0" w:line="157" w:lineRule="exact"/>
        <w:rPr>
          <w:rFonts w:ascii="Times New Roman" w:cs="Times New Roman" w:eastAsia="Times New Roman" w:hAnsi="Times New Roman"/>
          <w:sz w:val="22"/>
          <w:szCs w:val="22"/>
          <w:color w:val="auto"/>
        </w:rPr>
      </w:pPr>
    </w:p>
    <w:p>
      <w:pPr>
        <w:ind w:left="680" w:right="320" w:hanging="496"/>
        <w:spacing w:after="0" w:line="271" w:lineRule="auto"/>
        <w:tabs>
          <w:tab w:leader="none" w:pos="71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number of shares of Common Stock subject to those options and stock appreciation rights that are granted during any calendar year to any individual under this Plan is 1,000,000 shares.</w:t>
      </w:r>
    </w:p>
    <w:p>
      <w:pPr>
        <w:spacing w:after="0" w:line="157" w:lineRule="exact"/>
        <w:rPr>
          <w:rFonts w:ascii="Times New Roman" w:cs="Times New Roman" w:eastAsia="Times New Roman" w:hAnsi="Times New Roman"/>
          <w:sz w:val="22"/>
          <w:szCs w:val="22"/>
          <w:color w:val="auto"/>
        </w:rPr>
      </w:pPr>
    </w:p>
    <w:p>
      <w:pPr>
        <w:ind w:left="680" w:hanging="496"/>
        <w:spacing w:after="0" w:line="246" w:lineRule="auto"/>
        <w:tabs>
          <w:tab w:leader="none" w:pos="71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value (based on the fair market value of the shares on the date of grant of the applicable award, using such valuation principles as determined by the Administrator) of the shares of Common Stock subject to awards granted under this Plan to any one non-employee member of the Board (a “</w:t>
      </w:r>
      <w:r>
        <w:rPr>
          <w:rFonts w:ascii="Times New Roman" w:cs="Times New Roman" w:eastAsia="Times New Roman" w:hAnsi="Times New Roman"/>
          <w:sz w:val="22"/>
          <w:szCs w:val="22"/>
          <w:b w:val="1"/>
          <w:bCs w:val="1"/>
          <w:color w:val="auto"/>
        </w:rPr>
        <w:t>Non-Employee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Director</w:t>
      </w:r>
      <w:r>
        <w:rPr>
          <w:rFonts w:ascii="Times New Roman" w:cs="Times New Roman" w:eastAsia="Times New Roman" w:hAnsi="Times New Roman"/>
          <w:sz w:val="22"/>
          <w:szCs w:val="22"/>
          <w:color w:val="auto"/>
        </w:rPr>
        <w:t>”) in any one Grant Year exceed $900,000. The limit in the preceding sentence shall not apply as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award granted to an individual for services in a capacity other than as a Non-Employee Director, even if such individual is, was or becomes a Non-Employee Director. For this purpose, “</w:t>
      </w:r>
      <w:r>
        <w:rPr>
          <w:rFonts w:ascii="Times New Roman" w:cs="Times New Roman" w:eastAsia="Times New Roman" w:hAnsi="Times New Roman"/>
          <w:sz w:val="22"/>
          <w:szCs w:val="22"/>
          <w:b w:val="1"/>
          <w:bCs w:val="1"/>
          <w:color w:val="auto"/>
        </w:rPr>
        <w:t>Grant Year</w:t>
      </w:r>
      <w:r>
        <w:rPr>
          <w:rFonts w:ascii="Times New Roman" w:cs="Times New Roman" w:eastAsia="Times New Roman" w:hAnsi="Times New Roman"/>
          <w:sz w:val="22"/>
          <w:szCs w:val="22"/>
          <w:color w:val="auto"/>
        </w:rPr>
        <w:t>” means the annual period commencing on the date of the Corporation’s annual meeting of stockholders and concluding on the day immediately preceding the next annual meeting of stockholders, or such other annual period as the Administrator may determine in its discretion.</w:t>
      </w:r>
    </w:p>
    <w:p>
      <w:pPr>
        <w:spacing w:after="0" w:line="185" w:lineRule="exact"/>
        <w:rPr>
          <w:sz w:val="20"/>
          <w:szCs w:val="20"/>
          <w:color w:val="auto"/>
        </w:rPr>
      </w:pPr>
    </w:p>
    <w:p>
      <w:pPr>
        <w:ind w:left="180" w:right="200" w:hanging="647"/>
        <w:spacing w:after="0" w:line="260" w:lineRule="auto"/>
        <w:rPr>
          <w:sz w:val="20"/>
          <w:szCs w:val="20"/>
          <w:color w:val="auto"/>
        </w:rPr>
      </w:pPr>
      <w:r>
        <w:rPr>
          <w:rFonts w:ascii="Times New Roman" w:cs="Times New Roman" w:eastAsia="Times New Roman" w:hAnsi="Times New Roman"/>
          <w:sz w:val="22"/>
          <w:szCs w:val="22"/>
          <w:b w:val="1"/>
          <w:bCs w:val="1"/>
          <w:color w:val="auto"/>
        </w:rPr>
        <w:t xml:space="preserve">4.3 </w:t>
      </w:r>
      <w:r>
        <w:rPr>
          <w:rFonts w:ascii="Times New Roman" w:cs="Times New Roman" w:eastAsia="Times New Roman" w:hAnsi="Times New Roman"/>
          <w:sz w:val="22"/>
          <w:szCs w:val="22"/>
          <w:b w:val="1"/>
          <w:bCs w:val="1"/>
          <w:i w:val="1"/>
          <w:iCs w:val="1"/>
          <w:color w:val="auto"/>
        </w:rPr>
        <w:t>Awards Settled in Cash, Reissue of Awards and Shares</w:t>
      </w:r>
      <w:r>
        <w:rPr>
          <w:rFonts w:ascii="Times New Roman" w:cs="Times New Roman" w:eastAsia="Times New Roman" w:hAnsi="Times New Roman"/>
          <w:sz w:val="22"/>
          <w:szCs w:val="22"/>
          <w:color w:val="auto"/>
        </w:rPr>
        <w:t>. The share limits of this Plan are subject to adjustment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the following provisions of this Section 4.3. Refer to Section 8.10 for application of this Plan’s share limits with respect to assumed awards.</w:t>
      </w:r>
    </w:p>
    <w:p>
      <w:pPr>
        <w:spacing w:after="0" w:line="169" w:lineRule="exact"/>
        <w:rPr>
          <w:sz w:val="20"/>
          <w:szCs w:val="20"/>
          <w:color w:val="auto"/>
        </w:rPr>
      </w:pPr>
    </w:p>
    <w:p>
      <w:pPr>
        <w:ind w:left="680" w:right="60" w:hanging="496"/>
        <w:spacing w:after="0" w:line="252" w:lineRule="auto"/>
        <w:tabs>
          <w:tab w:leader="none" w:pos="48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that are subject to or underlie awards granted under this Plan which expire or for any reason are cancelled or terminated, are forfeited, fail to vest, or for any other reason are not paid or delivered under this Plan shall not be counted against the Share Limit and shall again be available for subsequent awards under this Plan.</w:t>
      </w:r>
    </w:p>
    <w:p>
      <w:pPr>
        <w:spacing w:after="0" w:line="179" w:lineRule="exact"/>
        <w:rPr>
          <w:rFonts w:ascii="Times New Roman" w:cs="Times New Roman" w:eastAsia="Times New Roman" w:hAnsi="Times New Roman"/>
          <w:sz w:val="22"/>
          <w:szCs w:val="22"/>
          <w:color w:val="auto"/>
        </w:rPr>
      </w:pPr>
    </w:p>
    <w:p>
      <w:pPr>
        <w:ind w:left="680" w:right="20" w:hanging="496"/>
        <w:spacing w:after="0" w:line="260" w:lineRule="auto"/>
        <w:tabs>
          <w:tab w:leader="none" w:pos="716"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Shares that are exchanged by a participant or withheld by the Corporation as full or partial payment in connection with any award under this Plan, or any award outstanding under the SanDisk Plan, and shares exchanged by a participant or withheld by the Corporation or one of its Subsidiaries to satisfy the tax withholding obligations related to any award under this Plan or the SanDisk Plan, shall be treated as follows:</w:t>
      </w:r>
    </w:p>
    <w:p>
      <w:pPr>
        <w:spacing w:after="0" w:line="3" w:lineRule="exact"/>
        <w:rPr>
          <w:rFonts w:ascii="Times New Roman" w:cs="Times New Roman" w:eastAsia="Times New Roman" w:hAnsi="Times New Roman"/>
          <w:sz w:val="21"/>
          <w:szCs w:val="21"/>
          <w:color w:val="auto"/>
        </w:rPr>
      </w:pPr>
    </w:p>
    <w:p>
      <w:pPr>
        <w:ind w:left="680" w:right="80"/>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to the extent that the exchange or withholding occurred with respect to a stock option or stock appreciation right, such shares shall not be available for subsequent awards under this Plan; (ii) to the extent that the exchange or withholding occurred prior to November 7, 2018 with respect to a Full-Value Award, such shares shall not be available for subsequent awards under this Plan; and (iii)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100"/>
          </w:cols>
          <w:pgMar w:left="1440" w:top="1281" w:right="359" w:bottom="1440" w:gutter="0" w:footer="0" w:header="0"/>
        </w:sectPr>
      </w:pPr>
    </w:p>
    <w:bookmarkStart w:id="59" w:name="page60"/>
    <w:bookmarkEnd w:id="59"/>
    <w:p>
      <w:pPr>
        <w:ind w:left="1792" w:right="160"/>
        <w:spacing w:after="0" w:line="257" w:lineRule="auto"/>
        <w:rPr>
          <w:sz w:val="20"/>
          <w:szCs w:val="20"/>
          <w:color w:val="auto"/>
        </w:rPr>
      </w:pPr>
      <w:r>
        <w:rPr>
          <w:rFonts w:ascii="Times New Roman" w:cs="Times New Roman" w:eastAsia="Times New Roman" w:hAnsi="Times New Roman"/>
          <w:sz w:val="22"/>
          <w:szCs w:val="22"/>
          <w:color w:val="auto"/>
        </w:rPr>
        <w:t>extent that the exchange or withholding occurs on or after November 7, 2018 with respect to a Full-Value Award, such shares shall not be counted against the Share Limit and shall again be available for subsequent awards under this Plan.</w:t>
      </w:r>
    </w:p>
    <w:p>
      <w:pPr>
        <w:spacing w:after="0" w:line="173" w:lineRule="exact"/>
        <w:rPr>
          <w:sz w:val="20"/>
          <w:szCs w:val="20"/>
          <w:color w:val="auto"/>
        </w:rPr>
      </w:pPr>
    </w:p>
    <w:p>
      <w:pPr>
        <w:jc w:val="both"/>
        <w:ind w:left="1792" w:right="20" w:hanging="496"/>
        <w:spacing w:after="0" w:line="275" w:lineRule="auto"/>
        <w:tabs>
          <w:tab w:leader="none" w:pos="1816"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 award granted under this Plan is settled in cash or a form other than shares of Common Stock, the shares that would have been delivered had there been no such cash or other settlement shall not be counted against the Share Limit and shall again be available for subsequent awards under this Plan.</w:t>
      </w:r>
    </w:p>
    <w:p>
      <w:pPr>
        <w:spacing w:after="0" w:line="155" w:lineRule="exact"/>
        <w:rPr>
          <w:rFonts w:ascii="Times New Roman" w:cs="Times New Roman" w:eastAsia="Times New Roman" w:hAnsi="Times New Roman"/>
          <w:sz w:val="21"/>
          <w:szCs w:val="21"/>
          <w:color w:val="auto"/>
        </w:rPr>
      </w:pPr>
    </w:p>
    <w:p>
      <w:pPr>
        <w:ind w:left="1792" w:hanging="496"/>
        <w:spacing w:after="0" w:line="247" w:lineRule="auto"/>
        <w:tabs>
          <w:tab w:leader="none" w:pos="182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shares of Common Stock are delivered in respect of a dividend equivalent right granted under this Plan, only the actual number of shares delivered with respect to the award shall be counted against the share limits of this Plan. To the extent that shares of Common Stock are delivered pursuant to the exercise of a stock appreciation right or stock option, the number of underlying shares as to which the exercise related shall be counted against the applicable share limits under Section 4.2, as opposed to only counting the shares actually issued. (For purposes of clarity, if a stock appreciation right relates to 100,000 shares and is exercised at a time when the payment due to the participant is 15,000 shares, 100,000 shares shall be charged against the applicable share limits under Section 4.2 with respect to such exercise.)</w:t>
      </w:r>
    </w:p>
    <w:p>
      <w:pPr>
        <w:spacing w:after="0" w:line="185" w:lineRule="exact"/>
        <w:rPr>
          <w:sz w:val="20"/>
          <w:szCs w:val="20"/>
          <w:color w:val="auto"/>
        </w:rPr>
      </w:pPr>
    </w:p>
    <w:p>
      <w:pPr>
        <w:ind w:left="1292" w:right="240"/>
        <w:spacing w:after="0" w:line="248" w:lineRule="auto"/>
        <w:rPr>
          <w:sz w:val="20"/>
          <w:szCs w:val="20"/>
          <w:color w:val="auto"/>
        </w:rPr>
      </w:pPr>
      <w:r>
        <w:rPr>
          <w:rFonts w:ascii="Times New Roman" w:cs="Times New Roman" w:eastAsia="Times New Roman" w:hAnsi="Times New Roman"/>
          <w:sz w:val="22"/>
          <w:szCs w:val="22"/>
          <w:color w:val="auto"/>
        </w:rPr>
        <w:t>Each of the numerical limits of Section 4.2 is also subject to adjustment as contemplated by Section 7.1. If any share subject to a Full-Value Award, or exchanged or withheld with respect to a Full-Value Award, becomes available for subsequent awards under this Plan pursuant to clause (a), (b) or (c) above, such share shall be credited as 1.72 shares when determining the number of shares that shall again become available for subsequent awards under this Plan if (i) upon grant of the related award, the shares underlying the award had been counted against the Share Limit at the 1.72:1 ratio applicable to Full-Value Awards or (ii) the related award had been granted under the SanDisk Plan.</w:t>
      </w:r>
    </w:p>
    <w:p>
      <w:pPr>
        <w:spacing w:after="0" w:line="182" w:lineRule="exact"/>
        <w:rPr>
          <w:sz w:val="20"/>
          <w:szCs w:val="20"/>
          <w:color w:val="auto"/>
        </w:rPr>
      </w:pPr>
    </w:p>
    <w:p>
      <w:pPr>
        <w:ind w:left="1292" w:right="320"/>
        <w:spacing w:after="0" w:line="271" w:lineRule="auto"/>
        <w:rPr>
          <w:sz w:val="20"/>
          <w:szCs w:val="20"/>
          <w:color w:val="auto"/>
        </w:rPr>
      </w:pPr>
      <w:r>
        <w:rPr>
          <w:rFonts w:ascii="Times New Roman" w:cs="Times New Roman" w:eastAsia="Times New Roman" w:hAnsi="Times New Roman"/>
          <w:sz w:val="22"/>
          <w:szCs w:val="22"/>
          <w:color w:val="auto"/>
        </w:rPr>
        <w:t>The Corporation may not increase the Share Limit by repurchasing shares of Common Stock on the market (by using cash received through the exercise of stock options or otherwise).</w:t>
      </w:r>
    </w:p>
    <w:p>
      <w:pPr>
        <w:spacing w:after="0" w:line="152" w:lineRule="exact"/>
        <w:rPr>
          <w:sz w:val="20"/>
          <w:szCs w:val="20"/>
          <w:color w:val="auto"/>
        </w:rPr>
      </w:pPr>
    </w:p>
    <w:p>
      <w:pPr>
        <w:ind w:left="1292" w:hanging="647"/>
        <w:spacing w:after="0" w:line="260" w:lineRule="auto"/>
        <w:rPr>
          <w:sz w:val="20"/>
          <w:szCs w:val="20"/>
          <w:color w:val="auto"/>
        </w:rPr>
      </w:pPr>
      <w:r>
        <w:rPr>
          <w:rFonts w:ascii="Times New Roman" w:cs="Times New Roman" w:eastAsia="Times New Roman" w:hAnsi="Times New Roman"/>
          <w:sz w:val="22"/>
          <w:szCs w:val="22"/>
          <w:b w:val="1"/>
          <w:bCs w:val="1"/>
          <w:color w:val="auto"/>
        </w:rPr>
        <w:t xml:space="preserve">4.3 </w:t>
      </w:r>
      <w:r>
        <w:rPr>
          <w:rFonts w:ascii="Times New Roman" w:cs="Times New Roman" w:eastAsia="Times New Roman" w:hAnsi="Times New Roman"/>
          <w:sz w:val="22"/>
          <w:szCs w:val="22"/>
          <w:b w:val="1"/>
          <w:bCs w:val="1"/>
          <w:i w:val="1"/>
          <w:iCs w:val="1"/>
          <w:color w:val="auto"/>
        </w:rPr>
        <w:t>No Fractional Shares</w:t>
      </w:r>
      <w:r>
        <w:rPr>
          <w:rFonts w:ascii="Times New Roman" w:cs="Times New Roman" w:eastAsia="Times New Roman" w:hAnsi="Times New Roman"/>
          <w:sz w:val="22"/>
          <w:szCs w:val="22"/>
          <w:color w:val="auto"/>
        </w:rPr>
        <w:t>. Unless otherwise expressly provided by the Administrator, no fractional shares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under this Plan. The Administrator may pay cash in lieu of any fractional shares in settlements of awards under this Plan.</w:t>
      </w:r>
    </w:p>
    <w:p>
      <w:pPr>
        <w:spacing w:after="0" w:line="165" w:lineRule="exact"/>
        <w:rPr>
          <w:sz w:val="20"/>
          <w:szCs w:val="20"/>
          <w:color w:val="auto"/>
        </w:rPr>
      </w:pPr>
    </w:p>
    <w:p>
      <w:pPr>
        <w:ind w:left="332" w:hanging="332"/>
        <w:spacing w:after="0"/>
        <w:tabs>
          <w:tab w:leader="none" w:pos="332"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0000FF"/>
        </w:rPr>
        <w:t>AWARDS</w:t>
      </w:r>
    </w:p>
    <w:p>
      <w:pPr>
        <w:spacing w:after="0" w:line="218" w:lineRule="exact"/>
        <w:rPr>
          <w:sz w:val="20"/>
          <w:szCs w:val="20"/>
          <w:color w:val="auto"/>
        </w:rPr>
      </w:pPr>
    </w:p>
    <w:p>
      <w:pPr>
        <w:ind w:left="1292" w:right="620" w:hanging="647"/>
        <w:spacing w:after="0" w:line="276" w:lineRule="auto"/>
        <w:rPr>
          <w:sz w:val="20"/>
          <w:szCs w:val="20"/>
          <w:color w:val="auto"/>
        </w:rPr>
      </w:pPr>
      <w:r>
        <w:rPr>
          <w:rFonts w:ascii="Times New Roman" w:cs="Times New Roman" w:eastAsia="Times New Roman" w:hAnsi="Times New Roman"/>
          <w:sz w:val="22"/>
          <w:szCs w:val="22"/>
          <w:b w:val="1"/>
          <w:bCs w:val="1"/>
          <w:color w:val="auto"/>
        </w:rPr>
        <w:t xml:space="preserve">5.1 </w:t>
      </w:r>
      <w:r>
        <w:rPr>
          <w:rFonts w:ascii="Times New Roman" w:cs="Times New Roman" w:eastAsia="Times New Roman" w:hAnsi="Times New Roman"/>
          <w:sz w:val="22"/>
          <w:szCs w:val="22"/>
          <w:b w:val="1"/>
          <w:bCs w:val="1"/>
          <w:i w:val="1"/>
          <w:iCs w:val="1"/>
          <w:color w:val="auto"/>
        </w:rPr>
        <w:t>Type and Form of Awards</w:t>
      </w:r>
      <w:r>
        <w:rPr>
          <w:rFonts w:ascii="Times New Roman" w:cs="Times New Roman" w:eastAsia="Times New Roman" w:hAnsi="Times New Roman"/>
          <w:sz w:val="22"/>
          <w:szCs w:val="22"/>
          <w:color w:val="auto"/>
        </w:rPr>
        <w:t>. The Administrator shall determine the type or types of award(s) to be made to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selected Eligible Person. Awards may be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12"/>
          </w:cols>
          <w:pgMar w:left="328" w:top="1287" w:right="359" w:bottom="1440" w:gutter="0" w:footer="0" w:header="0"/>
        </w:sectPr>
      </w:pPr>
    </w:p>
    <w:bookmarkStart w:id="60" w:name="page61"/>
    <w:bookmarkEnd w:id="60"/>
    <w:p>
      <w:pPr>
        <w:jc w:val="both"/>
        <w:ind w:left="180" w:right="160"/>
        <w:spacing w:after="0" w:line="275" w:lineRule="auto"/>
        <w:rPr>
          <w:sz w:val="20"/>
          <w:szCs w:val="20"/>
          <w:color w:val="auto"/>
        </w:rPr>
      </w:pPr>
      <w:r>
        <w:rPr>
          <w:rFonts w:ascii="Times New Roman" w:cs="Times New Roman" w:eastAsia="Times New Roman" w:hAnsi="Times New Roman"/>
          <w:sz w:val="21"/>
          <w:szCs w:val="21"/>
          <w:color w:val="auto"/>
        </w:rPr>
        <w:t>singly, in combination or in tandem. Awards also may be made in combination or in tandem with, in replacement of, as alternatives to, or as the payment form for grants or rights under any other employee or compensation plan of the Corporation or one of its Subsidiaries. The types of awards that may be granted under this Plan are:</w:t>
      </w:r>
    </w:p>
    <w:p>
      <w:pPr>
        <w:spacing w:after="0" w:line="149" w:lineRule="exact"/>
        <w:rPr>
          <w:sz w:val="20"/>
          <w:szCs w:val="20"/>
          <w:color w:val="auto"/>
        </w:rPr>
      </w:pPr>
    </w:p>
    <w:p>
      <w:pPr>
        <w:ind w:left="180" w:right="40" w:firstLine="13"/>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5</w:t>
      </w:r>
      <w:r>
        <w:rPr>
          <w:rFonts w:ascii="Times New Roman" w:cs="Times New Roman" w:eastAsia="Times New Roman" w:hAnsi="Times New Roman"/>
          <w:sz w:val="22"/>
          <w:szCs w:val="22"/>
          <w:b w:val="1"/>
          <w:bCs w:val="1"/>
          <w:color w:val="auto"/>
        </w:rPr>
        <w:t>.1.1</w:t>
      </w:r>
      <w:r>
        <w:rPr>
          <w:rFonts w:ascii="Times New Roman" w:cs="Times New Roman" w:eastAsia="Times New Roman" w:hAnsi="Times New Roman"/>
          <w:sz w:val="22"/>
          <w:szCs w:val="22"/>
          <w:b w:val="1"/>
          <w:bCs w:val="1"/>
          <w:i w:val="1"/>
          <w:iCs w:val="1"/>
          <w:color w:val="auto"/>
        </w:rPr>
        <w:t xml:space="preserve"> Stock Options</w:t>
      </w:r>
      <w:r>
        <w:rPr>
          <w:rFonts w:ascii="Times New Roman" w:cs="Times New Roman" w:eastAsia="Times New Roman" w:hAnsi="Times New Roman"/>
          <w:sz w:val="22"/>
          <w:szCs w:val="22"/>
          <w:color w:val="auto"/>
        </w:rPr>
        <w:t>. A stock option is the grant of a right to purchase a specified number of shares of Common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Stock during a specified period as determined by the Administrator. An option may be intended as an incentive stock option within the meaning of Section 422 of the Code (an “</w:t>
      </w:r>
      <w:r>
        <w:rPr>
          <w:rFonts w:ascii="Times New Roman" w:cs="Times New Roman" w:eastAsia="Times New Roman" w:hAnsi="Times New Roman"/>
          <w:sz w:val="22"/>
          <w:szCs w:val="22"/>
          <w:b w:val="1"/>
          <w:bCs w:val="1"/>
          <w:color w:val="auto"/>
        </w:rPr>
        <w:t>ISO</w:t>
      </w:r>
      <w:r>
        <w:rPr>
          <w:rFonts w:ascii="Times New Roman" w:cs="Times New Roman" w:eastAsia="Times New Roman" w:hAnsi="Times New Roman"/>
          <w:sz w:val="22"/>
          <w:szCs w:val="22"/>
          <w:color w:val="auto"/>
        </w:rPr>
        <w:t>”) or a nonqualified stock option (an option not intended to be an ISO). The award agreement for an option will indicate if the option is intended as an ISO; otherwise it will be deemed to be a nonqualified stock option. The maximum term of each option (ISO or nonqualified) shall be ten (10) years. The per share exercise price for each option shall be not less than 100% of the fair market value of a share of Common Stock on the date of grant of the option. When an option is exercised, the exercise price for the shares to be purchased shall be paid in full in cash or such other method permitted by the Administrator consistent with Section 5.4.</w:t>
      </w:r>
    </w:p>
    <w:p>
      <w:pPr>
        <w:spacing w:after="0" w:line="181" w:lineRule="exact"/>
        <w:rPr>
          <w:sz w:val="20"/>
          <w:szCs w:val="20"/>
          <w:color w:val="auto"/>
        </w:rPr>
      </w:pPr>
    </w:p>
    <w:p>
      <w:pPr>
        <w:ind w:left="180" w:firstLine="13"/>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5.1.2 </w:t>
      </w:r>
      <w:r>
        <w:rPr>
          <w:rFonts w:ascii="Times New Roman" w:cs="Times New Roman" w:eastAsia="Times New Roman" w:hAnsi="Times New Roman"/>
          <w:sz w:val="22"/>
          <w:szCs w:val="22"/>
          <w:b w:val="1"/>
          <w:bCs w:val="1"/>
          <w:i w:val="1"/>
          <w:iCs w:val="1"/>
          <w:color w:val="auto"/>
        </w:rPr>
        <w:t>Additional Rules Applicable to ISOs</w:t>
      </w:r>
      <w:r>
        <w:rPr>
          <w:rFonts w:ascii="Times New Roman" w:cs="Times New Roman" w:eastAsia="Times New Roman" w:hAnsi="Times New Roman"/>
          <w:sz w:val="22"/>
          <w:szCs w:val="22"/>
          <w:color w:val="auto"/>
        </w:rPr>
        <w:t>. To the extent that the aggregate fair market value (determined 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of grant of the applicable option) of stock with respect to which ISOs first become exercisable by a participant in any calendar year exceeds $100,000, taking into account both Common Stock subject to ISOs under this Plan and stock subject to ISOs under all other plans of the Corporation or one of its Subsidiaries (or any parent or predecessor corporation to the extent required by and within the meaning of Section 422 of the Code and the regulations promulgated thereunder), such options shall be treated as nonqualified stock options. In reducing the number of options treated as ISOs to meet the $100,000 limit, the most recently granted options shall be reduced first. To the extent a reduction of simultaneously granted options is necessary to meet the $100,000 limit, the Administrator may, in the manner and to the extent permitted by law, designate which shares of Common Stock are to be treated as shares acquired pursuant to the exercise of an ISO. ISOs may only be granted to employees of the Corporation or one of its subsidiaries (for this purpose, the term “subsidiary” is used as defined in Section 424(f) of the Code, which generally requires an unbroken chain of ownership of at least 50% of the total combined voting power of all classes of stock of each subsidiary in the chain beginning with the Corporation and ending with the subsidiary in question). No ISO may be granted to any person who, at the time the option is granted, owns (or is deemed to own under Section 424(d) of the Code) shares of outstanding Common Stock possessing more than 10% of the total combined voting power of all classes of stock of the Corporation, unless the exercise price of such option is at least 110% of the fair market value of the stock subject to the option and such option by its terms is not exercisable after the expiration of five years from the date such option is granted. If an otherwise intended ISO fails to meet the applicable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100"/>
          </w:cols>
          <w:pgMar w:left="1440" w:top="1287" w:right="359" w:bottom="1440" w:gutter="0" w:footer="0" w:header="0"/>
        </w:sectPr>
      </w:pPr>
    </w:p>
    <w:bookmarkStart w:id="61" w:name="page62"/>
    <w:bookmarkEnd w:id="61"/>
    <w:p>
      <w:pPr>
        <w:ind w:left="180"/>
        <w:spacing w:after="0"/>
        <w:rPr>
          <w:sz w:val="20"/>
          <w:szCs w:val="20"/>
          <w:color w:val="auto"/>
        </w:rPr>
      </w:pPr>
      <w:r>
        <w:rPr>
          <w:rFonts w:ascii="Times New Roman" w:cs="Times New Roman" w:eastAsia="Times New Roman" w:hAnsi="Times New Roman"/>
          <w:sz w:val="22"/>
          <w:szCs w:val="22"/>
          <w:color w:val="auto"/>
        </w:rPr>
        <w:t>of Section 422 of the Code, the option shall be rendered a nonqualified stock option.</w:t>
      </w:r>
    </w:p>
    <w:p>
      <w:pPr>
        <w:spacing w:after="0" w:line="214" w:lineRule="exact"/>
        <w:rPr>
          <w:sz w:val="20"/>
          <w:szCs w:val="20"/>
          <w:color w:val="auto"/>
        </w:rPr>
      </w:pPr>
    </w:p>
    <w:p>
      <w:pPr>
        <w:ind w:left="180" w:right="160" w:firstLine="13"/>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5.1.3 </w:t>
      </w:r>
      <w:r>
        <w:rPr>
          <w:rFonts w:ascii="Times New Roman" w:cs="Times New Roman" w:eastAsia="Times New Roman" w:hAnsi="Times New Roman"/>
          <w:sz w:val="22"/>
          <w:szCs w:val="22"/>
          <w:b w:val="1"/>
          <w:bCs w:val="1"/>
          <w:i w:val="1"/>
          <w:iCs w:val="1"/>
          <w:color w:val="auto"/>
        </w:rPr>
        <w:t>Stock Appreciation Rights</w:t>
      </w:r>
      <w:r>
        <w:rPr>
          <w:rFonts w:ascii="Times New Roman" w:cs="Times New Roman" w:eastAsia="Times New Roman" w:hAnsi="Times New Roman"/>
          <w:sz w:val="22"/>
          <w:szCs w:val="22"/>
          <w:color w:val="auto"/>
        </w:rPr>
        <w:t>. A stock appreciation right or “</w:t>
      </w:r>
      <w:r>
        <w:rPr>
          <w:rFonts w:ascii="Times New Roman" w:cs="Times New Roman" w:eastAsia="Times New Roman" w:hAnsi="Times New Roman"/>
          <w:sz w:val="22"/>
          <w:szCs w:val="22"/>
          <w:b w:val="1"/>
          <w:bCs w:val="1"/>
          <w:color w:val="auto"/>
        </w:rPr>
        <w:t>SAR</w:t>
      </w:r>
      <w:r>
        <w:rPr>
          <w:rFonts w:ascii="Times New Roman" w:cs="Times New Roman" w:eastAsia="Times New Roman" w:hAnsi="Times New Roman"/>
          <w:sz w:val="22"/>
          <w:szCs w:val="22"/>
          <w:color w:val="auto"/>
        </w:rPr>
        <w:t>” is a right to receive a payment, in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and/or Common Stock, equal to the excess of the fair market value of a specified number of shares of Common Stock on the date the SAR is exercised over the “base price” of the award, which base price shall not be less than the fair market value of a share of Common Stock on the date the SAR was granted and shall be set forth in the applicable award agreement. The maximum term of a SAR shall be ten (10) years.</w:t>
      </w:r>
    </w:p>
    <w:p>
      <w:pPr>
        <w:spacing w:after="0" w:line="176" w:lineRule="exact"/>
        <w:rPr>
          <w:sz w:val="20"/>
          <w:szCs w:val="20"/>
          <w:color w:val="auto"/>
        </w:rPr>
      </w:pPr>
    </w:p>
    <w:p>
      <w:pPr>
        <w:ind w:left="180" w:firstLine="13"/>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5.1.4 </w:t>
      </w:r>
      <w:r>
        <w:rPr>
          <w:rFonts w:ascii="Times New Roman" w:cs="Times New Roman" w:eastAsia="Times New Roman" w:hAnsi="Times New Roman"/>
          <w:sz w:val="22"/>
          <w:szCs w:val="22"/>
          <w:b w:val="1"/>
          <w:bCs w:val="1"/>
          <w:i w:val="1"/>
          <w:iCs w:val="1"/>
          <w:color w:val="auto"/>
        </w:rPr>
        <w:t>Other Awards</w:t>
      </w:r>
      <w:r>
        <w:rPr>
          <w:rFonts w:ascii="Times New Roman" w:cs="Times New Roman" w:eastAsia="Times New Roman" w:hAnsi="Times New Roman"/>
          <w:sz w:val="22"/>
          <w:szCs w:val="22"/>
          <w:color w:val="auto"/>
        </w:rPr>
        <w:t>. The other types of awards that may be granted under this Plan include: (a) stock bonuses,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performance stock, stock units, phantom stock, dividend equivalents, or similar rights to purchase or acquire shares, whether at a fixed or variable price (or no price) or fixed or variable ratio related to the Common Stock, and any of which may (but need not) be fully vested at grant (except as provided below with respect to dividend equivalent rights) or vest upon the passage of time, the occurrence of one or more events, or the satisfaction of performance criteria or other conditions, or any combination thereof; or (b) cash awards. The types of cash awards that may be granted under this Plan include the opportunity to receive a payment for the achievement of one or more goals established by the Administrator, on such terms as the Administrator may provide, as well as discretionary cash awards. Dividend equivalent rights may be granted as a separate award or in connection with another award under this Plan; provided, however, that dividend equivalent rights may not be granted in connection with a stock option or SAR granted under this Plan. In addition, any dividends and/or dividend equivalents as to the portion of an award that is subject to unsatisfied vesting requirements will be subject to termination and forfeiture to the same extent as the corresponding portion of the award to which they relate in the event the applicable vesting requirements are not satisfied.</w:t>
      </w:r>
    </w:p>
    <w:p>
      <w:pPr>
        <w:spacing w:after="0" w:line="192" w:lineRule="exact"/>
        <w:rPr>
          <w:sz w:val="20"/>
          <w:szCs w:val="20"/>
          <w:color w:val="auto"/>
        </w:rPr>
      </w:pPr>
    </w:p>
    <w:p>
      <w:pPr>
        <w:ind w:left="180" w:right="120" w:firstLine="13"/>
        <w:spacing w:after="0" w:line="261" w:lineRule="auto"/>
        <w:rPr>
          <w:sz w:val="20"/>
          <w:szCs w:val="20"/>
          <w:color w:val="auto"/>
        </w:rPr>
      </w:pPr>
      <w:r>
        <w:rPr>
          <w:rFonts w:ascii="Times New Roman" w:cs="Times New Roman" w:eastAsia="Times New Roman" w:hAnsi="Times New Roman"/>
          <w:sz w:val="21"/>
          <w:szCs w:val="21"/>
          <w:b w:val="1"/>
          <w:bCs w:val="1"/>
          <w:color w:val="auto"/>
        </w:rPr>
        <w:t xml:space="preserve">5.1.5 </w:t>
      </w:r>
      <w:r>
        <w:rPr>
          <w:rFonts w:ascii="Times New Roman" w:cs="Times New Roman" w:eastAsia="Times New Roman" w:hAnsi="Times New Roman"/>
          <w:sz w:val="21"/>
          <w:szCs w:val="21"/>
          <w:b w:val="1"/>
          <w:bCs w:val="1"/>
          <w:i w:val="1"/>
          <w:iCs w:val="1"/>
          <w:color w:val="auto"/>
        </w:rPr>
        <w:t>Minimum Vesting Requirements</w:t>
      </w:r>
      <w:r>
        <w:rPr>
          <w:rFonts w:ascii="Times New Roman" w:cs="Times New Roman" w:eastAsia="Times New Roman" w:hAnsi="Times New Roman"/>
          <w:sz w:val="21"/>
          <w:szCs w:val="21"/>
          <w:color w:val="auto"/>
        </w:rPr>
        <w:t>. Except for any accelerated vesting required pursuant to Section 7 or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provided in the next sentence, each award granted under this Plan that is granted or payable in shares of Common Stock shall be subject to a minimum vesting requirement of one-year and no portion of any such award may vest earlier than the first anniversary of the grant date of the award (the “</w:t>
      </w:r>
      <w:r>
        <w:rPr>
          <w:rFonts w:ascii="Times New Roman" w:cs="Times New Roman" w:eastAsia="Times New Roman" w:hAnsi="Times New Roman"/>
          <w:sz w:val="21"/>
          <w:szCs w:val="21"/>
          <w:b w:val="1"/>
          <w:bCs w:val="1"/>
          <w:color w:val="auto"/>
        </w:rPr>
        <w:t>Minimum Vesting Requirement</w:t>
      </w:r>
      <w:r>
        <w:rPr>
          <w:rFonts w:ascii="Times New Roman" w:cs="Times New Roman" w:eastAsia="Times New Roman" w:hAnsi="Times New Roman"/>
          <w:sz w:val="21"/>
          <w:szCs w:val="21"/>
          <w:color w:val="auto"/>
        </w:rPr>
        <w:t>”). The Minimum Vesting Requirement shall not apply to 5% of the total number of shares available under this Plan (which shares may be used for awards that do not include a one year vesting period or may provide for no vesting requirement) and shall not limit or restrict the Administrator’s discretion to accelerate or provide for the acceleration of vesting of any award in circumstances it determines to be appropriate.</w:t>
      </w:r>
    </w:p>
    <w:p>
      <w:pPr>
        <w:spacing w:after="0" w:line="167" w:lineRule="exact"/>
        <w:rPr>
          <w:sz w:val="20"/>
          <w:szCs w:val="20"/>
          <w:color w:val="auto"/>
        </w:rPr>
      </w:pPr>
    </w:p>
    <w:p>
      <w:pPr>
        <w:ind w:left="180" w:right="20" w:firstLine="13"/>
        <w:spacing w:after="0" w:line="276" w:lineRule="auto"/>
        <w:rPr>
          <w:sz w:val="20"/>
          <w:szCs w:val="20"/>
          <w:color w:val="auto"/>
        </w:rPr>
      </w:pPr>
      <w:r>
        <w:rPr>
          <w:rFonts w:ascii="Times New Roman" w:cs="Times New Roman" w:eastAsia="Times New Roman" w:hAnsi="Times New Roman"/>
          <w:sz w:val="22"/>
          <w:szCs w:val="22"/>
          <w:b w:val="1"/>
          <w:bCs w:val="1"/>
          <w:color w:val="auto"/>
        </w:rPr>
        <w:t xml:space="preserve">5.1.6 </w:t>
      </w:r>
      <w:r>
        <w:rPr>
          <w:rFonts w:ascii="Times New Roman" w:cs="Times New Roman" w:eastAsia="Times New Roman" w:hAnsi="Times New Roman"/>
          <w:sz w:val="22"/>
          <w:szCs w:val="22"/>
          <w:b w:val="1"/>
          <w:bCs w:val="1"/>
          <w:i w:val="1"/>
          <w:iCs w:val="1"/>
          <w:color w:val="auto"/>
        </w:rPr>
        <w:t>Performance Goals</w:t>
      </w:r>
      <w:r>
        <w:rPr>
          <w:rFonts w:ascii="Times New Roman" w:cs="Times New Roman" w:eastAsia="Times New Roman" w:hAnsi="Times New Roman"/>
          <w:sz w:val="22"/>
          <w:szCs w:val="22"/>
          <w:color w:val="auto"/>
        </w:rPr>
        <w:t>. The grant, vesting, exercisability or payment of an award may (but need not) depend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degree of achievement of one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120"/>
          </w:cols>
          <w:pgMar w:left="1440" w:top="1287" w:right="339" w:bottom="1440" w:gutter="0" w:footer="0" w:header="0"/>
        </w:sectPr>
      </w:pPr>
    </w:p>
    <w:bookmarkStart w:id="62" w:name="page63"/>
    <w:bookmarkEnd w:id="62"/>
    <w:p>
      <w:pPr>
        <w:ind w:left="180"/>
        <w:spacing w:after="0" w:line="256" w:lineRule="auto"/>
        <w:rPr>
          <w:sz w:val="20"/>
          <w:szCs w:val="20"/>
          <w:color w:val="auto"/>
        </w:rPr>
      </w:pPr>
      <w:r>
        <w:rPr>
          <w:rFonts w:ascii="Times New Roman" w:cs="Times New Roman" w:eastAsia="Times New Roman" w:hAnsi="Times New Roman"/>
          <w:sz w:val="21"/>
          <w:szCs w:val="21"/>
          <w:color w:val="auto"/>
        </w:rPr>
        <w:t>performance goals relative to a pre-established targeted level or levels using one or more of the Business Criteria set forth below (on an absolute or relative (including, without limitation, relative to the performance of one or more other companies or upon comparisons of any of the indicators of performance relative to one or more other companies) basis, any of which may also be expressed as a growth or decline measure relative to an amount or performance for a prior date or period) for the Corporation on a consolidated basis or for one or more of the Corporation’s subsidiaries, segments, divisions or business units, or any combination of the foregoing, or any other basis for measurement as established by the Administrator. The “</w:t>
      </w:r>
      <w:r>
        <w:rPr>
          <w:rFonts w:ascii="Times New Roman" w:cs="Times New Roman" w:eastAsia="Times New Roman" w:hAnsi="Times New Roman"/>
          <w:sz w:val="21"/>
          <w:szCs w:val="21"/>
          <w:b w:val="1"/>
          <w:bCs w:val="1"/>
          <w:color w:val="auto"/>
        </w:rPr>
        <w:t>Business Criteria</w:t>
      </w:r>
      <w:r>
        <w:rPr>
          <w:rFonts w:ascii="Times New Roman" w:cs="Times New Roman" w:eastAsia="Times New Roman" w:hAnsi="Times New Roman"/>
          <w:sz w:val="21"/>
          <w:szCs w:val="21"/>
          <w:color w:val="auto"/>
        </w:rPr>
        <w:t>” as selected by the Administrator in its sole discretion may be: (i) earnings per share, (ii) adjusted earnings per share, (iii) cash flow (which means cash and cash equivalents derived from either net cash flow from operations or net cash flow from operations, financing and investing activities), (iv) stock price, (v) total stockholder return, (vi) gross or net sales or revenue, (vii) revenue growth, (viii) operating income (before or after taxes), (ix) net earnings (before or after interest, taxes, depreciation and/or amortization), (x) return on equity, assets, capital or net investment, (xi) cost or expense containment or reduction, (xii) market share or total available market, (xiii) economic value added, (xiv) gross margin or adjusted gross margin, (xv) net income, or any combination thereof, or any other criterion or criteria established by the Administrator. Unless otherwise approved by the Administrator, the specific performance formula, goal or goals (“targets”) as to such a performance-based award must be established during the first 90 days of the performance period (and, in the case of performance periods of less than one year, in no event after 25% or more of the performance period has elapsed). The Administrator may provide that any performance-based goals (or the applicable measure of performance) will be adjusted to mitigate the unbudgeted impact of significant, material, unusual or nonrecurring items, accounting changes, extraordinary events not foreseen at the time the targets were set, or other circumstances determined by the Administrator. By way of example, such adjustment items may include, but are not limited to, one or more of the following: (i) items related to a change in accounting principle, (ii) items relating to financing activities, (iii) expenses for restructuring or productivity initiatives, (iv) other non-operating items, (v) items related to acquisitions, (vi) items attributable to the business operations of any entity acquired by the Corporation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(xi) items relating to unusual or extraordinary corporate transactions, events or developments, (xii) items related to amortization of acquired intangible assets, (xiii) items that are outside the scope of core, on-going business activities, (xiv) items related to acquired in-process research and development, (xv) items relating to changes in tax laws, (xvi) items relating to licensing or partnership arrangements, (xvii) items relating to asset impairment charges, (xviii) items relating to gains or losses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100"/>
          </w:cols>
          <w:pgMar w:left="1440" w:top="1287" w:right="359" w:bottom="1440" w:gutter="0" w:footer="0" w:header="0"/>
        </w:sectPr>
      </w:pPr>
    </w:p>
    <w:bookmarkStart w:id="63" w:name="page64"/>
    <w:bookmarkEnd w:id="63"/>
    <w:p>
      <w:pPr>
        <w:ind w:left="180" w:right="520"/>
        <w:spacing w:after="0" w:line="271" w:lineRule="auto"/>
        <w:rPr>
          <w:sz w:val="20"/>
          <w:szCs w:val="20"/>
          <w:color w:val="auto"/>
        </w:rPr>
      </w:pPr>
      <w:r>
        <w:rPr>
          <w:rFonts w:ascii="Times New Roman" w:cs="Times New Roman" w:eastAsia="Times New Roman" w:hAnsi="Times New Roman"/>
          <w:sz w:val="22"/>
          <w:szCs w:val="22"/>
          <w:color w:val="auto"/>
        </w:rPr>
        <w:t>litigation, arbitration and contractual settlements, or (xix) items relating to any other unusual or nonrecurring events or changes in applicable law or business conditions.</w:t>
      </w:r>
    </w:p>
    <w:p>
      <w:pPr>
        <w:spacing w:after="0" w:line="152" w:lineRule="exact"/>
        <w:rPr>
          <w:sz w:val="20"/>
          <w:szCs w:val="20"/>
          <w:color w:val="auto"/>
        </w:rPr>
      </w:pPr>
    </w:p>
    <w:p>
      <w:pPr>
        <w:ind w:left="180" w:right="40" w:hanging="647"/>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5.2 </w:t>
      </w:r>
      <w:r>
        <w:rPr>
          <w:rFonts w:ascii="Times New Roman" w:cs="Times New Roman" w:eastAsia="Times New Roman" w:hAnsi="Times New Roman"/>
          <w:sz w:val="22"/>
          <w:szCs w:val="22"/>
          <w:b w:val="1"/>
          <w:bCs w:val="1"/>
          <w:i w:val="1"/>
          <w:iCs w:val="1"/>
          <w:color w:val="auto"/>
        </w:rPr>
        <w:t>Award Agreements</w:t>
      </w:r>
      <w:r>
        <w:rPr>
          <w:rFonts w:ascii="Times New Roman" w:cs="Times New Roman" w:eastAsia="Times New Roman" w:hAnsi="Times New Roman"/>
          <w:sz w:val="22"/>
          <w:szCs w:val="22"/>
          <w:color w:val="auto"/>
        </w:rPr>
        <w:t>. Each award shall be evidenced by either (1) a written award agreement in a form approved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Administrator, or (2) an electronic notice of award grant in a form approved by the Administrator and recorded by the Corporation (or its designee) in an electronic recordkeeping system used for the purpose of tracking award grants under this Plan generally (in each case, an “award agreement”), as the Administrator may provide and, in each case and if required by the Administrator, executed or otherwise electronically accepted (including deemed acceptance) by the recipient of the award in such form and manner as the Administrator may require. The Administrator may authorize any officer of the Corporation (other than the particular award recipient) to execute any or all award agreements on behalf of the Corporation. The award agreement shall set forth the material terms and conditions of the award as established by the Administrator consistent with the express limitations of this Plan.</w:t>
      </w:r>
    </w:p>
    <w:p>
      <w:pPr>
        <w:spacing w:after="0" w:line="177" w:lineRule="exact"/>
        <w:rPr>
          <w:sz w:val="20"/>
          <w:szCs w:val="20"/>
          <w:color w:val="auto"/>
        </w:rPr>
      </w:pPr>
    </w:p>
    <w:p>
      <w:pPr>
        <w:ind w:left="180" w:right="20" w:hanging="647"/>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5.3 </w:t>
      </w:r>
      <w:r>
        <w:rPr>
          <w:rFonts w:ascii="Times New Roman" w:cs="Times New Roman" w:eastAsia="Times New Roman" w:hAnsi="Times New Roman"/>
          <w:sz w:val="21"/>
          <w:szCs w:val="21"/>
          <w:b w:val="1"/>
          <w:bCs w:val="1"/>
          <w:i w:val="1"/>
          <w:iCs w:val="1"/>
          <w:color w:val="auto"/>
        </w:rPr>
        <w:t>Deferrals and Settlements</w:t>
      </w:r>
      <w:r>
        <w:rPr>
          <w:rFonts w:ascii="Times New Roman" w:cs="Times New Roman" w:eastAsia="Times New Roman" w:hAnsi="Times New Roman"/>
          <w:sz w:val="21"/>
          <w:szCs w:val="21"/>
          <w:color w:val="auto"/>
        </w:rPr>
        <w:t>. Payment of awards may be in the form of cash, Common Stock, other awards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combinations thereof as the Administrator shall determine, and with such restrictions (if any) as it may impose, as set forth in the applicable award agreement. The Administrator may also require or permit participants to elect to defer the issuance of shares or the settlement of awards in cash under such rules and procedures as it may establish under this Plan and in accordance with the applicable award agreement. The Administrator may also provide that deferred settlements include the payment or crediting of interest or other earnings on the deferral amounts, or the payment or crediting of dividend equivalents where the deferred amounts are denominated in shares.</w:t>
      </w:r>
    </w:p>
    <w:p>
      <w:pPr>
        <w:spacing w:after="0" w:line="166" w:lineRule="exact"/>
        <w:rPr>
          <w:sz w:val="20"/>
          <w:szCs w:val="20"/>
          <w:color w:val="auto"/>
        </w:rPr>
      </w:pPr>
    </w:p>
    <w:p>
      <w:pPr>
        <w:ind w:left="180" w:hanging="64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5.4 </w:t>
      </w:r>
      <w:r>
        <w:rPr>
          <w:rFonts w:ascii="Times New Roman" w:cs="Times New Roman" w:eastAsia="Times New Roman" w:hAnsi="Times New Roman"/>
          <w:sz w:val="22"/>
          <w:szCs w:val="22"/>
          <w:b w:val="1"/>
          <w:bCs w:val="1"/>
          <w:i w:val="1"/>
          <w:iCs w:val="1"/>
          <w:color w:val="auto"/>
        </w:rPr>
        <w:t>Consideration for Common Stock or Awards</w:t>
      </w: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purchase price (if any) for any award granted under this Plan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to be delivered pursuant to an award, as applicable, may be paid by means of any lawful consideration as determined by the Administrator, including, without limitation, one or a combination of the following methods:</w:t>
      </w:r>
    </w:p>
    <w:p>
      <w:pPr>
        <w:spacing w:after="0" w:line="177" w:lineRule="exact"/>
        <w:rPr>
          <w:sz w:val="20"/>
          <w:szCs w:val="20"/>
          <w:color w:val="auto"/>
        </w:rPr>
      </w:pPr>
    </w:p>
    <w:p>
      <w:pPr>
        <w:ind w:left="500" w:right="260" w:hanging="316"/>
        <w:spacing w:after="0" w:line="271" w:lineRule="auto"/>
        <w:tabs>
          <w:tab w:leader="none" w:pos="49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compensation otherwise payable to the recipient of such award or for services rendered by the recipient;</w:t>
      </w:r>
    </w:p>
    <w:p>
      <w:pPr>
        <w:spacing w:after="0" w:line="157" w:lineRule="exact"/>
        <w:rPr>
          <w:rFonts w:ascii="Times New Roman" w:cs="Times New Roman" w:eastAsia="Times New Roman" w:hAnsi="Times New Roman"/>
          <w:sz w:val="22"/>
          <w:szCs w:val="22"/>
          <w:color w:val="auto"/>
        </w:rPr>
      </w:pPr>
    </w:p>
    <w:p>
      <w:pPr>
        <w:ind w:left="500" w:hanging="316"/>
        <w:spacing w:after="0"/>
        <w:tabs>
          <w:tab w:leader="none" w:pos="5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check payable to the order of the Corporation, or electronic funds transfer;</w:t>
      </w:r>
    </w:p>
    <w:p>
      <w:pPr>
        <w:spacing w:after="0" w:line="219" w:lineRule="exact"/>
        <w:rPr>
          <w:rFonts w:ascii="Times New Roman" w:cs="Times New Roman" w:eastAsia="Times New Roman" w:hAnsi="Times New Roman"/>
          <w:sz w:val="22"/>
          <w:szCs w:val="22"/>
          <w:color w:val="auto"/>
        </w:rPr>
      </w:pPr>
    </w:p>
    <w:p>
      <w:pPr>
        <w:ind w:left="500" w:hanging="316"/>
        <w:spacing w:after="0"/>
        <w:tabs>
          <w:tab w:leader="none" w:pos="5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and third party payment in such manner as may be authorized by the Administrator;</w:t>
      </w:r>
    </w:p>
    <w:p>
      <w:pPr>
        <w:spacing w:after="0" w:line="219" w:lineRule="exact"/>
        <w:rPr>
          <w:rFonts w:ascii="Times New Roman" w:cs="Times New Roman" w:eastAsia="Times New Roman" w:hAnsi="Times New Roman"/>
          <w:sz w:val="22"/>
          <w:szCs w:val="22"/>
          <w:color w:val="auto"/>
        </w:rPr>
      </w:pPr>
    </w:p>
    <w:p>
      <w:pPr>
        <w:ind w:left="500" w:hanging="316"/>
        <w:spacing w:after="0"/>
        <w:tabs>
          <w:tab w:leader="none" w:pos="5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delivery of previously owned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120"/>
          </w:cols>
          <w:pgMar w:left="1440" w:top="1287" w:right="339" w:bottom="1440" w:gutter="0" w:footer="0" w:header="0"/>
        </w:sectPr>
      </w:pPr>
    </w:p>
    <w:bookmarkStart w:id="64" w:name="page65"/>
    <w:bookmarkEnd w:id="64"/>
    <w:p>
      <w:pPr>
        <w:ind w:left="500" w:hanging="316"/>
        <w:spacing w:after="0"/>
        <w:tabs>
          <w:tab w:leader="none" w:pos="5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 reduction in the number of shares otherwise deliverable pursuant to the award; or</w:t>
      </w:r>
    </w:p>
    <w:p>
      <w:pPr>
        <w:spacing w:after="0" w:line="219" w:lineRule="exact"/>
        <w:rPr>
          <w:rFonts w:ascii="Times New Roman" w:cs="Times New Roman" w:eastAsia="Times New Roman" w:hAnsi="Times New Roman"/>
          <w:sz w:val="22"/>
          <w:szCs w:val="22"/>
          <w:color w:val="auto"/>
        </w:rPr>
      </w:pPr>
    </w:p>
    <w:p>
      <w:pPr>
        <w:ind w:left="500" w:right="40" w:hanging="316"/>
        <w:spacing w:after="0" w:line="257" w:lineRule="auto"/>
        <w:tabs>
          <w:tab w:leader="none" w:pos="49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such procedures as the Administrator may adopt, pursuant to a “cashless exercise” with a third party who provides financing for the purposes of (or who otherwise facilitates) the purchase or exercise of awards, including through same-day sales.</w:t>
      </w:r>
    </w:p>
    <w:p>
      <w:pPr>
        <w:spacing w:after="0" w:line="173" w:lineRule="exact"/>
        <w:rPr>
          <w:sz w:val="20"/>
          <w:szCs w:val="20"/>
          <w:color w:val="auto"/>
        </w:rPr>
      </w:pPr>
    </w:p>
    <w:p>
      <w:pPr>
        <w:ind w:left="180"/>
        <w:spacing w:after="0" w:line="247" w:lineRule="auto"/>
        <w:rPr>
          <w:sz w:val="20"/>
          <w:szCs w:val="20"/>
          <w:color w:val="auto"/>
        </w:rPr>
      </w:pPr>
      <w:r>
        <w:rPr>
          <w:rFonts w:ascii="Times New Roman" w:cs="Times New Roman" w:eastAsia="Times New Roman" w:hAnsi="Times New Roman"/>
          <w:sz w:val="22"/>
          <w:szCs w:val="22"/>
          <w:color w:val="auto"/>
        </w:rPr>
        <w:t>In no event shall any shares newly-issued by the Corporation be issued for less than the minimum lawful consideration for such shares or for consideration other than consideration permitted by applicable state law. Shares of Common Stock used to satisfy the exercise price of an option shall be valued at their fair market value. The Corporation will not be obligated to deliver any shares unless and until it receives full payment of the exercise or purchase price therefor and any related withholding obligations under Section 8.5 and any other conditions to exercise or purchase have been satisfied. Unless otherwise expressly provided in the applicable award agreement, the Administrator may at any time eliminate or limit a participant’s ability to pay any purchase or exercise price of any award or shares by any method other than cash payment to the Corporation.</w:t>
      </w:r>
    </w:p>
    <w:p>
      <w:pPr>
        <w:spacing w:after="0" w:line="179" w:lineRule="exact"/>
        <w:rPr>
          <w:sz w:val="20"/>
          <w:szCs w:val="20"/>
          <w:color w:val="auto"/>
        </w:rPr>
      </w:pPr>
    </w:p>
    <w:p>
      <w:pPr>
        <w:ind w:left="180" w:right="20" w:hanging="647"/>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5.5 </w:t>
      </w:r>
      <w:r>
        <w:rPr>
          <w:rFonts w:ascii="Times New Roman" w:cs="Times New Roman" w:eastAsia="Times New Roman" w:hAnsi="Times New Roman"/>
          <w:sz w:val="22"/>
          <w:szCs w:val="22"/>
          <w:b w:val="1"/>
          <w:bCs w:val="1"/>
          <w:i w:val="1"/>
          <w:iCs w:val="1"/>
          <w:color w:val="auto"/>
        </w:rPr>
        <w:t>Definition of Fair Market Value</w:t>
      </w:r>
      <w:r>
        <w:rPr>
          <w:rFonts w:ascii="Times New Roman" w:cs="Times New Roman" w:eastAsia="Times New Roman" w:hAnsi="Times New Roman"/>
          <w:sz w:val="22"/>
          <w:szCs w:val="22"/>
          <w:color w:val="auto"/>
        </w:rPr>
        <w:t>. For purposes of this Plan, “fair market value” shall mean, unless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or provided by the Administrator in the circumstances, the closing price (in regular trading) of a share of Common Stock on the Nasdaq Stock Market (or, if the Common Stock is not then traded on the Nasdaq Stock Market, on the principal national securities exchange on which the Common Stock is then listed or admitted to trade) (the “</w:t>
      </w:r>
      <w:r>
        <w:rPr>
          <w:rFonts w:ascii="Times New Roman" w:cs="Times New Roman" w:eastAsia="Times New Roman" w:hAnsi="Times New Roman"/>
          <w:sz w:val="22"/>
          <w:szCs w:val="22"/>
          <w:b w:val="1"/>
          <w:bCs w:val="1"/>
          <w:color w:val="auto"/>
        </w:rPr>
        <w:t>Exchange</w:t>
      </w:r>
      <w:r>
        <w:rPr>
          <w:rFonts w:ascii="Times New Roman" w:cs="Times New Roman" w:eastAsia="Times New Roman" w:hAnsi="Times New Roman"/>
          <w:sz w:val="22"/>
          <w:szCs w:val="22"/>
          <w:color w:val="auto"/>
        </w:rPr>
        <w:t>”) for the date in question or, if no sales of Common Stock were made on the Exchange on that date, the closing price (in regular trading) of a share of Common Stock on the Exchange for the next preceding day on which sales of Common Stock were made on the Exchange. The Administrator may, however, provide with respect to one or more awards that the fair market value shall equal the last closing price (in regular trading) of a share of Common Stock on the Exchange available at the relevant time or the average of the high and low trading prices of a share of Common Stock on the Exchange for the date in question or the most recent trading day. If the Common Stock is no longer listed or is no longer actively traded on the Exchange as of the applicable date, the fair market value of the Common Stock shall be the value as reasonably determined by the Administrator for purposes of the award in the circumstances. The Administrator also may adopt a different methodology for determining fair market value with respect to one or more awards if a different methodology is necessary or advisable to secure any intended favorable tax, legal or other treatment for the particular award(s) (for example, and without limitation, the Administrator may provide that fair market value for purposes of one or more awards will be based on an average of closing prices (or the average of high and low daily trading prices) for a specified period preceding the relevant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100"/>
          </w:cols>
          <w:pgMar w:left="1440" w:top="1287"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b w:val="1"/>
          <w:bCs w:val="1"/>
          <w:color w:val="auto"/>
        </w:rPr>
        <w:t xml:space="preserve">5.6 </w:t>
      </w:r>
      <w:r>
        <w:rPr>
          <w:rFonts w:ascii="Times New Roman" w:cs="Times New Roman" w:eastAsia="Times New Roman" w:hAnsi="Times New Roman"/>
          <w:sz w:val="22"/>
          <w:szCs w:val="22"/>
          <w:b w:val="1"/>
          <w:bCs w:val="1"/>
          <w:i w:val="1"/>
          <w:iCs w:val="1"/>
          <w:color w:val="auto"/>
        </w:rPr>
        <w:t>Transfer Restrictions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 xml:space="preserve">5.6.1 </w:t>
      </w:r>
      <w:r>
        <w:rPr>
          <w:rFonts w:ascii="Times New Roman" w:cs="Times New Roman" w:eastAsia="Times New Roman" w:hAnsi="Times New Roman"/>
          <w:sz w:val="21"/>
          <w:szCs w:val="21"/>
          <w:b w:val="1"/>
          <w:bCs w:val="1"/>
          <w:i w:val="1"/>
          <w:iCs w:val="1"/>
          <w:color w:val="auto"/>
        </w:rPr>
        <w:t>Limitations on Exercise and Transfer</w:t>
      </w:r>
      <w:r>
        <w:rPr>
          <w:rFonts w:ascii="Times New Roman" w:cs="Times New Roman" w:eastAsia="Times New Roman" w:hAnsi="Times New Roman"/>
          <w:sz w:val="21"/>
          <w:szCs w:val="21"/>
          <w:color w:val="auto"/>
        </w:rPr>
        <w:t>. Unless otherwise expressly provided in (or pursuant to) this Section</w:t>
      </w:r>
    </w:p>
    <w:p>
      <w:pPr>
        <w:spacing w:after="0" w:line="45" w:lineRule="exact"/>
        <w:rPr>
          <w:sz w:val="20"/>
          <w:szCs w:val="20"/>
          <w:color w:val="auto"/>
        </w:rPr>
      </w:pPr>
    </w:p>
    <w:p>
      <w:pPr>
        <w:ind w:left="640" w:right="220"/>
        <w:spacing w:after="0" w:line="260" w:lineRule="auto"/>
        <w:rPr>
          <w:sz w:val="20"/>
          <w:szCs w:val="20"/>
          <w:color w:val="auto"/>
        </w:rPr>
      </w:pPr>
      <w:r>
        <w:rPr>
          <w:rFonts w:ascii="Times New Roman" w:cs="Times New Roman" w:eastAsia="Times New Roman" w:hAnsi="Times New Roman"/>
          <w:sz w:val="21"/>
          <w:szCs w:val="21"/>
          <w:color w:val="auto"/>
        </w:rPr>
        <w:t>5.6, by applicable law and by the award agreement, as the same may be amended, (a) all awards are non-transferable and shall not be subject in any manner to sale, transfer, anticipation, alienation, assignment, pledge, encumbrance or charge; (b) awards shall be exercised only by the participant; and (c) amounts payable or shares issuable pursuant to any award shall be delivered only to (or for the account of) the participant.</w:t>
      </w:r>
    </w:p>
    <w:p>
      <w:pPr>
        <w:spacing w:after="0" w:line="166" w:lineRule="exact"/>
        <w:rPr>
          <w:sz w:val="20"/>
          <w:szCs w:val="20"/>
          <w:color w:val="auto"/>
        </w:rPr>
      </w:pPr>
    </w:p>
    <w:p>
      <w:pPr>
        <w:ind w:left="640"/>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5.6.2 </w:t>
      </w:r>
      <w:r>
        <w:rPr>
          <w:rFonts w:ascii="Times New Roman" w:cs="Times New Roman" w:eastAsia="Times New Roman" w:hAnsi="Times New Roman"/>
          <w:sz w:val="22"/>
          <w:szCs w:val="22"/>
          <w:b w:val="1"/>
          <w:bCs w:val="1"/>
          <w:i w:val="1"/>
          <w:iCs w:val="1"/>
          <w:color w:val="auto"/>
        </w:rPr>
        <w:t>Exceptions</w:t>
      </w:r>
      <w:r>
        <w:rPr>
          <w:rFonts w:ascii="Times New Roman" w:cs="Times New Roman" w:eastAsia="Times New Roman" w:hAnsi="Times New Roman"/>
          <w:sz w:val="22"/>
          <w:szCs w:val="22"/>
          <w:color w:val="auto"/>
        </w:rPr>
        <w:t>. The Administrator may permit awards to be transferred to other persons or entities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conditions and procedures, including limitations on subsequent transfers, as the Administrator may, in its sole discretion, establish in writing; provided, however, that any such transfer shall only be permitted if it is made by the participant for estate or tax planning or charitable purposes for no (or nominal; i.e. the minimum consideration required by applicable law) consideration, as determined by the Administrator. Any permitted transfer shall be subject to compliance with applicable federal and state securities laws.</w:t>
      </w:r>
    </w:p>
    <w:p>
      <w:pPr>
        <w:spacing w:after="0" w:line="174" w:lineRule="exact"/>
        <w:rPr>
          <w:sz w:val="20"/>
          <w:szCs w:val="20"/>
          <w:color w:val="auto"/>
        </w:rPr>
      </w:pPr>
    </w:p>
    <w:p>
      <w:pPr>
        <w:ind w:left="640" w:right="240"/>
        <w:spacing w:after="0" w:line="276" w:lineRule="auto"/>
        <w:rPr>
          <w:sz w:val="20"/>
          <w:szCs w:val="20"/>
          <w:color w:val="auto"/>
        </w:rPr>
      </w:pPr>
      <w:r>
        <w:rPr>
          <w:rFonts w:ascii="Times New Roman" w:cs="Times New Roman" w:eastAsia="Times New Roman" w:hAnsi="Times New Roman"/>
          <w:sz w:val="22"/>
          <w:szCs w:val="22"/>
          <w:b w:val="1"/>
          <w:bCs w:val="1"/>
          <w:color w:val="auto"/>
        </w:rPr>
        <w:t xml:space="preserve">5.6.3 </w:t>
      </w:r>
      <w:r>
        <w:rPr>
          <w:rFonts w:ascii="Times New Roman" w:cs="Times New Roman" w:eastAsia="Times New Roman" w:hAnsi="Times New Roman"/>
          <w:sz w:val="22"/>
          <w:szCs w:val="22"/>
          <w:b w:val="1"/>
          <w:bCs w:val="1"/>
          <w:i w:val="1"/>
          <w:iCs w:val="1"/>
          <w:color w:val="auto"/>
        </w:rPr>
        <w:t>Further Exceptions to Limits on Transfer</w:t>
      </w:r>
      <w:r>
        <w:rPr>
          <w:rFonts w:ascii="Times New Roman" w:cs="Times New Roman" w:eastAsia="Times New Roman" w:hAnsi="Times New Roman"/>
          <w:sz w:val="22"/>
          <w:szCs w:val="22"/>
          <w:color w:val="auto"/>
        </w:rPr>
        <w:t>. The exercise and transfer restrictions in Section 5.6.1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apply to:</w:t>
      </w:r>
    </w:p>
    <w:p>
      <w:pPr>
        <w:spacing w:after="0" w:line="153" w:lineRule="exact"/>
        <w:rPr>
          <w:sz w:val="20"/>
          <w:szCs w:val="20"/>
          <w:color w:val="auto"/>
        </w:rPr>
      </w:pPr>
    </w:p>
    <w:p>
      <w:pPr>
        <w:ind w:left="940" w:hanging="296"/>
        <w:spacing w:after="0"/>
        <w:tabs>
          <w:tab w:leader="none" w:pos="9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to the Corporation,</w:t>
      </w:r>
    </w:p>
    <w:p>
      <w:pPr>
        <w:spacing w:after="0" w:line="219" w:lineRule="exact"/>
        <w:rPr>
          <w:rFonts w:ascii="Times New Roman" w:cs="Times New Roman" w:eastAsia="Times New Roman" w:hAnsi="Times New Roman"/>
          <w:sz w:val="22"/>
          <w:szCs w:val="22"/>
          <w:color w:val="auto"/>
        </w:rPr>
      </w:pPr>
    </w:p>
    <w:p>
      <w:pPr>
        <w:ind w:left="1300" w:right="140" w:hanging="656"/>
        <w:spacing w:after="0" w:line="257" w:lineRule="auto"/>
        <w:tabs>
          <w:tab w:leader="none" w:pos="95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designation of a beneficiary to receive benefits in the event of the participant’s death or, if the participant has died, transfers to or exercise by the participant’s beneficiary, or, in the absence of a validly designated beneficiary, transfers by will or the laws of descent and distribution,</w:t>
      </w:r>
    </w:p>
    <w:p>
      <w:pPr>
        <w:spacing w:after="0" w:line="172" w:lineRule="exact"/>
        <w:rPr>
          <w:rFonts w:ascii="Times New Roman" w:cs="Times New Roman" w:eastAsia="Times New Roman" w:hAnsi="Times New Roman"/>
          <w:sz w:val="22"/>
          <w:szCs w:val="22"/>
          <w:color w:val="auto"/>
        </w:rPr>
      </w:pPr>
    </w:p>
    <w:p>
      <w:pPr>
        <w:ind w:left="1300" w:right="560" w:hanging="656"/>
        <w:spacing w:after="0" w:line="295" w:lineRule="auto"/>
        <w:tabs>
          <w:tab w:leader="none" w:pos="94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any applicable limitations on ISOs and to such procedures as the Administrator may prescribe, transfers to a family member (or former family member) pursuant to a domestic relations order,</w:t>
      </w:r>
    </w:p>
    <w:p>
      <w:pPr>
        <w:spacing w:after="0" w:line="135" w:lineRule="exact"/>
        <w:rPr>
          <w:rFonts w:ascii="Times New Roman" w:cs="Times New Roman" w:eastAsia="Times New Roman" w:hAnsi="Times New Roman"/>
          <w:sz w:val="21"/>
          <w:szCs w:val="21"/>
          <w:color w:val="auto"/>
        </w:rPr>
      </w:pPr>
    </w:p>
    <w:p>
      <w:pPr>
        <w:ind w:left="1300" w:right="80" w:hanging="656"/>
        <w:spacing w:after="0" w:line="271" w:lineRule="auto"/>
        <w:tabs>
          <w:tab w:leader="none" w:pos="95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has suffered a disability, permitted transfers or exercises on behalf of the participant by his or her legal representative, or</w:t>
      </w:r>
    </w:p>
    <w:p>
      <w:pPr>
        <w:spacing w:after="0" w:line="157" w:lineRule="exact"/>
        <w:rPr>
          <w:rFonts w:ascii="Times New Roman" w:cs="Times New Roman" w:eastAsia="Times New Roman" w:hAnsi="Times New Roman"/>
          <w:sz w:val="22"/>
          <w:szCs w:val="22"/>
          <w:color w:val="auto"/>
        </w:rPr>
      </w:pPr>
    </w:p>
    <w:p>
      <w:pPr>
        <w:ind w:left="1300" w:right="80" w:hanging="656"/>
        <w:spacing w:after="0" w:line="257" w:lineRule="auto"/>
        <w:tabs>
          <w:tab w:leader="none" w:pos="94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authorization by the Administrator of “cashless exercise” procedures with third parties who provide financing for the purpose of (or who otherwise facilitate) the exercise of awards consistent with applicable laws and the express authorization of the Administrator.</w:t>
      </w:r>
    </w:p>
    <w:p>
      <w:pPr>
        <w:spacing w:after="0" w:line="167" w:lineRule="exact"/>
        <w:rPr>
          <w:sz w:val="20"/>
          <w:szCs w:val="20"/>
          <w:color w:val="auto"/>
        </w:rPr>
      </w:pPr>
    </w:p>
    <w:p>
      <w:pPr>
        <w:ind w:left="640" w:right="320" w:hanging="64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5.7 </w:t>
      </w:r>
      <w:r>
        <w:rPr>
          <w:rFonts w:ascii="Times New Roman" w:cs="Times New Roman" w:eastAsia="Times New Roman" w:hAnsi="Times New Roman"/>
          <w:sz w:val="22"/>
          <w:szCs w:val="22"/>
          <w:b w:val="1"/>
          <w:bCs w:val="1"/>
          <w:i w:val="1"/>
          <w:iCs w:val="1"/>
          <w:color w:val="auto"/>
        </w:rPr>
        <w:t>International Awards</w:t>
      </w:r>
      <w:r>
        <w:rPr>
          <w:rFonts w:ascii="Times New Roman" w:cs="Times New Roman" w:eastAsia="Times New Roman" w:hAnsi="Times New Roman"/>
          <w:sz w:val="22"/>
          <w:szCs w:val="22"/>
          <w:color w:val="auto"/>
        </w:rPr>
        <w:t>. One or more awards may be granted to Eligible Persons who provide services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or one of its Subsidiaries outside of the United States. Any awards granted to such persons may be granted pursuant to the terms and conditions of any applicable sub-plans, if any, appended to this Plan and approved by the Administrator. The awards so granted need not comply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980" w:top="1281" w:right="359" w:bottom="1440" w:gutter="0" w:footer="0" w:header="0"/>
        </w:sectPr>
      </w:pPr>
    </w:p>
    <w:bookmarkStart w:id="66" w:name="page67"/>
    <w:bookmarkEnd w:id="66"/>
    <w:p>
      <w:pPr>
        <w:ind w:left="1292" w:right="280"/>
        <w:spacing w:after="0" w:line="271" w:lineRule="auto"/>
        <w:rPr>
          <w:sz w:val="20"/>
          <w:szCs w:val="20"/>
          <w:color w:val="auto"/>
        </w:rPr>
      </w:pPr>
      <w:r>
        <w:rPr>
          <w:rFonts w:ascii="Times New Roman" w:cs="Times New Roman" w:eastAsia="Times New Roman" w:hAnsi="Times New Roman"/>
          <w:sz w:val="22"/>
          <w:szCs w:val="22"/>
          <w:color w:val="auto"/>
        </w:rPr>
        <w:t>other specific terms of this Plan, provided that stockholder approval of any deviation from the specific terms of this Plan is not required by applicable law or any applicable listing agency.</w:t>
      </w:r>
    </w:p>
    <w:p>
      <w:pPr>
        <w:spacing w:after="0" w:line="154" w:lineRule="exact"/>
        <w:rPr>
          <w:sz w:val="20"/>
          <w:szCs w:val="20"/>
          <w:color w:val="auto"/>
        </w:rPr>
      </w:pPr>
    </w:p>
    <w:p>
      <w:pPr>
        <w:ind w:left="332" w:hanging="332"/>
        <w:spacing w:after="0"/>
        <w:tabs>
          <w:tab w:leader="none" w:pos="332"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0000FF"/>
        </w:rPr>
        <w:t>EFFECT OF TERMINATION OF SERVICE ON AWARDS</w:t>
      </w:r>
    </w:p>
    <w:p>
      <w:pPr>
        <w:spacing w:after="0" w:line="218" w:lineRule="exact"/>
        <w:rPr>
          <w:sz w:val="20"/>
          <w:szCs w:val="20"/>
          <w:color w:val="auto"/>
        </w:rPr>
      </w:pPr>
    </w:p>
    <w:p>
      <w:pPr>
        <w:ind w:left="1292" w:right="120" w:hanging="647"/>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6.1 </w:t>
      </w:r>
      <w:r>
        <w:rPr>
          <w:rFonts w:ascii="Times New Roman" w:cs="Times New Roman" w:eastAsia="Times New Roman" w:hAnsi="Times New Roman"/>
          <w:sz w:val="22"/>
          <w:szCs w:val="22"/>
          <w:b w:val="1"/>
          <w:bCs w:val="1"/>
          <w:i w:val="1"/>
          <w:iCs w:val="1"/>
          <w:color w:val="auto"/>
        </w:rPr>
        <w:t>General</w:t>
      </w:r>
      <w:r>
        <w:rPr>
          <w:rFonts w:ascii="Times New Roman" w:cs="Times New Roman" w:eastAsia="Times New Roman" w:hAnsi="Times New Roman"/>
          <w:sz w:val="22"/>
          <w:szCs w:val="22"/>
          <w:color w:val="auto"/>
        </w:rPr>
        <w:t>. The Administrator shall establish the effect (if any) of a termination of employment or service on the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benefits under each award under this Plan and in so doing may make distinctions based upon, inter alia, the cause of termination and type of award. If the participant is not an employee of the Corporation or one of its Subsidiaries and provides other services to the Corporation or one of its Subsidiaries, the Administrator shall be the sole judge for purposes of this Plan (unless a contract or the award otherwise provides) of whether the participant continues to render services to the Corporation or one of its Subsidiaries and the date, if any, upon which such services shall be deemed to have terminated.</w:t>
      </w:r>
    </w:p>
    <w:p>
      <w:pPr>
        <w:spacing w:after="0" w:line="182" w:lineRule="exact"/>
        <w:rPr>
          <w:sz w:val="20"/>
          <w:szCs w:val="20"/>
          <w:color w:val="auto"/>
        </w:rPr>
      </w:pPr>
    </w:p>
    <w:p>
      <w:pPr>
        <w:ind w:left="1292" w:right="80" w:hanging="647"/>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6.2 </w:t>
      </w:r>
      <w:r>
        <w:rPr>
          <w:rFonts w:ascii="Times New Roman" w:cs="Times New Roman" w:eastAsia="Times New Roman" w:hAnsi="Times New Roman"/>
          <w:sz w:val="21"/>
          <w:szCs w:val="21"/>
          <w:b w:val="1"/>
          <w:bCs w:val="1"/>
          <w:i w:val="1"/>
          <w:iCs w:val="1"/>
          <w:color w:val="auto"/>
        </w:rPr>
        <w:t>Events Not Deemed Terminations of Service</w:t>
      </w:r>
      <w:r>
        <w:rPr>
          <w:rFonts w:ascii="Times New Roman" w:cs="Times New Roman" w:eastAsia="Times New Roman" w:hAnsi="Times New Roman"/>
          <w:sz w:val="21"/>
          <w:szCs w:val="21"/>
          <w:color w:val="auto"/>
        </w:rPr>
        <w:t>. Unless the express policy of the Corporation or one of its Subsidiaries,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the Administrator, otherwise provides, or except as otherwise required by applicable law, the employment relationship shall not be considered terminated in the case of (a) sick leave, (b) military leave, or (c) any other leave of absence authorized by the Corporation or one of its Subsidiaries, or the Administrator; provided that unless reemployment upon the expiration of such leave is guaranteed by contract or law or the Administrator otherwise provides, such leave is for a period of not more than three months. In the case of any employee of the Corporation or one of its Subsidiaries on an approved leave of absence, continued vesting of the award while on leave from the employ of the Corporation or one of its Subsidiaries may be suspended until the employee returns to service, unless the Administrator otherwise provides or applicable law otherwise requires. In no event shall an award be exercised after the expiration of the term set forth in the award agreement.</w:t>
      </w:r>
    </w:p>
    <w:p>
      <w:pPr>
        <w:spacing w:after="0" w:line="165" w:lineRule="exact"/>
        <w:rPr>
          <w:sz w:val="20"/>
          <w:szCs w:val="20"/>
          <w:color w:val="auto"/>
        </w:rPr>
      </w:pPr>
    </w:p>
    <w:p>
      <w:pPr>
        <w:ind w:left="1292" w:hanging="647"/>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6.3 </w:t>
      </w:r>
      <w:r>
        <w:rPr>
          <w:rFonts w:ascii="Times New Roman" w:cs="Times New Roman" w:eastAsia="Times New Roman" w:hAnsi="Times New Roman"/>
          <w:sz w:val="22"/>
          <w:szCs w:val="22"/>
          <w:b w:val="1"/>
          <w:bCs w:val="1"/>
          <w:i w:val="1"/>
          <w:iCs w:val="1"/>
          <w:color w:val="auto"/>
        </w:rPr>
        <w:t>Effect of Change of Subsidiary Status</w:t>
      </w:r>
      <w:r>
        <w:rPr>
          <w:rFonts w:ascii="Times New Roman" w:cs="Times New Roman" w:eastAsia="Times New Roman" w:hAnsi="Times New Roman"/>
          <w:sz w:val="22"/>
          <w:szCs w:val="22"/>
          <w:color w:val="auto"/>
        </w:rPr>
        <w:t>. For purposes of this Plan and any award, if an entity ceases to be a Subsidiary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Corporation a termination of employment or service shall be deemed to have occurred with respect to each Eligible Person in respect of such Subsidiary who does not continue as an Eligible Person in respect of the Corporation or another Subsidiary that continues as such after giving effect to the transaction or other event giving rise to the change in status unless the Subsidiary that is sold, spun-off or otherwise divested (or its successor or a direct or indirect parent of such Subsidiary or successor) assumes the Eligible Person’s award(s) in connection with such transaction.</w:t>
      </w:r>
    </w:p>
    <w:p>
      <w:pPr>
        <w:spacing w:after="0" w:line="184" w:lineRule="exact"/>
        <w:rPr>
          <w:sz w:val="20"/>
          <w:szCs w:val="20"/>
          <w:color w:val="auto"/>
        </w:rPr>
      </w:pPr>
    </w:p>
    <w:p>
      <w:pPr>
        <w:ind w:left="332" w:hanging="332"/>
        <w:spacing w:after="0"/>
        <w:tabs>
          <w:tab w:leader="none" w:pos="332"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0000FF"/>
        </w:rPr>
        <w:t>ADJUSTMENTS; ACCELERATION</w:t>
      </w:r>
    </w:p>
    <w:p>
      <w:pPr>
        <w:spacing w:after="0" w:line="218" w:lineRule="exact"/>
        <w:rPr>
          <w:sz w:val="20"/>
          <w:szCs w:val="20"/>
          <w:color w:val="auto"/>
        </w:rPr>
      </w:pPr>
    </w:p>
    <w:p>
      <w:pPr>
        <w:ind w:left="1292" w:right="60" w:hanging="647"/>
        <w:spacing w:after="0" w:line="260" w:lineRule="auto"/>
        <w:rPr>
          <w:sz w:val="20"/>
          <w:szCs w:val="20"/>
          <w:color w:val="auto"/>
        </w:rPr>
      </w:pPr>
      <w:r>
        <w:rPr>
          <w:rFonts w:ascii="Times New Roman" w:cs="Times New Roman" w:eastAsia="Times New Roman" w:hAnsi="Times New Roman"/>
          <w:sz w:val="22"/>
          <w:szCs w:val="22"/>
          <w:b w:val="1"/>
          <w:bCs w:val="1"/>
          <w:color w:val="auto"/>
        </w:rPr>
        <w:t xml:space="preserve">7.1 </w:t>
      </w:r>
      <w:r>
        <w:rPr>
          <w:rFonts w:ascii="Times New Roman" w:cs="Times New Roman" w:eastAsia="Times New Roman" w:hAnsi="Times New Roman"/>
          <w:sz w:val="22"/>
          <w:szCs w:val="22"/>
          <w:b w:val="1"/>
          <w:bCs w:val="1"/>
          <w:i w:val="1"/>
          <w:iCs w:val="1"/>
          <w:color w:val="auto"/>
        </w:rPr>
        <w:t>Adjustments</w:t>
      </w:r>
      <w:r>
        <w:rPr>
          <w:rFonts w:ascii="Times New Roman" w:cs="Times New Roman" w:eastAsia="Times New Roman" w:hAnsi="Times New Roman"/>
          <w:sz w:val="22"/>
          <w:szCs w:val="22"/>
          <w:color w:val="auto"/>
        </w:rPr>
        <w:t>. Subject to Section 7.2, upon (or, as may be necessary to effect the adjustment, immediately prior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reclassification, recapitalization, stock split (including a stock split in the form of a stock dividend) or reverse stock split;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92"/>
          </w:cols>
          <w:pgMar w:left="328" w:top="1287" w:right="379" w:bottom="1440" w:gutter="0" w:footer="0" w:header="0"/>
        </w:sectPr>
      </w:pPr>
    </w:p>
    <w:bookmarkStart w:id="67" w:name="page68"/>
    <w:bookmarkEnd w:id="67"/>
    <w:p>
      <w:pPr>
        <w:ind w:left="180" w:right="100"/>
        <w:spacing w:after="0" w:line="257" w:lineRule="auto"/>
        <w:rPr>
          <w:sz w:val="20"/>
          <w:szCs w:val="20"/>
          <w:color w:val="auto"/>
        </w:rPr>
      </w:pPr>
      <w:r>
        <w:rPr>
          <w:rFonts w:ascii="Times New Roman" w:cs="Times New Roman" w:eastAsia="Times New Roman" w:hAnsi="Times New Roman"/>
          <w:sz w:val="21"/>
          <w:szCs w:val="21"/>
          <w:color w:val="auto"/>
        </w:rPr>
        <w:t>merger, combination, consolidation, or other reorganization; any spin-off, split-up, or similar extraordinary dividend distribution in respect of the Common Stock; or any exchange of Common Stock or other securities of the Corporation, or any similar, unusual or extraordinary corporate transaction in respect of the Common Stock; then the Administrator shall equitably and proportionately adjust (1) the number and type of shares of Common Stock (or other securities) that thereafter may be made the subject of awards (including the specific share limits, maximums and numbers of shares set forth elsewhere in this Plan), (2) the number, amount and type of shares of Common Stock (or other securities or property) subject to any outstanding awards, (3) the grant, purchase, or exercise price (which term includes the base price of any SAR or similar right) of any outstanding awards, and/or</w:t>
      </w:r>
    </w:p>
    <w:p>
      <w:pPr>
        <w:spacing w:after="0" w:line="7" w:lineRule="exact"/>
        <w:rPr>
          <w:sz w:val="20"/>
          <w:szCs w:val="20"/>
          <w:color w:val="auto"/>
        </w:rPr>
      </w:pPr>
    </w:p>
    <w:p>
      <w:pPr>
        <w:ind w:left="180" w:right="100" w:firstLine="4"/>
        <w:spacing w:after="0" w:line="245" w:lineRule="auto"/>
        <w:tabs>
          <w:tab w:leader="none" w:pos="48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securities, cash or other property deliverable upon exercise or payment of any outstanding awards, in each case to the extent necessary to preserve (but not increase) the level of incentives intended by this Plan and the then-outstanding awards.</w:t>
      </w:r>
    </w:p>
    <w:p>
      <w:pPr>
        <w:spacing w:after="0" w:line="187" w:lineRule="exact"/>
        <w:rPr>
          <w:sz w:val="20"/>
          <w:szCs w:val="20"/>
          <w:color w:val="auto"/>
        </w:rPr>
      </w:pPr>
    </w:p>
    <w:p>
      <w:pPr>
        <w:ind w:left="180" w:right="420" w:hanging="647"/>
        <w:spacing w:after="0" w:line="257" w:lineRule="auto"/>
        <w:rPr>
          <w:sz w:val="20"/>
          <w:szCs w:val="20"/>
          <w:color w:val="auto"/>
        </w:rPr>
      </w:pPr>
      <w:r>
        <w:rPr>
          <w:rFonts w:ascii="Times New Roman" w:cs="Times New Roman" w:eastAsia="Times New Roman" w:hAnsi="Times New Roman"/>
          <w:sz w:val="22"/>
          <w:szCs w:val="22"/>
          <w:color w:val="auto"/>
        </w:rPr>
        <w:t>Without limiting the generality of Section 3.3, any good faith determination by the Administrator as to whether an adjustment is required in the circumstances pursuant to this Section 7.1, and the extent and nature of any such adjustment, shall be conclusive and binding on all persons.</w:t>
      </w:r>
    </w:p>
    <w:p>
      <w:pPr>
        <w:spacing w:after="0" w:line="167" w:lineRule="exact"/>
        <w:rPr>
          <w:sz w:val="20"/>
          <w:szCs w:val="20"/>
          <w:color w:val="auto"/>
        </w:rPr>
      </w:pPr>
    </w:p>
    <w:p>
      <w:pPr>
        <w:ind w:left="180" w:hanging="647"/>
        <w:spacing w:after="0" w:line="257" w:lineRule="auto"/>
        <w:rPr>
          <w:sz w:val="20"/>
          <w:szCs w:val="20"/>
          <w:color w:val="auto"/>
        </w:rPr>
      </w:pPr>
      <w:r>
        <w:rPr>
          <w:rFonts w:ascii="Times New Roman" w:cs="Times New Roman" w:eastAsia="Times New Roman" w:hAnsi="Times New Roman"/>
          <w:sz w:val="21"/>
          <w:szCs w:val="21"/>
          <w:b w:val="1"/>
          <w:bCs w:val="1"/>
          <w:color w:val="auto"/>
        </w:rPr>
        <w:t xml:space="preserve">7.2 </w:t>
      </w:r>
      <w:r>
        <w:rPr>
          <w:rFonts w:ascii="Times New Roman" w:cs="Times New Roman" w:eastAsia="Times New Roman" w:hAnsi="Times New Roman"/>
          <w:sz w:val="21"/>
          <w:szCs w:val="21"/>
          <w:b w:val="1"/>
          <w:bCs w:val="1"/>
          <w:i w:val="1"/>
          <w:iCs w:val="1"/>
          <w:color w:val="auto"/>
        </w:rPr>
        <w:t>Corporate Transactions - Assumption and Termination of Awards</w:t>
      </w:r>
      <w:r>
        <w:rPr>
          <w:rFonts w:ascii="Times New Roman" w:cs="Times New Roman" w:eastAsia="Times New Roman" w:hAnsi="Times New Roman"/>
          <w:sz w:val="21"/>
          <w:szCs w:val="21"/>
          <w:color w:val="auto"/>
        </w:rPr>
        <w:t>. Upon any event in which the Corporation does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survive, or does not survive as a public company in respect of its Common Stock (including, without limitation, a merger, combination, consolidation, or other reorganization; any exchange of Common Stock or other securities of the Corporation; a sale of all or substantially all the business, stock or assets of the Corporation; a dissolution of the Corporation; or other event in which the Corporation does not survive or does not survive as a public company in respect of its Common Stock), then the Administrator may make provision for a cash payment in settlement of, or for the assumption, substitution or exchange of any or all outstanding share-based awards or the cash, securities or property deliverable to the holder of any or all outstanding share-based awards, based upon, to the extent relevant under the circumstances, the distribution or consideration payable to holders of the Common Stock upon or in respect of such event. Upon the occurrence of (or, as may be necessary to effect such action, immediately prior to) any event described in the preceding sentence, then, unless the Administrator has made a provision for the substitution, assumption, exchange or other continuation or settlement of the award or the award would otherwise continue in accordance with its terms in the circumstances: (1) unless otherwise provided in the applicable award agreement, each then-outstanding option and SAR shall become fully vested, all shares of restricted stock then outstanding shall fully vest free of restrictions, and each other award granted under this Plan that is then outstanding shall become payable to the holder of such award (with any performance goals applicable to the award in each case being deemed met, unless otherwise provided in the award agreement, at the “target” performance level); and (2) each award shall terminate upon the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080"/>
          </w:cols>
          <w:pgMar w:left="1440" w:top="1287" w:right="379" w:bottom="1440" w:gutter="0" w:footer="0" w:header="0"/>
        </w:sectPr>
      </w:pPr>
    </w:p>
    <w:bookmarkStart w:id="68" w:name="page69"/>
    <w:bookmarkEnd w:id="68"/>
    <w:p>
      <w:pPr>
        <w:ind w:left="180" w:right="100"/>
        <w:spacing w:after="0" w:line="248" w:lineRule="auto"/>
        <w:rPr>
          <w:sz w:val="20"/>
          <w:szCs w:val="20"/>
          <w:color w:val="auto"/>
        </w:rPr>
      </w:pPr>
      <w:r>
        <w:rPr>
          <w:rFonts w:ascii="Times New Roman" w:cs="Times New Roman" w:eastAsia="Times New Roman" w:hAnsi="Times New Roman"/>
          <w:sz w:val="22"/>
          <w:szCs w:val="22"/>
          <w:color w:val="auto"/>
        </w:rPr>
        <w:t>event; provided that the holder of an option or SAR shall be given reasonable advance notice of the impending termination and a reasonable opportunity to exercise his or her outstanding vested options and SARs (after giving effect to any accelerated vesting required in the circumstances) in accordance with their terms before the termination of such awards (except that in no case shall more than ten days’ notice of the impending termination be required and any acceleration of vesting and any exercise of any portion of an award that is so accelerated may be made contingent upon the actual occurrence of the event).</w:t>
      </w:r>
    </w:p>
    <w:p>
      <w:pPr>
        <w:spacing w:after="0" w:line="187" w:lineRule="exact"/>
        <w:rPr>
          <w:sz w:val="20"/>
          <w:szCs w:val="20"/>
          <w:color w:val="auto"/>
        </w:rPr>
      </w:pPr>
    </w:p>
    <w:p>
      <w:pPr>
        <w:ind w:left="180" w:right="140" w:hanging="647"/>
        <w:spacing w:after="0" w:line="245" w:lineRule="auto"/>
        <w:rPr>
          <w:sz w:val="20"/>
          <w:szCs w:val="20"/>
          <w:color w:val="auto"/>
        </w:rPr>
      </w:pPr>
      <w:r>
        <w:rPr>
          <w:rFonts w:ascii="Times New Roman" w:cs="Times New Roman" w:eastAsia="Times New Roman" w:hAnsi="Times New Roman"/>
          <w:sz w:val="22"/>
          <w:szCs w:val="22"/>
          <w:color w:val="auto"/>
        </w:rPr>
        <w:t>For purposes of this Section 7.2, an award shall be deemed to have been “assumed” if (without limiting other circumstances in which an award is assumed) the award continues after an event referred to above in this Section 7.2, and/or is assumed and continued by the surviving entity following such event (including, without limitation, an entity that, as a result of such event, owns the Corporation or all or substantially all of the Corporation’s assets directly or through one or more subsidiaries (a “</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and confers the right to purchase or receive, as applicable and subject to vesting and the other terms and conditions of the award, for each share of Common Stock subject to the award immediately prior to the event, the consideration (whether cash, shares, or other securities or property) received in the event by the stockholders of the Corporation for each share of Common Stock sold or exchanged in such event (or the consideration received by a majority of the stockholders participating in such event if the stockholders were offered a choice of consideration); provided, however, that if the consideration offered for a share of Common Stock in the event is not solely the ordinary common stock of a successor corporation or a Parent, the Administrator may provide for the consideration to be received upon exercise or payment of the award, for each share subject to the award, to be solely ordinary common stock of the successor corporation or a Parent equal in fair market value to the per share consideration received by the stockholders participating in the event.</w:t>
      </w:r>
    </w:p>
    <w:p>
      <w:pPr>
        <w:spacing w:after="0" w:line="190" w:lineRule="exact"/>
        <w:rPr>
          <w:sz w:val="20"/>
          <w:szCs w:val="20"/>
          <w:color w:val="auto"/>
        </w:rPr>
      </w:pPr>
    </w:p>
    <w:p>
      <w:pPr>
        <w:ind w:left="180"/>
        <w:spacing w:after="0" w:line="248" w:lineRule="auto"/>
        <w:rPr>
          <w:sz w:val="20"/>
          <w:szCs w:val="20"/>
          <w:color w:val="auto"/>
        </w:rPr>
      </w:pPr>
      <w:r>
        <w:rPr>
          <w:rFonts w:ascii="Times New Roman" w:cs="Times New Roman" w:eastAsia="Times New Roman" w:hAnsi="Times New Roman"/>
          <w:sz w:val="22"/>
          <w:szCs w:val="22"/>
          <w:color w:val="auto"/>
        </w:rPr>
        <w:t>The Administrator may adopt such valuation methodologies for outstanding awards as it deems reasonable in the event of a cash or property settlement and, in the case of options, SARs or similar rights, but without limitation on other methodologies, may base such settlement solely upon the excess if any of the per share amount payable upon or in respect of such event over the exercise or base price of the award. In the case of an option, SAR or similar right as to which the per share amount payable upon or in respect of such event is less than or equal to the exercise or base price of the award, the Administrator may terminate such award in connection with an event referred to in this Section 7.2 without any payment in respect of such award.</w:t>
      </w:r>
    </w:p>
    <w:p>
      <w:pPr>
        <w:spacing w:after="0" w:line="182" w:lineRule="exact"/>
        <w:rPr>
          <w:sz w:val="20"/>
          <w:szCs w:val="20"/>
          <w:color w:val="auto"/>
        </w:rPr>
      </w:pPr>
    </w:p>
    <w:p>
      <w:pPr>
        <w:ind w:left="180" w:right="260"/>
        <w:spacing w:after="0" w:line="271" w:lineRule="auto"/>
        <w:rPr>
          <w:sz w:val="20"/>
          <w:szCs w:val="20"/>
          <w:color w:val="auto"/>
        </w:rPr>
      </w:pPr>
      <w:r>
        <w:rPr>
          <w:rFonts w:ascii="Times New Roman" w:cs="Times New Roman" w:eastAsia="Times New Roman" w:hAnsi="Times New Roman"/>
          <w:sz w:val="22"/>
          <w:szCs w:val="22"/>
          <w:color w:val="auto"/>
        </w:rPr>
        <w:t>Without limiting the generality of Section 3.3, any good faith determination by the Administrator pursuant to its authority under this Section 7.2 shall be conclusive and binding on all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120"/>
          </w:cols>
          <w:pgMar w:left="1440" w:top="1287" w:right="339" w:bottom="1440" w:gutter="0" w:footer="0" w:header="0"/>
        </w:sectPr>
      </w:pPr>
    </w:p>
    <w:bookmarkStart w:id="69" w:name="page70"/>
    <w:bookmarkEnd w:id="69"/>
    <w:p>
      <w:pPr>
        <w:ind w:left="180" w:hanging="647"/>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7.3 </w:t>
      </w:r>
      <w:r>
        <w:rPr>
          <w:rFonts w:ascii="Times New Roman" w:cs="Times New Roman" w:eastAsia="Times New Roman" w:hAnsi="Times New Roman"/>
          <w:sz w:val="22"/>
          <w:szCs w:val="22"/>
          <w:b w:val="1"/>
          <w:bCs w:val="1"/>
          <w:i w:val="1"/>
          <w:iCs w:val="1"/>
          <w:color w:val="auto"/>
        </w:rPr>
        <w:t>Possible Acceleration of Awards</w:t>
      </w:r>
      <w:r>
        <w:rPr>
          <w:rFonts w:ascii="Times New Roman" w:cs="Times New Roman" w:eastAsia="Times New Roman" w:hAnsi="Times New Roman"/>
          <w:sz w:val="22"/>
          <w:szCs w:val="22"/>
          <w:color w:val="auto"/>
        </w:rPr>
        <w:t>. Without limiting Section 7.2 or the Administrator’s broad authority to establish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vesting provisions, in the event of a Change in Control Event (as defined below), the Administrator may, in its discretion, provide that any outstanding option or SAR shall become fully vested, that any share of restricted stock then outstanding shall fully vest free of restrictions, and that any other award granted under this Plan that is then outstanding shall be payable to the holder of such award. The Administrator may take such action with respect to all awards then outstanding or only with respect to certain specific awards identified by the Administrator in the circumstances and may condition any such acceleration upon the occurrence of another event (such as, without limitation, a termination of the award holder’s service). For purposes of this Plan, “</w:t>
      </w:r>
      <w:r>
        <w:rPr>
          <w:rFonts w:ascii="Times New Roman" w:cs="Times New Roman" w:eastAsia="Times New Roman" w:hAnsi="Times New Roman"/>
          <w:sz w:val="22"/>
          <w:szCs w:val="22"/>
          <w:b w:val="1"/>
          <w:bCs w:val="1"/>
          <w:color w:val="auto"/>
        </w:rPr>
        <w:t>Change in Control Event</w:t>
      </w:r>
      <w:r>
        <w:rPr>
          <w:rFonts w:ascii="Times New Roman" w:cs="Times New Roman" w:eastAsia="Times New Roman" w:hAnsi="Times New Roman"/>
          <w:sz w:val="22"/>
          <w:szCs w:val="22"/>
          <w:color w:val="auto"/>
        </w:rPr>
        <w:t>” means any of the following:</w:t>
      </w:r>
    </w:p>
    <w:p>
      <w:pPr>
        <w:spacing w:after="0" w:line="183" w:lineRule="exact"/>
        <w:rPr>
          <w:sz w:val="20"/>
          <w:szCs w:val="20"/>
          <w:color w:val="auto"/>
        </w:rPr>
      </w:pPr>
    </w:p>
    <w:p>
      <w:pPr>
        <w:ind w:left="840" w:hanging="656"/>
        <w:spacing w:after="0" w:line="245" w:lineRule="auto"/>
        <w:tabs>
          <w:tab w:leader="none" w:pos="48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(as such term is used in Sections 13(d) and 14(d) of the Exchange Act, a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alone or together with its affiliates and associates, including any group of persons which is deemed a “person” under Section 13(d)(3) of the Exchange Act (other than the Corporation or any subsidiary thereof or any employee benefit plan (or related trust) of the Corporation or any subsidiary thereof, or any underwriter in connection with a firm commitment public offering of the Corporation’s capital stock), becomes the “beneficial owner” (as such term is defined in Rule 13d-3 of the Exchange Act, except that a person shall also be deemed the beneficial owner of all securities which such person may have a right to acquire, whether or not such right is presently exercisable, referred to herein as “</w:t>
      </w:r>
      <w:r>
        <w:rPr>
          <w:rFonts w:ascii="Times New Roman" w:cs="Times New Roman" w:eastAsia="Times New Roman" w:hAnsi="Times New Roman"/>
          <w:sz w:val="22"/>
          <w:szCs w:val="22"/>
          <w:b w:val="1"/>
          <w:bCs w:val="1"/>
          <w:color w:val="auto"/>
        </w:rPr>
        <w:t>Beneficially Own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Beneficial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Owner</w:t>
      </w:r>
      <w:r>
        <w:rPr>
          <w:rFonts w:ascii="Times New Roman" w:cs="Times New Roman" w:eastAsia="Times New Roman" w:hAnsi="Times New Roman"/>
          <w:sz w:val="22"/>
          <w:szCs w:val="22"/>
          <w:color w:val="auto"/>
        </w:rPr>
        <w:t>” as the context may require) of thirty-three and one third percent or more of (i) the then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shares of the Corporation’s common stock (“</w:t>
      </w:r>
      <w:r>
        <w:rPr>
          <w:rFonts w:ascii="Times New Roman" w:cs="Times New Roman" w:eastAsia="Times New Roman" w:hAnsi="Times New Roman"/>
          <w:sz w:val="22"/>
          <w:szCs w:val="22"/>
          <w:b w:val="1"/>
          <w:bCs w:val="1"/>
          <w:color w:val="auto"/>
        </w:rPr>
        <w:t>Outstanding Company Common Stock</w:t>
      </w:r>
      <w:r>
        <w:rPr>
          <w:rFonts w:ascii="Times New Roman" w:cs="Times New Roman" w:eastAsia="Times New Roman" w:hAnsi="Times New Roman"/>
          <w:sz w:val="22"/>
          <w:szCs w:val="22"/>
          <w:color w:val="auto"/>
        </w:rPr>
        <w:t>”) or (ii) securities representing thirty-three and one-third percent or more of the combined voting power of the Corporation’s then outstanding voting securities (“</w:t>
      </w:r>
      <w:r>
        <w:rPr>
          <w:rFonts w:ascii="Times New Roman" w:cs="Times New Roman" w:eastAsia="Times New Roman" w:hAnsi="Times New Roman"/>
          <w:sz w:val="22"/>
          <w:szCs w:val="22"/>
          <w:b w:val="1"/>
          <w:bCs w:val="1"/>
          <w:color w:val="auto"/>
        </w:rPr>
        <w:t>Outstanding Company Voting Securities</w:t>
      </w:r>
      <w:r>
        <w:rPr>
          <w:rFonts w:ascii="Times New Roman" w:cs="Times New Roman" w:eastAsia="Times New Roman" w:hAnsi="Times New Roman"/>
          <w:sz w:val="22"/>
          <w:szCs w:val="22"/>
          <w:color w:val="auto"/>
        </w:rPr>
        <w:t>”) (in each case, other than an acquisition in the context of a merger, consolidation, reorganization, asset sale or other extraordinary transaction covered by, and which does not constitute a Change in Control Event under, clause (c) below);</w:t>
      </w:r>
    </w:p>
    <w:p>
      <w:pPr>
        <w:spacing w:after="0" w:line="193" w:lineRule="exact"/>
        <w:rPr>
          <w:rFonts w:ascii="Times New Roman" w:cs="Times New Roman" w:eastAsia="Times New Roman" w:hAnsi="Times New Roman"/>
          <w:sz w:val="22"/>
          <w:szCs w:val="22"/>
          <w:color w:val="auto"/>
        </w:rPr>
      </w:pPr>
    </w:p>
    <w:p>
      <w:pPr>
        <w:ind w:left="840" w:hanging="656"/>
        <w:spacing w:after="0" w:line="248" w:lineRule="auto"/>
        <w:tabs>
          <w:tab w:leader="none" w:pos="49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during any period of two consecutive years, of a majority of the Board as constituted as of the beginning of such period, unless the election, or nomination for election by the Corporation’s stockholders, of each director who was not a director at the beginning of such period was approved by vote of at least two-thirds of the Incumbent Directors then in office (for purposes hereof, “</w:t>
      </w:r>
      <w:r>
        <w:rPr>
          <w:rFonts w:ascii="Times New Roman" w:cs="Times New Roman" w:eastAsia="Times New Roman" w:hAnsi="Times New Roman"/>
          <w:sz w:val="22"/>
          <w:szCs w:val="22"/>
          <w:b w:val="1"/>
          <w:bCs w:val="1"/>
          <w:color w:val="auto"/>
        </w:rPr>
        <w:t>Incumbent Directors</w:t>
      </w:r>
      <w:r>
        <w:rPr>
          <w:rFonts w:ascii="Times New Roman" w:cs="Times New Roman" w:eastAsia="Times New Roman" w:hAnsi="Times New Roman"/>
          <w:sz w:val="22"/>
          <w:szCs w:val="22"/>
          <w:color w:val="auto"/>
        </w:rPr>
        <w:t>” shall consist of the directors holding office as of the Effective Date and any person becoming a director subsequent to such date whose election, or nomination for election by the Corporation’s stockholders, is approved by a vote of at least a majority of the Incumbent Directors then in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080"/>
          </w:cols>
          <w:pgMar w:left="1440" w:top="1281" w:right="379" w:bottom="1440" w:gutter="0" w:footer="0" w:header="0"/>
        </w:sectPr>
      </w:pPr>
    </w:p>
    <w:bookmarkStart w:id="70" w:name="page71"/>
    <w:bookmarkEnd w:id="70"/>
    <w:p>
      <w:pPr>
        <w:ind w:left="840" w:hanging="656"/>
        <w:spacing w:after="0" w:line="244" w:lineRule="auto"/>
        <w:tabs>
          <w:tab w:leader="none" w:pos="48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of any merger, consolidation, reorganization or other extraordinary transaction (or series of related transactions) involving the Corporation, a sale or other disposition of all or substantially all of the assets of the Corporation, or the acquisition of assets or stock of another entity by the Corporation or any of its subsidiaries (each, a “</w:t>
      </w:r>
      <w:r>
        <w:rPr>
          <w:rFonts w:ascii="Times New Roman" w:cs="Times New Roman" w:eastAsia="Times New Roman" w:hAnsi="Times New Roman"/>
          <w:sz w:val="22"/>
          <w:szCs w:val="22"/>
          <w:b w:val="1"/>
          <w:bCs w:val="1"/>
          <w:color w:val="auto"/>
        </w:rPr>
        <w:t>Business Combination</w:t>
      </w:r>
      <w:r>
        <w:rPr>
          <w:rFonts w:ascii="Times New Roman" w:cs="Times New Roman" w:eastAsia="Times New Roman" w:hAnsi="Times New Roman"/>
          <w:sz w:val="22"/>
          <w:szCs w:val="22"/>
          <w:color w:val="auto"/>
        </w:rPr>
        <w:t>”), in each case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Corporation or all or substantially all of the Corporation’s assets directly or through one or more subsidiaries (a “</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(2) no Person (excluding any entity resulting from such Business Combination or a Parent or any employee benefit plan (or related trust) of the Corporation or such entity resulting from such Business Combination or Parent, and excluding any underwriter in connection with a firm commitment public offering of the Corporation’s capital stock) Beneficially Owns, directly or indirectly, more than thirty-three and one third percent of, respectively, the then-outstanding shares of common stock of the entity resulting from such Business Combination or the combined voting power of the then-outstanding voting securities of such entity, and (3) at least a majority of the members of the board of directors or trustees of the entity resulting from such Business Combination or a Parent were Incumbent Directors at the time of the execution of the initial agreement or of the action of the Board providing for such Business Combination; or</w:t>
      </w:r>
    </w:p>
    <w:p>
      <w:pPr>
        <w:spacing w:after="0" w:line="201" w:lineRule="exact"/>
        <w:rPr>
          <w:rFonts w:ascii="Times New Roman" w:cs="Times New Roman" w:eastAsia="Times New Roman" w:hAnsi="Times New Roman"/>
          <w:sz w:val="22"/>
          <w:szCs w:val="22"/>
          <w:color w:val="auto"/>
        </w:rPr>
      </w:pPr>
    </w:p>
    <w:p>
      <w:pPr>
        <w:ind w:left="840" w:right="140" w:hanging="656"/>
        <w:spacing w:after="0" w:line="275" w:lineRule="auto"/>
        <w:tabs>
          <w:tab w:leader="none" w:pos="49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stockholders of the Corporation approve a plan of complete liquidation or dissolution of the Corporation (other than in the context of a merger, consolidation, reorganization, asset sale or other extraordinary transaction covered by, and which does not constitute a Change in Control Event under, clause (c) above).</w:t>
      </w:r>
    </w:p>
    <w:p>
      <w:pPr>
        <w:spacing w:after="0" w:line="149" w:lineRule="exact"/>
        <w:rPr>
          <w:sz w:val="20"/>
          <w:szCs w:val="20"/>
          <w:color w:val="auto"/>
        </w:rPr>
      </w:pPr>
    </w:p>
    <w:p>
      <w:pPr>
        <w:ind w:left="180" w:right="60" w:hanging="647"/>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7.4 </w:t>
      </w:r>
      <w:r>
        <w:rPr>
          <w:rFonts w:ascii="Times New Roman" w:cs="Times New Roman" w:eastAsia="Times New Roman" w:hAnsi="Times New Roman"/>
          <w:sz w:val="22"/>
          <w:szCs w:val="22"/>
          <w:b w:val="1"/>
          <w:bCs w:val="1"/>
          <w:i w:val="1"/>
          <w:iCs w:val="1"/>
          <w:color w:val="auto"/>
        </w:rPr>
        <w:t>Other Acceleration Rules</w:t>
      </w:r>
      <w:r>
        <w:rPr>
          <w:rFonts w:ascii="Times New Roman" w:cs="Times New Roman" w:eastAsia="Times New Roman" w:hAnsi="Times New Roman"/>
          <w:sz w:val="22"/>
          <w:szCs w:val="22"/>
          <w:color w:val="auto"/>
        </w:rPr>
        <w:t>. Any acceleration of awards pursuant to this Section 7 shall comply with applicable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and, if necessary to accomplish the purposes of the acceleration or if the circumstances require, may be deemed by the Administrator to occur prior to the applicable event, provided that the original terms of the award will be reinstated if the event giving rise to the acceleration does not actually occur. The Administrator may override the provisions of Section 7.2 and 7.3 by express provision in the award agreement and may accord any Eligible Person a right to refuse any acceleration, whether pursuant to the award agreement or otherwise, in such circumstances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120"/>
          </w:cols>
          <w:pgMar w:left="1440" w:top="1287" w:right="339" w:bottom="1440" w:gutter="0" w:footer="0" w:header="0"/>
        </w:sectPr>
      </w:pPr>
    </w:p>
    <w:bookmarkStart w:id="71" w:name="page72"/>
    <w:bookmarkEnd w:id="71"/>
    <w:p>
      <w:pPr>
        <w:ind w:left="1292" w:right="20"/>
        <w:spacing w:after="0" w:line="252" w:lineRule="auto"/>
        <w:rPr>
          <w:sz w:val="20"/>
          <w:szCs w:val="20"/>
          <w:color w:val="auto"/>
        </w:rPr>
      </w:pPr>
      <w:r>
        <w:rPr>
          <w:rFonts w:ascii="Times New Roman" w:cs="Times New Roman" w:eastAsia="Times New Roman" w:hAnsi="Times New Roman"/>
          <w:sz w:val="22"/>
          <w:szCs w:val="22"/>
          <w:color w:val="auto"/>
        </w:rPr>
        <w:t>Administrator may approve. The portion of any ISO accelerated in connection with a Change in Control Event or any other action permitted hereunder shall remain exercisable as an ISO only to the extent the applicable $100,000 limitation on ISOs is not exceeded. To the extent exceeded, the accelerated portion of the option shall be exercisable as a nonqualified stock option under the Code.</w:t>
      </w:r>
    </w:p>
    <w:p>
      <w:pPr>
        <w:spacing w:after="0" w:line="175" w:lineRule="exact"/>
        <w:rPr>
          <w:sz w:val="20"/>
          <w:szCs w:val="20"/>
          <w:color w:val="auto"/>
        </w:rPr>
      </w:pPr>
    </w:p>
    <w:p>
      <w:pPr>
        <w:ind w:left="332" w:hanging="332"/>
        <w:spacing w:after="0"/>
        <w:tabs>
          <w:tab w:leader="none" w:pos="332"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0000FF"/>
        </w:rPr>
        <w:t>OTHER PROVISIONS</w:t>
      </w:r>
    </w:p>
    <w:p>
      <w:pPr>
        <w:spacing w:after="0" w:line="218" w:lineRule="exact"/>
        <w:rPr>
          <w:sz w:val="20"/>
          <w:szCs w:val="20"/>
          <w:color w:val="auto"/>
        </w:rPr>
      </w:pPr>
    </w:p>
    <w:p>
      <w:pPr>
        <w:ind w:left="1292" w:hanging="647"/>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8.1 </w:t>
      </w:r>
      <w:r>
        <w:rPr>
          <w:rFonts w:ascii="Times New Roman" w:cs="Times New Roman" w:eastAsia="Times New Roman" w:hAnsi="Times New Roman"/>
          <w:sz w:val="22"/>
          <w:szCs w:val="22"/>
          <w:b w:val="1"/>
          <w:bCs w:val="1"/>
          <w:i w:val="1"/>
          <w:iCs w:val="1"/>
          <w:color w:val="auto"/>
        </w:rPr>
        <w:t>Compliance with Laws</w:t>
      </w:r>
      <w:r>
        <w:rPr>
          <w:rFonts w:ascii="Times New Roman" w:cs="Times New Roman" w:eastAsia="Times New Roman" w:hAnsi="Times New Roman"/>
          <w:sz w:val="22"/>
          <w:szCs w:val="22"/>
          <w:color w:val="auto"/>
        </w:rPr>
        <w:t>. This Plan, the granting and vesting of awards under this Plan, the offer, issuance and delivery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shares of Common Stock, the acceptance of promissory notes and/or the payment of money under this Plan or under awards are subject to compliance with all applicable federal, state, local and foreign laws, rules and regulations (including but not limited to state and federal securities law and federal margin requirements) and to such approvals by any listing, regulatory or governmental authority as may, in the opinion of counsel for the Corporation, be necessary or advisable in connection therewith. The person acquiring any securities under this Plan will, if requested by the Corporation or one of its Subsidiaries, provide such assurances and representations to the Corporation or one of its Subsidiaries as the Administrator may deem necessary or desirable to assure compliance with all applicable legal and accounting requirements.</w:t>
      </w:r>
    </w:p>
    <w:p>
      <w:pPr>
        <w:spacing w:after="0" w:line="181" w:lineRule="exact"/>
        <w:rPr>
          <w:sz w:val="20"/>
          <w:szCs w:val="20"/>
          <w:color w:val="auto"/>
        </w:rPr>
      </w:pPr>
    </w:p>
    <w:p>
      <w:pPr>
        <w:jc w:val="both"/>
        <w:ind w:left="1292" w:right="400" w:hanging="647"/>
        <w:spacing w:after="0" w:line="260" w:lineRule="auto"/>
        <w:rPr>
          <w:sz w:val="20"/>
          <w:szCs w:val="20"/>
          <w:color w:val="auto"/>
        </w:rPr>
      </w:pPr>
      <w:r>
        <w:rPr>
          <w:rFonts w:ascii="Times New Roman" w:cs="Times New Roman" w:eastAsia="Times New Roman" w:hAnsi="Times New Roman"/>
          <w:sz w:val="22"/>
          <w:szCs w:val="22"/>
          <w:b w:val="1"/>
          <w:bCs w:val="1"/>
          <w:color w:val="auto"/>
        </w:rPr>
        <w:t xml:space="preserve">8.2 </w:t>
      </w:r>
      <w:r>
        <w:rPr>
          <w:rFonts w:ascii="Times New Roman" w:cs="Times New Roman" w:eastAsia="Times New Roman" w:hAnsi="Times New Roman"/>
          <w:sz w:val="22"/>
          <w:szCs w:val="22"/>
          <w:b w:val="1"/>
          <w:bCs w:val="1"/>
          <w:i w:val="1"/>
          <w:iCs w:val="1"/>
          <w:color w:val="auto"/>
        </w:rPr>
        <w:t>No Rights to Award</w:t>
      </w:r>
      <w:r>
        <w:rPr>
          <w:rFonts w:ascii="Times New Roman" w:cs="Times New Roman" w:eastAsia="Times New Roman" w:hAnsi="Times New Roman"/>
          <w:sz w:val="22"/>
          <w:szCs w:val="22"/>
          <w:color w:val="auto"/>
        </w:rPr>
        <w:t>. No person shall have any claim or rights to be granted an award (or additional awards,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case may be) under this Plan, subject to any express contractual rights (set forth in a document other than this Plan) to the contrary.</w:t>
      </w:r>
    </w:p>
    <w:p>
      <w:pPr>
        <w:spacing w:after="0" w:line="163" w:lineRule="exact"/>
        <w:rPr>
          <w:sz w:val="20"/>
          <w:szCs w:val="20"/>
          <w:color w:val="auto"/>
        </w:rPr>
      </w:pPr>
    </w:p>
    <w:p>
      <w:pPr>
        <w:ind w:left="1292" w:right="120" w:hanging="647"/>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8.3 </w:t>
      </w:r>
      <w:r>
        <w:rPr>
          <w:rFonts w:ascii="Times New Roman" w:cs="Times New Roman" w:eastAsia="Times New Roman" w:hAnsi="Times New Roman"/>
          <w:sz w:val="22"/>
          <w:szCs w:val="22"/>
          <w:b w:val="1"/>
          <w:bCs w:val="1"/>
          <w:i w:val="1"/>
          <w:iCs w:val="1"/>
          <w:color w:val="auto"/>
        </w:rPr>
        <w:t>No Employment/Service Contract</w:t>
      </w:r>
      <w:r>
        <w:rPr>
          <w:rFonts w:ascii="Times New Roman" w:cs="Times New Roman" w:eastAsia="Times New Roman" w:hAnsi="Times New Roman"/>
          <w:sz w:val="22"/>
          <w:szCs w:val="22"/>
          <w:color w:val="auto"/>
        </w:rPr>
        <w:t>. Nothing contained in this Plan (or in any other documents under this Plan 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award) shall confer upon any Eligible Person or other participant any right to continue in the employ or other service of the Corporation or one of its Subsidiaries, constitute any contract or agreement of employment or other service or affect an employee’s status as an employee at will, nor shall interfere in any way with the right of the Corporation or one of its Subsidiaries to change a person’s compensation or other benefits, or to terminate his or her employment or other service, with or without cause. Nothing in this Section 8.3, however, is intended to adversely affect any express independent right of such person under a separate employment or service contract other than an award agreement.</w:t>
      </w:r>
    </w:p>
    <w:p>
      <w:pPr>
        <w:spacing w:after="0" w:line="177" w:lineRule="exact"/>
        <w:rPr>
          <w:sz w:val="20"/>
          <w:szCs w:val="20"/>
          <w:color w:val="auto"/>
        </w:rPr>
      </w:pPr>
    </w:p>
    <w:p>
      <w:pPr>
        <w:ind w:left="1292" w:right="80" w:hanging="647"/>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8.4 </w:t>
      </w:r>
      <w:r>
        <w:rPr>
          <w:rFonts w:ascii="Times New Roman" w:cs="Times New Roman" w:eastAsia="Times New Roman" w:hAnsi="Times New Roman"/>
          <w:sz w:val="22"/>
          <w:szCs w:val="22"/>
          <w:b w:val="1"/>
          <w:bCs w:val="1"/>
          <w:i w:val="1"/>
          <w:iCs w:val="1"/>
          <w:color w:val="auto"/>
        </w:rPr>
        <w:t>Plan Not Funded</w:t>
      </w:r>
      <w:r>
        <w:rPr>
          <w:rFonts w:ascii="Times New Roman" w:cs="Times New Roman" w:eastAsia="Times New Roman" w:hAnsi="Times New Roman"/>
          <w:sz w:val="22"/>
          <w:szCs w:val="22"/>
          <w:color w:val="auto"/>
        </w:rPr>
        <w:t>. Awards payable under this Plan shall be payable in shares or from the general assets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and no special or separate reserve, fund or deposit shall be made to assure payment of such awards. No participant, beneficiary or other person shall have any right, title or interest in any fund or in any specific asset (including shares of Common Stock, except as expressly otherwise provided) of the Corporation or one of its Subsidiaries by reason of any award hereunder. Neither the provisions of this Plan (or of any related documents), nor the creation or adoption of this Plan, nor any action taken pursuant to the provisions of this Plan shall create, or be construed to create,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32"/>
          </w:cols>
          <w:pgMar w:left="328" w:top="1287" w:right="339" w:bottom="1440" w:gutter="0" w:footer="0" w:header="0"/>
        </w:sectPr>
      </w:pPr>
    </w:p>
    <w:bookmarkStart w:id="72" w:name="page73"/>
    <w:bookmarkEnd w:id="72"/>
    <w:p>
      <w:pPr>
        <w:ind w:left="180" w:right="60"/>
        <w:spacing w:after="0" w:line="252" w:lineRule="auto"/>
        <w:rPr>
          <w:sz w:val="20"/>
          <w:szCs w:val="20"/>
          <w:color w:val="auto"/>
        </w:rPr>
      </w:pPr>
      <w:r>
        <w:rPr>
          <w:rFonts w:ascii="Times New Roman" w:cs="Times New Roman" w:eastAsia="Times New Roman" w:hAnsi="Times New Roman"/>
          <w:sz w:val="22"/>
          <w:szCs w:val="22"/>
          <w:color w:val="auto"/>
        </w:rPr>
        <w:t>trust of any kind or a fiduciary relationship between the Corporation or one of its Subsidiaries and any participant, beneficiary or other person. To the extent that a participant, beneficiary or other person acquires a right to receive payment pursuant to any award hereunder, such right shall be no greater than the right of any unsecured general creditor of the Corporation.</w:t>
      </w:r>
    </w:p>
    <w:p>
      <w:pPr>
        <w:spacing w:after="0" w:line="173" w:lineRule="exact"/>
        <w:rPr>
          <w:sz w:val="20"/>
          <w:szCs w:val="20"/>
          <w:color w:val="auto"/>
        </w:rPr>
      </w:pPr>
    </w:p>
    <w:p>
      <w:pPr>
        <w:ind w:left="180" w:right="100" w:hanging="647"/>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8.5 </w:t>
      </w:r>
      <w:r>
        <w:rPr>
          <w:rFonts w:ascii="Times New Roman" w:cs="Times New Roman" w:eastAsia="Times New Roman" w:hAnsi="Times New Roman"/>
          <w:sz w:val="22"/>
          <w:szCs w:val="22"/>
          <w:b w:val="1"/>
          <w:bCs w:val="1"/>
          <w:i w:val="1"/>
          <w:iCs w:val="1"/>
          <w:color w:val="auto"/>
        </w:rPr>
        <w:t>Tax Withholding</w:t>
      </w:r>
      <w:r>
        <w:rPr>
          <w:rFonts w:ascii="Times New Roman" w:cs="Times New Roman" w:eastAsia="Times New Roman" w:hAnsi="Times New Roman"/>
          <w:sz w:val="22"/>
          <w:szCs w:val="22"/>
          <w:color w:val="auto"/>
        </w:rPr>
        <w:t>. Upon any exercise, vesting, or payment of any award or upon the disposition of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acquired pursuant to the exercise of an ISO prior to satisfaction of the holding period requirements of Section 422 of the Code, or upon any other tax withholding event with respect to any award, arrangements satisfactory to the Corporation shall be made to provide for any taxes the Corporation or any of its Subsidiaries may be required or permitted to withhold with respect to such award event or payment. Such arrangements may include (but are not limited to) any one of (or a combination of) the following:</w:t>
      </w:r>
    </w:p>
    <w:p>
      <w:pPr>
        <w:spacing w:after="0" w:line="180" w:lineRule="exact"/>
        <w:rPr>
          <w:sz w:val="20"/>
          <w:szCs w:val="20"/>
          <w:color w:val="auto"/>
        </w:rPr>
      </w:pPr>
    </w:p>
    <w:p>
      <w:pPr>
        <w:ind w:left="920" w:hanging="736"/>
        <w:spacing w:after="0" w:line="252" w:lineRule="auto"/>
        <w:tabs>
          <w:tab w:leader="none" w:pos="85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or one of its Subsidiaries shall have the right to require the participant (or the participant’s personal representative or beneficiary, as the case may be) to pay or provide for payment of the amount of any taxes which the Corporation or one of its Subsidiaries may be required or permitted to withhold with respect to such award event or payment.</w:t>
      </w:r>
    </w:p>
    <w:p>
      <w:pPr>
        <w:spacing w:after="0" w:line="179" w:lineRule="exact"/>
        <w:rPr>
          <w:sz w:val="20"/>
          <w:szCs w:val="20"/>
          <w:color w:val="auto"/>
        </w:rPr>
      </w:pPr>
    </w:p>
    <w:p>
      <w:pPr>
        <w:ind w:left="860" w:right="20" w:hanging="728"/>
        <w:spacing w:after="0" w:line="268" w:lineRule="auto"/>
        <w:tabs>
          <w:tab w:leader="none" w:pos="8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The Corporation or one of its Subsidiaries shall have the right to deduct from any amount otherwise payable in cash (whether related to the award or otherwise) to the participant (or the participant’s personal representative or beneficiary, as the case may be) the amount of any taxes which the Corporation or one of its Subsidiaries may be required or permitted to withhold with respect to such award event or payment.</w:t>
      </w:r>
    </w:p>
    <w:p>
      <w:pPr>
        <w:spacing w:after="0" w:line="163" w:lineRule="exact"/>
        <w:rPr>
          <w:sz w:val="20"/>
          <w:szCs w:val="20"/>
          <w:color w:val="auto"/>
        </w:rPr>
      </w:pPr>
    </w:p>
    <w:p>
      <w:pPr>
        <w:ind w:left="180" w:right="40"/>
        <w:spacing w:after="0" w:line="259" w:lineRule="auto"/>
        <w:rPr>
          <w:sz w:val="20"/>
          <w:szCs w:val="20"/>
          <w:color w:val="auto"/>
        </w:rPr>
      </w:pPr>
      <w:r>
        <w:rPr>
          <w:rFonts w:ascii="Times New Roman" w:cs="Times New Roman" w:eastAsia="Times New Roman" w:hAnsi="Times New Roman"/>
          <w:sz w:val="21"/>
          <w:szCs w:val="21"/>
          <w:color w:val="auto"/>
        </w:rPr>
        <w:t>In any case where a tax is required to be withheld in connection with the delivery of shares of Common Stock under this Plan, the Administrator may in its sole discretion (subject to Section 8.1) require or grant (either at the time of the award or thereafter) to the participant the right to elect, pursuant to such rules and subject to such conditions as the Administrator may establish, that the Corporation reduce the number of shares to be delivered by (or otherwise reacquire) the appropriate number of shares, valued in a consistent manner at their fair market value or at the sales price in accordance with authorized procedures for cashless exercises, necessary to satisfy the applicable withholding obligation on exercise, vesting or payment. The Corporation may, with the Administrator’s approval, accept one or more promissory notes from any Eligible Person in connection with taxes required to be withheld upon the exercise, vesting or payment of any award under this Plan; provided that any such note shall be subject to terms and conditions established by the Administrator and the requirements of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120"/>
          </w:cols>
          <w:pgMar w:left="1440" w:top="128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b w:val="1"/>
          <w:bCs w:val="1"/>
          <w:color w:val="auto"/>
        </w:rPr>
        <w:t xml:space="preserve">8.6 </w:t>
      </w:r>
      <w:r>
        <w:rPr>
          <w:rFonts w:ascii="Times New Roman" w:cs="Times New Roman" w:eastAsia="Times New Roman" w:hAnsi="Times New Roman"/>
          <w:sz w:val="22"/>
          <w:szCs w:val="22"/>
          <w:b w:val="1"/>
          <w:bCs w:val="1"/>
          <w:i w:val="1"/>
          <w:iCs w:val="1"/>
          <w:color w:val="auto"/>
        </w:rPr>
        <w:t>Effective Date, Termination and Suspension, Amendments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40" w:firstLine="13"/>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8.6.1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This Plan was initially adopted by the Board on September 21, 2004. The Amendment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Restatement of this Plan is effective as of August 11, 2020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Unless earlier terminated by the Board and subject to any extension that may be approved by stockholders, this Plan shall terminate at the close of business on August 4, 2025. After the termination of this Plan either upon such stated expiration date or its earlier termination by the Board, no additional awards may be granted under this Plan, but previously granted awards (and the authority of the Administrator with respect thereto, including the authority to amend such awards) shall remain outstanding in accordance with their applicable terms and conditions and the terms and conditions of this Plan.</w:t>
      </w:r>
    </w:p>
    <w:p>
      <w:pPr>
        <w:spacing w:after="0" w:line="177" w:lineRule="exact"/>
        <w:rPr>
          <w:sz w:val="20"/>
          <w:szCs w:val="20"/>
          <w:color w:val="auto"/>
        </w:rPr>
      </w:pPr>
    </w:p>
    <w:p>
      <w:pPr>
        <w:ind w:left="640" w:right="240" w:firstLine="13"/>
        <w:spacing w:after="0" w:line="260" w:lineRule="auto"/>
        <w:rPr>
          <w:sz w:val="20"/>
          <w:szCs w:val="20"/>
          <w:color w:val="auto"/>
        </w:rPr>
      </w:pPr>
      <w:r>
        <w:rPr>
          <w:rFonts w:ascii="Times New Roman" w:cs="Times New Roman" w:eastAsia="Times New Roman" w:hAnsi="Times New Roman"/>
          <w:sz w:val="22"/>
          <w:szCs w:val="22"/>
          <w:b w:val="1"/>
          <w:bCs w:val="1"/>
          <w:color w:val="auto"/>
        </w:rPr>
        <w:t xml:space="preserve">8.6.2 </w:t>
      </w:r>
      <w:r>
        <w:rPr>
          <w:rFonts w:ascii="Times New Roman" w:cs="Times New Roman" w:eastAsia="Times New Roman" w:hAnsi="Times New Roman"/>
          <w:sz w:val="22"/>
          <w:szCs w:val="22"/>
          <w:b w:val="1"/>
          <w:bCs w:val="1"/>
          <w:i w:val="1"/>
          <w:iCs w:val="1"/>
          <w:color w:val="auto"/>
        </w:rPr>
        <w:t>Board Authorization</w:t>
      </w:r>
      <w:r>
        <w:rPr>
          <w:rFonts w:ascii="Times New Roman" w:cs="Times New Roman" w:eastAsia="Times New Roman" w:hAnsi="Times New Roman"/>
          <w:sz w:val="22"/>
          <w:szCs w:val="22"/>
          <w:color w:val="auto"/>
        </w:rPr>
        <w:t>. The Board may, at any time, terminate or, from time to time, amend, modify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suspend this Plan, in whole or in part. No awards may be granted during any period that the Board suspends this Plan.</w:t>
      </w:r>
    </w:p>
    <w:p>
      <w:pPr>
        <w:spacing w:after="0" w:line="163" w:lineRule="exact"/>
        <w:rPr>
          <w:sz w:val="20"/>
          <w:szCs w:val="20"/>
          <w:color w:val="auto"/>
        </w:rPr>
      </w:pPr>
    </w:p>
    <w:p>
      <w:pPr>
        <w:ind w:left="640" w:firstLine="13"/>
        <w:spacing w:after="0" w:line="276" w:lineRule="auto"/>
        <w:rPr>
          <w:sz w:val="20"/>
          <w:szCs w:val="20"/>
          <w:color w:val="auto"/>
        </w:rPr>
      </w:pPr>
      <w:r>
        <w:rPr>
          <w:rFonts w:ascii="Times New Roman" w:cs="Times New Roman" w:eastAsia="Times New Roman" w:hAnsi="Times New Roman"/>
          <w:sz w:val="22"/>
          <w:szCs w:val="22"/>
          <w:b w:val="1"/>
          <w:bCs w:val="1"/>
          <w:color w:val="auto"/>
        </w:rPr>
        <w:t xml:space="preserve">8.6.3 </w:t>
      </w:r>
      <w:r>
        <w:rPr>
          <w:rFonts w:ascii="Times New Roman" w:cs="Times New Roman" w:eastAsia="Times New Roman" w:hAnsi="Times New Roman"/>
          <w:sz w:val="22"/>
          <w:szCs w:val="22"/>
          <w:b w:val="1"/>
          <w:bCs w:val="1"/>
          <w:i w:val="1"/>
          <w:iCs w:val="1"/>
          <w:color w:val="auto"/>
        </w:rPr>
        <w:t>Stockholder Approval</w:t>
      </w:r>
      <w:r>
        <w:rPr>
          <w:rFonts w:ascii="Times New Roman" w:cs="Times New Roman" w:eastAsia="Times New Roman" w:hAnsi="Times New Roman"/>
          <w:sz w:val="22"/>
          <w:szCs w:val="22"/>
          <w:color w:val="auto"/>
        </w:rPr>
        <w:t>. An amendment to this Plan shall be subject to stockholder approval only to the extent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then required by applicable law or stock exchange rules or deemed necessary or advisable by the Board.</w:t>
      </w:r>
    </w:p>
    <w:p>
      <w:pPr>
        <w:spacing w:after="0" w:line="147" w:lineRule="exact"/>
        <w:rPr>
          <w:sz w:val="20"/>
          <w:szCs w:val="20"/>
          <w:color w:val="auto"/>
        </w:rPr>
      </w:pPr>
    </w:p>
    <w:p>
      <w:pPr>
        <w:ind w:left="640" w:firstLine="13"/>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8.6.4 </w:t>
      </w:r>
      <w:r>
        <w:rPr>
          <w:rFonts w:ascii="Times New Roman" w:cs="Times New Roman" w:eastAsia="Times New Roman" w:hAnsi="Times New Roman"/>
          <w:sz w:val="22"/>
          <w:szCs w:val="22"/>
          <w:b w:val="1"/>
          <w:bCs w:val="1"/>
          <w:i w:val="1"/>
          <w:iCs w:val="1"/>
          <w:color w:val="auto"/>
        </w:rPr>
        <w:t>Amendments to Awards</w:t>
      </w:r>
      <w:r>
        <w:rPr>
          <w:rFonts w:ascii="Times New Roman" w:cs="Times New Roman" w:eastAsia="Times New Roman" w:hAnsi="Times New Roman"/>
          <w:sz w:val="22"/>
          <w:szCs w:val="22"/>
          <w:color w:val="auto"/>
        </w:rPr>
        <w:t>. Without limiting any other express authority of the Administrator under (but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express limits of this Plan, the Administrator by agreement or resolution may waive conditions of or limitations on awards to participants that the Administrator in the prior exercise of its discretion has imposed, without the consent of a participant, and (subject to the requirements of Sections 3.2 and 8.6.5) may make other changes to the terms and conditions of awards. Any amendment or other action that would constitute a repricing of an award is subject to the limitations set forth in Section 3.2.</w:t>
      </w:r>
    </w:p>
    <w:p>
      <w:pPr>
        <w:spacing w:after="0" w:line="174" w:lineRule="exact"/>
        <w:rPr>
          <w:sz w:val="20"/>
          <w:szCs w:val="20"/>
          <w:color w:val="auto"/>
        </w:rPr>
      </w:pPr>
    </w:p>
    <w:p>
      <w:pPr>
        <w:ind w:left="640" w:right="60" w:firstLine="13"/>
        <w:spacing w:after="0" w:line="264" w:lineRule="auto"/>
        <w:rPr>
          <w:sz w:val="20"/>
          <w:szCs w:val="20"/>
          <w:color w:val="auto"/>
        </w:rPr>
      </w:pPr>
      <w:r>
        <w:rPr>
          <w:rFonts w:ascii="Times New Roman" w:cs="Times New Roman" w:eastAsia="Times New Roman" w:hAnsi="Times New Roman"/>
          <w:sz w:val="21"/>
          <w:szCs w:val="21"/>
          <w:b w:val="1"/>
          <w:bCs w:val="1"/>
          <w:color w:val="auto"/>
        </w:rPr>
        <w:t xml:space="preserve">8.6.5 </w:t>
      </w:r>
      <w:r>
        <w:rPr>
          <w:rFonts w:ascii="Times New Roman" w:cs="Times New Roman" w:eastAsia="Times New Roman" w:hAnsi="Times New Roman"/>
          <w:sz w:val="21"/>
          <w:szCs w:val="21"/>
          <w:b w:val="1"/>
          <w:bCs w:val="1"/>
          <w:i w:val="1"/>
          <w:iCs w:val="1"/>
          <w:color w:val="auto"/>
        </w:rPr>
        <w:t>Limitations on Amendments to Plan and Awards</w:t>
      </w:r>
      <w:r>
        <w:rPr>
          <w:rFonts w:ascii="Times New Roman" w:cs="Times New Roman" w:eastAsia="Times New Roman" w:hAnsi="Times New Roman"/>
          <w:sz w:val="21"/>
          <w:szCs w:val="21"/>
          <w:color w:val="auto"/>
        </w:rPr>
        <w:t>. No amendment, suspension or termination of this Plan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change of or affecting any outstanding award agreement shall, without written consent of the participant, affect in any manner materially adverse to the participant any rights or benefits of the participant or obligations of the Corporation under any award granted under this Plan prior to the effective date of such change. Changes, settlements and other actions contemplated by Section 7 shall not be deemed to constitute changes or amendments for purposes of this Section 8.6 and shall not require stockholder approval or the consent of the award holder.</w:t>
      </w:r>
    </w:p>
    <w:p>
      <w:pPr>
        <w:spacing w:after="0" w:line="161" w:lineRule="exact"/>
        <w:rPr>
          <w:sz w:val="20"/>
          <w:szCs w:val="20"/>
          <w:color w:val="auto"/>
        </w:rPr>
      </w:pPr>
    </w:p>
    <w:p>
      <w:pPr>
        <w:ind w:left="640" w:right="40" w:hanging="64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8.7 </w:t>
      </w:r>
      <w:r>
        <w:rPr>
          <w:rFonts w:ascii="Times New Roman" w:cs="Times New Roman" w:eastAsia="Times New Roman" w:hAnsi="Times New Roman"/>
          <w:sz w:val="22"/>
          <w:szCs w:val="22"/>
          <w:b w:val="1"/>
          <w:bCs w:val="1"/>
          <w:i w:val="1"/>
          <w:iCs w:val="1"/>
          <w:color w:val="auto"/>
        </w:rPr>
        <w:t>Privileges of Stock Ownership</w:t>
      </w:r>
      <w:r>
        <w:rPr>
          <w:rFonts w:ascii="Times New Roman" w:cs="Times New Roman" w:eastAsia="Times New Roman" w:hAnsi="Times New Roman"/>
          <w:sz w:val="22"/>
          <w:szCs w:val="22"/>
          <w:color w:val="auto"/>
        </w:rPr>
        <w:t>. Except as otherwise expressly authorized by the Administrator or this Plan,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shall not be entitled to any privilege of stock ownership as to any shares of Common Stock not actually delivered to and held of record by the participant. Except as expressly required by Section 7.1 or otherwise expressly provided by the Administrator, no adjustment will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80"/>
          </w:cols>
          <w:pgMar w:left="980" w:top="1281" w:right="339" w:bottom="1440" w:gutter="0" w:footer="0" w:header="0"/>
        </w:sectPr>
      </w:pPr>
    </w:p>
    <w:bookmarkStart w:id="74" w:name="page75"/>
    <w:bookmarkEnd w:id="74"/>
    <w:p>
      <w:pPr>
        <w:ind w:left="640"/>
        <w:spacing w:after="0"/>
        <w:rPr>
          <w:sz w:val="20"/>
          <w:szCs w:val="20"/>
          <w:color w:val="auto"/>
        </w:rPr>
      </w:pPr>
      <w:r>
        <w:rPr>
          <w:rFonts w:ascii="Times New Roman" w:cs="Times New Roman" w:eastAsia="Times New Roman" w:hAnsi="Times New Roman"/>
          <w:sz w:val="22"/>
          <w:szCs w:val="22"/>
          <w:color w:val="auto"/>
        </w:rPr>
        <w:t>for dividends or other rights as a stockholder for which a record date is prior to such date of delivery.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8.8 </w:t>
      </w:r>
      <w:r>
        <w:rPr>
          <w:rFonts w:ascii="Times New Roman" w:cs="Times New Roman" w:eastAsia="Times New Roman" w:hAnsi="Times New Roman"/>
          <w:sz w:val="22"/>
          <w:szCs w:val="22"/>
          <w:b w:val="1"/>
          <w:bCs w:val="1"/>
          <w:i w:val="1"/>
          <w:iCs w:val="1"/>
          <w:color w:val="auto"/>
        </w:rPr>
        <w:t>Governing Law; Construction; Severability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40" w:right="280" w:firstLine="13"/>
        <w:spacing w:after="0" w:line="260" w:lineRule="auto"/>
        <w:rPr>
          <w:sz w:val="20"/>
          <w:szCs w:val="20"/>
          <w:color w:val="auto"/>
        </w:rPr>
      </w:pPr>
      <w:r>
        <w:rPr>
          <w:rFonts w:ascii="Times New Roman" w:cs="Times New Roman" w:eastAsia="Times New Roman" w:hAnsi="Times New Roman"/>
          <w:sz w:val="22"/>
          <w:szCs w:val="22"/>
          <w:b w:val="1"/>
          <w:bCs w:val="1"/>
          <w:color w:val="auto"/>
        </w:rPr>
        <w:t xml:space="preserve">8.8.1 </w:t>
      </w:r>
      <w:r>
        <w:rPr>
          <w:rFonts w:ascii="Times New Roman" w:cs="Times New Roman" w:eastAsia="Times New Roman" w:hAnsi="Times New Roman"/>
          <w:sz w:val="22"/>
          <w:szCs w:val="22"/>
          <w:b w:val="1"/>
          <w:bCs w:val="1"/>
          <w:i w:val="1"/>
          <w:iCs w:val="1"/>
          <w:color w:val="auto"/>
        </w:rPr>
        <w:t>Choice of Law</w:t>
      </w:r>
      <w:r>
        <w:rPr>
          <w:rFonts w:ascii="Times New Roman" w:cs="Times New Roman" w:eastAsia="Times New Roman" w:hAnsi="Times New Roman"/>
          <w:sz w:val="22"/>
          <w:szCs w:val="22"/>
          <w:color w:val="auto"/>
        </w:rPr>
        <w:t>. This Plan, the awards, all documents evidencing awards and all other related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governed by, and construed in accordance with the laws of the State of Delaware, notwithstanding any Delaware or other conflict of law provision to the contrary.</w:t>
      </w:r>
    </w:p>
    <w:p>
      <w:pPr>
        <w:spacing w:after="0" w:line="163" w:lineRule="exact"/>
        <w:rPr>
          <w:sz w:val="20"/>
          <w:szCs w:val="20"/>
          <w:color w:val="auto"/>
        </w:rPr>
      </w:pPr>
    </w:p>
    <w:p>
      <w:pPr>
        <w:ind w:left="640" w:right="740" w:firstLine="13"/>
        <w:spacing w:after="0" w:line="276" w:lineRule="auto"/>
        <w:rPr>
          <w:sz w:val="20"/>
          <w:szCs w:val="20"/>
          <w:color w:val="auto"/>
        </w:rPr>
      </w:pPr>
      <w:r>
        <w:rPr>
          <w:rFonts w:ascii="Times New Roman" w:cs="Times New Roman" w:eastAsia="Times New Roman" w:hAnsi="Times New Roman"/>
          <w:sz w:val="22"/>
          <w:szCs w:val="22"/>
          <w:b w:val="1"/>
          <w:bCs w:val="1"/>
          <w:color w:val="auto"/>
        </w:rPr>
        <w:t xml:space="preserve">8.8.2 </w:t>
      </w:r>
      <w:r>
        <w:rPr>
          <w:rFonts w:ascii="Times New Roman" w:cs="Times New Roman" w:eastAsia="Times New Roman" w:hAnsi="Times New Roman"/>
          <w:sz w:val="22"/>
          <w:szCs w:val="22"/>
          <w:b w:val="1"/>
          <w:bCs w:val="1"/>
          <w:i w:val="1"/>
          <w:iCs w:val="1"/>
          <w:color w:val="auto"/>
        </w:rPr>
        <w:t>Severability</w:t>
      </w:r>
      <w:r>
        <w:rPr>
          <w:rFonts w:ascii="Times New Roman" w:cs="Times New Roman" w:eastAsia="Times New Roman" w:hAnsi="Times New Roman"/>
          <w:sz w:val="22"/>
          <w:szCs w:val="22"/>
          <w:color w:val="auto"/>
        </w:rPr>
        <w:t>. If a court of competent jurisdiction holds any provision invalid and unenforceable,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remaining provisions of this Plan shall continue in effect.</w:t>
      </w:r>
    </w:p>
    <w:p>
      <w:pPr>
        <w:spacing w:after="0" w:line="147" w:lineRule="exact"/>
        <w:rPr>
          <w:sz w:val="20"/>
          <w:szCs w:val="20"/>
          <w:color w:val="auto"/>
        </w:rPr>
      </w:pPr>
    </w:p>
    <w:p>
      <w:pPr>
        <w:ind w:left="640" w:firstLine="13"/>
        <w:spacing w:after="0" w:line="260" w:lineRule="auto"/>
        <w:rPr>
          <w:sz w:val="20"/>
          <w:szCs w:val="20"/>
          <w:color w:val="auto"/>
        </w:rPr>
      </w:pPr>
      <w:r>
        <w:rPr>
          <w:rFonts w:ascii="Times New Roman" w:cs="Times New Roman" w:eastAsia="Times New Roman" w:hAnsi="Times New Roman"/>
          <w:sz w:val="22"/>
          <w:szCs w:val="22"/>
          <w:b w:val="1"/>
          <w:bCs w:val="1"/>
          <w:color w:val="auto"/>
        </w:rPr>
        <w:t xml:space="preserve">8.8.3 </w:t>
      </w:r>
      <w:r>
        <w:rPr>
          <w:rFonts w:ascii="Times New Roman" w:cs="Times New Roman" w:eastAsia="Times New Roman" w:hAnsi="Times New Roman"/>
          <w:sz w:val="22"/>
          <w:szCs w:val="22"/>
          <w:b w:val="1"/>
          <w:bCs w:val="1"/>
          <w:i w:val="1"/>
          <w:iCs w:val="1"/>
          <w:color w:val="auto"/>
        </w:rPr>
        <w:t>Plan Construction</w:t>
      </w:r>
      <w:r>
        <w:rPr>
          <w:rFonts w:ascii="Times New Roman" w:cs="Times New Roman" w:eastAsia="Times New Roman" w:hAnsi="Times New Roman"/>
          <w:sz w:val="22"/>
          <w:szCs w:val="22"/>
          <w:color w:val="auto"/>
        </w:rPr>
        <w:t>. It is intended that this Plan, as well as awards granted under this Plan, comply with,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result in any tax, penalty or interest under, Section 409A of the Code. This Plan, as well as awards granted under this Plan, shall be construed and interpreted accordingly.</w:t>
      </w:r>
    </w:p>
    <w:p>
      <w:pPr>
        <w:spacing w:after="0" w:line="163" w:lineRule="exact"/>
        <w:rPr>
          <w:sz w:val="20"/>
          <w:szCs w:val="20"/>
          <w:color w:val="auto"/>
        </w:rPr>
      </w:pPr>
    </w:p>
    <w:p>
      <w:pPr>
        <w:jc w:val="both"/>
        <w:ind w:left="640" w:right="400" w:hanging="647"/>
        <w:spacing w:after="0" w:line="260" w:lineRule="auto"/>
        <w:rPr>
          <w:sz w:val="20"/>
          <w:szCs w:val="20"/>
          <w:color w:val="auto"/>
        </w:rPr>
      </w:pPr>
      <w:r>
        <w:rPr>
          <w:rFonts w:ascii="Times New Roman" w:cs="Times New Roman" w:eastAsia="Times New Roman" w:hAnsi="Times New Roman"/>
          <w:sz w:val="22"/>
          <w:szCs w:val="22"/>
          <w:b w:val="1"/>
          <w:bCs w:val="1"/>
          <w:color w:val="auto"/>
        </w:rPr>
        <w:t xml:space="preserve">8.9 </w:t>
      </w:r>
      <w:r>
        <w:rPr>
          <w:rFonts w:ascii="Times New Roman" w:cs="Times New Roman" w:eastAsia="Times New Roman" w:hAnsi="Times New Roman"/>
          <w:sz w:val="22"/>
          <w:szCs w:val="22"/>
          <w:b w:val="1"/>
          <w:bCs w:val="1"/>
          <w:i w:val="1"/>
          <w:iCs w:val="1"/>
          <w:color w:val="auto"/>
        </w:rPr>
        <w:t>Captions</w:t>
      </w:r>
      <w:r>
        <w:rPr>
          <w:rFonts w:ascii="Times New Roman" w:cs="Times New Roman" w:eastAsia="Times New Roman" w:hAnsi="Times New Roman"/>
          <w:sz w:val="22"/>
          <w:szCs w:val="22"/>
          <w:color w:val="auto"/>
        </w:rPr>
        <w:t>. Captions and headings are given to the sections and subsections of this Plan solely as a convenience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facilitate reference. Such headings shall not be deemed in any way material or relevant to the construction or interpretation of this Plan or any provision thereof.</w:t>
      </w:r>
    </w:p>
    <w:p>
      <w:pPr>
        <w:spacing w:after="0" w:line="163" w:lineRule="exact"/>
        <w:rPr>
          <w:sz w:val="20"/>
          <w:szCs w:val="20"/>
          <w:color w:val="auto"/>
        </w:rPr>
      </w:pPr>
    </w:p>
    <w:p>
      <w:pPr>
        <w:ind w:left="640" w:hanging="647"/>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8.10 </w:t>
      </w:r>
      <w:r>
        <w:rPr>
          <w:rFonts w:ascii="Times New Roman" w:cs="Times New Roman" w:eastAsia="Times New Roman" w:hAnsi="Times New Roman"/>
          <w:sz w:val="22"/>
          <w:szCs w:val="22"/>
          <w:b w:val="1"/>
          <w:bCs w:val="1"/>
          <w:i w:val="1"/>
          <w:iCs w:val="1"/>
          <w:color w:val="auto"/>
        </w:rPr>
        <w:t>Stock-Based Awards in Substitution for Stock Options or Awards Granted by Other Corporation</w:t>
      </w: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Awards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to Eligible Persons in substitution for or in connection with an assumption of employee stock options, SARs, restricted stock or other stock-based awards granted by other entities to persons who are or who will become Eligible Persons in respect of the Corporation or one of its Subsidiaries, in connection with a distribution, merger or other reorganization by or with the granting entity or an affiliated entity, or the acquisition by the Corporation or one of its Subsidiaries, directly or indirectly, of all or a substantial part of the stock or assets of the employing entity. The awards so granted need not comply with other specific terms of this Plan, provided that the awards reflect adjustments giving effect to the assumption or substitution consistent with the conversion applicable to the Common Stock (or the securities otherwise subject to the award) in the transaction and any change in the issuer of the security. Any shares that are delivered and any awards that are granted by, or become obligations of, the Corporation, as a result of the assumption by the Corporation of, or in substitution for, outstanding awards previously granted or assumed by an acquired company (or previously granted or assumed by a predecessor employer (or direct or indirect parent thereof) in the case of persons that become employed by the Corporation or one of its Subsidiaries in connection with a business or asset acquisition or similar transaction) shall not be counted against the Share Limit or other limits on the number of shares available for issuance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480"/>
          </w:cols>
          <w:pgMar w:left="980" w:top="1287" w:right="439" w:bottom="1440" w:gutter="0" w:footer="0" w:header="0"/>
        </w:sectPr>
      </w:pPr>
    </w:p>
    <w:bookmarkStart w:id="75" w:name="page76"/>
    <w:bookmarkEnd w:id="75"/>
    <w:p>
      <w:pPr>
        <w:jc w:val="both"/>
        <w:ind w:left="640" w:right="420" w:hanging="647"/>
        <w:spacing w:after="0" w:line="260" w:lineRule="auto"/>
        <w:rPr>
          <w:sz w:val="20"/>
          <w:szCs w:val="20"/>
          <w:color w:val="auto"/>
        </w:rPr>
      </w:pPr>
      <w:r>
        <w:rPr>
          <w:rFonts w:ascii="Times New Roman" w:cs="Times New Roman" w:eastAsia="Times New Roman" w:hAnsi="Times New Roman"/>
          <w:sz w:val="22"/>
          <w:szCs w:val="22"/>
          <w:b w:val="1"/>
          <w:bCs w:val="1"/>
          <w:color w:val="auto"/>
        </w:rPr>
        <w:t xml:space="preserve">8.11 </w:t>
      </w:r>
      <w:r>
        <w:rPr>
          <w:rFonts w:ascii="Times New Roman" w:cs="Times New Roman" w:eastAsia="Times New Roman" w:hAnsi="Times New Roman"/>
          <w:sz w:val="22"/>
          <w:szCs w:val="22"/>
          <w:b w:val="1"/>
          <w:bCs w:val="1"/>
          <w:i w:val="1"/>
          <w:iCs w:val="1"/>
          <w:color w:val="auto"/>
        </w:rPr>
        <w:t>Non-Exclusivity of Plan</w:t>
      </w:r>
      <w:r>
        <w:rPr>
          <w:rFonts w:ascii="Times New Roman" w:cs="Times New Roman" w:eastAsia="Times New Roman" w:hAnsi="Times New Roman"/>
          <w:sz w:val="22"/>
          <w:szCs w:val="22"/>
          <w:color w:val="auto"/>
        </w:rPr>
        <w:t>. Nothing in this Plan shall limit or be deemed to limit the authority of the Board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Administrator to grant awards or authorize any other compensation, with or without reference to the Common Stock, under any other plan or authority.</w:t>
      </w:r>
    </w:p>
    <w:p>
      <w:pPr>
        <w:spacing w:after="0" w:line="163" w:lineRule="exact"/>
        <w:rPr>
          <w:sz w:val="20"/>
          <w:szCs w:val="20"/>
          <w:color w:val="auto"/>
        </w:rPr>
      </w:pPr>
    </w:p>
    <w:p>
      <w:pPr>
        <w:ind w:left="640" w:right="80" w:hanging="647"/>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8.12 </w:t>
      </w:r>
      <w:r>
        <w:rPr>
          <w:rFonts w:ascii="Times New Roman" w:cs="Times New Roman" w:eastAsia="Times New Roman" w:hAnsi="Times New Roman"/>
          <w:sz w:val="22"/>
          <w:szCs w:val="22"/>
          <w:b w:val="1"/>
          <w:bCs w:val="1"/>
          <w:i w:val="1"/>
          <w:iCs w:val="1"/>
          <w:color w:val="auto"/>
        </w:rPr>
        <w:t>No Corporate Action Restriction</w:t>
      </w:r>
      <w:r>
        <w:rPr>
          <w:rFonts w:ascii="Times New Roman" w:cs="Times New Roman" w:eastAsia="Times New Roman" w:hAnsi="Times New Roman"/>
          <w:sz w:val="22"/>
          <w:szCs w:val="22"/>
          <w:color w:val="auto"/>
        </w:rPr>
        <w:t>. The existence of this Plan, the award agreements and the awards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shall not limit, affect or restrict in any way the right or power of the Corporation or any Subsidiary (or any of their respective shareholders, boards of directors or committees thereof, as the case may be) to make or authorize: (a) any adjustment, recapitalization, reorganization or other change in the capital structure or business of the Corporation or any Subsidiary, (b) any merger, amalgamation, consolidation or change in the ownership of the Corporation or any Subsidiary, (c) any issue of bonds, debentures, capital, preferred or prior preference stock ahead of or affecting the capital stock (or the rights thereof) of the Corporation or any Subsidiary, (d) any dissolution or liquidation of the Corporation or any Subsidiary, (e) any sale or transfer of all or any part of the assets or business of the Corporation or any Subsidiary, (f) any other award, grant, or payment of incentives or other compensation under any other plan or authority (or any other action with respect to any benefit, incentive or compensation), or (g) any other corporate act or proceeding by the Corporation or any Subsidiary. No participant, beneficiary or any other person shall have any claim under any award or award agreement against any member of the Board or the Administrator, or the Corporation or any employees, officers or agents of the Corporation or any Subsidiary, as a result of any such action.</w:t>
      </w:r>
    </w:p>
    <w:p>
      <w:pPr>
        <w:spacing w:after="0" w:line="192" w:lineRule="exact"/>
        <w:rPr>
          <w:sz w:val="20"/>
          <w:szCs w:val="20"/>
          <w:color w:val="auto"/>
        </w:rPr>
      </w:pPr>
    </w:p>
    <w:p>
      <w:pPr>
        <w:ind w:left="640" w:right="40" w:hanging="647"/>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8.13 </w:t>
      </w:r>
      <w:r>
        <w:rPr>
          <w:rFonts w:ascii="Times New Roman" w:cs="Times New Roman" w:eastAsia="Times New Roman" w:hAnsi="Times New Roman"/>
          <w:sz w:val="22"/>
          <w:szCs w:val="22"/>
          <w:b w:val="1"/>
          <w:bCs w:val="1"/>
          <w:i w:val="1"/>
          <w:iCs w:val="1"/>
          <w:color w:val="auto"/>
        </w:rPr>
        <w:t>Other Company Benefit and Compensation Programs</w:t>
      </w:r>
      <w:r>
        <w:rPr>
          <w:rFonts w:ascii="Times New Roman" w:cs="Times New Roman" w:eastAsia="Times New Roman" w:hAnsi="Times New Roman"/>
          <w:sz w:val="22"/>
          <w:szCs w:val="22"/>
          <w:color w:val="auto"/>
        </w:rPr>
        <w:t>. Payments and other benefits received by a participant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award made pursuant to this Plan shall not be deemed a part of a participant’s compensation for purposes of the determination of benefits under any other employee welfare or benefit plans or arrangements, if any, provided by the Corporation or any Subsidiary, except where the Administrator expressly otherwise provides or authorizes in writing. Awards under this Plan may be made in addition to, in combination with, as alternatives to or in payment of grants, awards or commitments under any other plans, arrangements or authority of the Corporation or its Subsidiaries.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8.14 </w:t>
      </w:r>
      <w:r>
        <w:rPr>
          <w:rFonts w:ascii="Times New Roman" w:cs="Times New Roman" w:eastAsia="Times New Roman" w:hAnsi="Times New Roman"/>
          <w:sz w:val="22"/>
          <w:szCs w:val="22"/>
          <w:b w:val="1"/>
          <w:bCs w:val="1"/>
          <w:i w:val="1"/>
          <w:iCs w:val="1"/>
          <w:color w:val="auto"/>
        </w:rPr>
        <w:t>Forfeiture and Clawback Provisions</w:t>
      </w:r>
      <w:r>
        <w:rPr>
          <w:rFonts w:ascii="Times New Roman" w:cs="Times New Roman" w:eastAsia="Times New Roman" w:hAnsi="Times New Roman"/>
          <w:sz w:val="22"/>
          <w:szCs w:val="22"/>
          <w:color w:val="auto"/>
        </w:rPr>
        <w:t>.</w:t>
      </w:r>
    </w:p>
    <w:p>
      <w:pPr>
        <w:spacing w:after="0" w:line="226" w:lineRule="exact"/>
        <w:rPr>
          <w:sz w:val="20"/>
          <w:szCs w:val="20"/>
          <w:color w:val="auto"/>
        </w:rPr>
      </w:pPr>
    </w:p>
    <w:p>
      <w:pPr>
        <w:ind w:left="1300" w:hanging="656"/>
        <w:spacing w:after="0" w:line="248" w:lineRule="auto"/>
        <w:tabs>
          <w:tab w:leader="none" w:pos="94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awards granted under this Plan (including any proceeds, gains or other economic benefit actually or constructively received by the award holder upon any receipt, vesting, payment or exercise of any award or upon the receipt or resale of any shares of Common Stock underlying the award) shall be subject to the provisions of any clawback or similar policy implemented by the Corporation from time to time, including, without limitation, any clawback or similar policy adopted to comply with the requirements of applicable law, such as the Dodd-Frank Wall Street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0"/>
          </w:cols>
          <w:pgMar w:left="980" w:top="1281" w:right="359" w:bottom="1440" w:gutter="0" w:footer="0" w:header="0"/>
        </w:sectPr>
      </w:pPr>
    </w:p>
    <w:bookmarkStart w:id="76" w:name="page77"/>
    <w:bookmarkEnd w:id="76"/>
    <w:p>
      <w:pPr>
        <w:ind w:left="840" w:right="260"/>
        <w:spacing w:after="0" w:line="271" w:lineRule="auto"/>
        <w:rPr>
          <w:sz w:val="20"/>
          <w:szCs w:val="20"/>
          <w:color w:val="auto"/>
        </w:rPr>
      </w:pPr>
      <w:r>
        <w:rPr>
          <w:rFonts w:ascii="Times New Roman" w:cs="Times New Roman" w:eastAsia="Times New Roman" w:hAnsi="Times New Roman"/>
          <w:sz w:val="22"/>
          <w:szCs w:val="22"/>
          <w:color w:val="auto"/>
        </w:rPr>
        <w:t>Reform and Consumer Protection Act and any rules or regulations promulgated thereunder, to the extent set forth in such clawback policy and/or in the applicable award agreement.</w:t>
      </w:r>
    </w:p>
    <w:p>
      <w:pPr>
        <w:spacing w:after="0" w:line="158" w:lineRule="exact"/>
        <w:rPr>
          <w:sz w:val="20"/>
          <w:szCs w:val="20"/>
          <w:color w:val="auto"/>
        </w:rPr>
      </w:pPr>
    </w:p>
    <w:p>
      <w:pPr>
        <w:ind w:left="840" w:hanging="656"/>
        <w:spacing w:after="0" w:line="258" w:lineRule="auto"/>
        <w:tabs>
          <w:tab w:leader="none" w:pos="49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its authority to determine the terms and conditions applicable to awards under the Plan and without limiting the generality of that authority, the Administrator shall have the right to provide, in the applicable policy, award agreement or other written agreement that: (i) any proceeds, gains or other economic benefit actually or constructively received by the award holder upon any receipt, vesting, payment or exercise of the award, or upon the receipt or resale of any shares of Common Stock underlying the award, shall be paid to the Corporation, and (ii) the award shall terminate and any outstanding portion of the award (whether or not vested) shall be forfeited, if (x) a termination of service occurs prior to a specified date, or within a specified time period following receipt, vesting or exercise of the award, or (y) the award holder at any time, or during a specified time period, engages in any activity in competition with the Corporation, or which is inimical, contrary or harmful to the interests of the Corporation, as further defined by the Administrator for purposes of the award, or (z) the award holder incurs a termination of service for “cause” (as such term is defined by the Administrator for purposes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120"/>
          </w:cols>
          <w:pgMar w:left="1440" w:top="128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825625" cy="308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182562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Western Digital Corporation</w:t>
      </w:r>
    </w:p>
    <w:p>
      <w:pPr>
        <w:spacing w:after="0" w:line="57"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color w:val="auto"/>
        </w:rPr>
        <w:t>5601 Great Oaks Parkway</w:t>
      </w:r>
    </w:p>
    <w:p>
      <w:pPr>
        <w:spacing w:after="0" w:line="55"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color w:val="auto"/>
        </w:rPr>
        <w:t>San Jose, California 95119</w:t>
      </w:r>
    </w:p>
    <w:p>
      <w:pPr>
        <w:spacing w:after="0" w:line="55"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color w:val="auto"/>
        </w:rPr>
        <w:t>(408) 717-6000</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Notice of Grant of Performance Stock Units</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and Performance Stock Unit Award Agreement – Financial Measures</w:t>
      </w:r>
    </w:p>
    <w:p>
      <w:pPr>
        <w:spacing w:after="0" w:line="58"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22"/>
          <w:szCs w:val="22"/>
          <w:b w:val="1"/>
          <w:bCs w:val="1"/>
          <w:color w:val="auto"/>
        </w:rPr>
        <w:t>&lt;&lt;Name&gt;&gt;</w:t>
      </w:r>
      <w:r>
        <w:rPr>
          <w:sz w:val="20"/>
          <w:szCs w:val="20"/>
          <w:color w:val="auto"/>
        </w:rPr>
        <w:tab/>
      </w:r>
      <w:r>
        <w:rPr>
          <w:rFonts w:ascii="Times New Roman" w:cs="Times New Roman" w:eastAsia="Times New Roman" w:hAnsi="Times New Roman"/>
          <w:sz w:val="22"/>
          <w:szCs w:val="22"/>
          <w:b w:val="1"/>
          <w:bCs w:val="1"/>
          <w:color w:val="auto"/>
        </w:rPr>
        <w:t>Award Number:</w:t>
      </w:r>
    </w:p>
    <w:p>
      <w:pPr>
        <w:spacing w:after="0" w:line="58"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22"/>
          <w:szCs w:val="22"/>
          <w:b w:val="1"/>
          <w:bCs w:val="1"/>
          <w:color w:val="auto"/>
        </w:rPr>
        <w:t>&lt;&lt;Address 1&gt;&gt;</w:t>
      </w:r>
      <w:r>
        <w:rPr>
          <w:sz w:val="20"/>
          <w:szCs w:val="20"/>
          <w:color w:val="auto"/>
        </w:rPr>
        <w:tab/>
      </w:r>
      <w:r>
        <w:rPr>
          <w:rFonts w:ascii="Times New Roman" w:cs="Times New Roman" w:eastAsia="Times New Roman" w:hAnsi="Times New Roman"/>
          <w:sz w:val="21"/>
          <w:szCs w:val="21"/>
          <w:b w:val="1"/>
          <w:bCs w:val="1"/>
          <w:color w:val="auto"/>
        </w:rPr>
        <w:t>Plan: 2017 Performance Incentive Plan</w:t>
      </w:r>
    </w:p>
    <w:p>
      <w:pPr>
        <w:spacing w:after="0" w:line="58"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22"/>
          <w:szCs w:val="22"/>
          <w:b w:val="1"/>
          <w:bCs w:val="1"/>
          <w:color w:val="auto"/>
        </w:rPr>
        <w:t>&lt;&lt;Address 2&gt;&gt;</w:t>
      </w:r>
      <w:r>
        <w:rPr>
          <w:sz w:val="20"/>
          <w:szCs w:val="20"/>
          <w:color w:val="auto"/>
        </w:rPr>
        <w:tab/>
      </w:r>
      <w:r>
        <w:rPr>
          <w:rFonts w:ascii="Times New Roman" w:cs="Times New Roman" w:eastAsia="Times New Roman" w:hAnsi="Times New Roman"/>
          <w:sz w:val="22"/>
          <w:szCs w:val="22"/>
          <w:b w:val="1"/>
          <w:bCs w:val="1"/>
          <w:color w:val="auto"/>
        </w:rPr>
        <w:t>ID:</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Congratulations! Effective [________________] (the “Grant Date”), you have been granted stock units (the “Performance Stock</w:t>
      </w:r>
    </w:p>
    <w:p>
      <w:pPr>
        <w:spacing w:after="0" w:line="3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Units”) of Western Digital Corporation (the “Corporation”). These Performance Stock Units were granted under and are subject to the Corporation’s 2017 Performance Incentive Plan, as amended (the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Total Target Number of Performance Stock Units: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Vesting Date: </w:t>
      </w:r>
      <w:r>
        <w:rPr>
          <w:rFonts w:ascii="Times New Roman" w:cs="Times New Roman" w:eastAsia="Times New Roman" w:hAnsi="Times New Roman"/>
          <w:sz w:val="22"/>
          <w:szCs w:val="22"/>
          <w:color w:val="auto"/>
        </w:rPr>
        <w:t>[_______________]</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b w:val="1"/>
          <w:bCs w:val="1"/>
          <w:color w:val="auto"/>
        </w:rPr>
        <w:t xml:space="preserve">Measurement Period covered by grant: </w:t>
      </w:r>
      <w:r>
        <w:rPr>
          <w:rFonts w:ascii="Times New Roman" w:cs="Times New Roman" w:eastAsia="Times New Roman" w:hAnsi="Times New Roman"/>
          <w:sz w:val="22"/>
          <w:szCs w:val="22"/>
          <w:color w:val="auto"/>
        </w:rPr>
        <w:t>The “Measurement Period” applicable to the Performance Stock Units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is the performance measurement period that begins [__________] and ends [______________]. The actual number of</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Performance Stock Units that may become eligible to vest on the Vesting Date based on performance during the Measurement Period may range from 0% to 200% of the Total Target Number of Performance Stock Units subject to the award corresponding to that Measurement Period, subject to forfeiture under Section 8 of the attached Standard Terms and Conditions for Performance Stock Unit Award – Financial Measures (the “Standard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56921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569214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Your Performance Stock Unit award is subject to the terms and conditions of this Notice, the attached Standard Terms and the Plan. By accepting the award, you are agreeing to the terms of the award as set forth in those documents. You should read the Plan, the Prospectus for the Plan, and the Standard Terms. The Standard Terms and the Plan are each incorporated into and made a part of this Notice by this reference. You do not have to accept your award and it is not a condition of employment to accept your award. If you do not agree to the terms of your award, you should promptly return this Notice to the Western Digital Corporation Stock Plans Administrator indicating that you do not wish to accept the award and your Performance Stock Units will be cancelled.</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 copy of the Plan, the Prospectus for the Plan, and the Standard Terms have been provided to you. If you need another copy of these documents, or if you would like to confirm that you have the most recent version, please contact the Corporation’s Stock Plans Administrator.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STANDARD TERMS AND CONDITIONS FOR</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305" w:right="339" w:bottom="1440" w:gutter="0" w:footer="0" w:header="0"/>
          <w:type w:val="continuous"/>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PERFORMANCE STOCK UNIT AWARD – FINANCIAL MEASURES</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Amended and Restated 2017 Performance Incentive Plan</w:t>
      </w:r>
    </w:p>
    <w:p>
      <w:pPr>
        <w:spacing w:after="0" w:line="253"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Stock Units Subject to Amended and Restated 2017 Performance Incentive Plan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Performance Stock Unit Award (the “Award”) referred to in the attached Notice of Grant of Performance Stock Units and Performance Stock Unit Award Agreement (the “Notice”) was awarded under Western Digital Corporation’s (the “Corporation’s”) Amended and Restated 2017 Performance Incentive Plan, as amended (the “Plan”). Each Performance Stock Unit covered by the Award (“Stock Unit”) is a non-voting unit of measurement that is deemed for bookkeeping purposes to be equivalent to one outstanding share of Common Stock (subject to adjustment as provided in Section 7.1 of the Plan). The holder of the Stock Units is referred to herein as the “Participant.” Stock Units shall be used solely as a device for the determination of the number of shares of Common Stock to eventually be delivered to the Participant if Stock Units held by such Participant vest pursuant to Section 4, Section 7 or Section 8 and shall not be treated as property or as a trust fund of any kind. The target number of Stock Units granted to the Participant shall be credited to an unfunded bookkeeping account maintained by the Corporation on behalf of the Participant (a “Stock Unit Account”).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Stock Units are subject to the terms and provisions of the Notice, these Standard Terms and Conditions for the Performance Stock Unit Award – Financial Measures (including any terms and conditions set forth in any appendices attached hereto) (collectively, these “Standard Terms”), and the Plan. To the extent any information in the Notice, the prospectus for the Plan, or other information provided by the Corporation conflicts with the Plan and/or these Standard Terms, the Plan or these Standard Terms, as applicable, shall control. To the extent any terms and provisions in these Standard Terms conflict with the terms and provisions of the Plan, the Plan shall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not defined herein have the meanings set forth in the Plan or in the Notice, as applicable.</w:t>
      </w:r>
    </w:p>
    <w:p>
      <w:pPr>
        <w:spacing w:after="0" w:line="221"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 Agreement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Notice and these Standard Terms (together, the “Award Agreement”) constitute the award agreement with respect to the Award pursuant to Section 5.2 of the Plan.</w:t>
      </w:r>
    </w:p>
    <w:p>
      <w:pPr>
        <w:spacing w:after="0" w:line="158"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Deferral of Stock Units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the end of the Measurement Period as set forth in the Notice, the Administrator shall determine, in accordance with the performance goals and related criteria and methodology established by the Administrator for the Measurement Period, the extent to which the performance goals have been achieved and the actual number of Stock Units becoming eligible to vest (subject to the following paragraph) based on performance during the Measurement Period. Any Stock Units (including any related Stock Units credited as dividend equivalents pursuant to Section 5) that do not become eligible to vest based on performance during the Measurement Period shall terminate as of the end of the Measurement Period when the Administrator has determined the extent to which the performance goals have not been achieved for the Measurement Period, and the Participant shall have no further rights with respect to such terminated Stock Units.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otherwise provided in this Award Agreement, and subject to Section 8 below, the number of Stock Units becoming eligible to vest based on performance during the Measurement Period shall vest on the Vesting Date. Except as expressly provided in Sections 7 and 8 below, vesting requires continued employment or service with the Corporation or one of its Subsidiaries through the Vesting Date as a condition to the vesting of any Stock Units subject to the Award and the rights and benefits under this Award Agreement. Except as expressly provided in Sections 7 and 8 below, employment or service for only a portion of the vesting period, even if a substantial portion, will not entitle the Participant to any proportionate vesting, or avoid or mitigate a termination of rights and benefits upon or following a termination of employment or services as provided in Section 8 below or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10" w:right="339" w:bottom="1440" w:gutter="0" w:footer="0" w:header="0"/>
        </w:sectPr>
      </w:pPr>
    </w:p>
    <w:bookmarkStart w:id="79" w:name="page80"/>
    <w:bookmarkEnd w:id="79"/>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 Equivalent Rights Distributions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any date that the Corporation pays an ordinary cash dividend on its Common Stock, the Corporation shall credit the Participant’s Stock Unit Account with an additional number of Stock Units equal to (i) the per share cash dividend paid by the Corporation on its Common Stock on such date, multiplied by</w:t>
      </w:r>
    </w:p>
    <w:p>
      <w:pPr>
        <w:jc w:val="both"/>
        <w:ind w:firstLine="8"/>
        <w:spacing w:after="0" w:line="253" w:lineRule="auto"/>
        <w:tabs>
          <w:tab w:leader="none" w:pos="2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Stock Units remaining subject to the Award as of the related dividend payment record date, divided by (iii) the Fair Market Value of a share of Common Stock on the date of payment of such dividend. For these purposes, any Stock Units that vest and become payable in excess of the target number of Stock Units shall be considered to have been granted on the Grant Date set forth in the Notice. The Stock Units credited pursuant to the foregoing provisions of this Section 5 shall be subject to the same vesting, payment and other terms, conditions and restrictions as the original Stock Units to which they relate.</w:t>
      </w:r>
    </w:p>
    <w:p>
      <w:pPr>
        <w:spacing w:after="0" w:line="183"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Timing and Manner of Payment of Stock Units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Section 7 below, any Stock Unit granted (or credited pursuant to Section 5) to the Participant that becomes vested (whether pursuant to Section 4, Section 7 or Section 8 hereof) shall be paid to the Participant following the Vesting Date and in the same calendar year in which the Vesting Date occurs. The Corporation shall make payment of a Stock Unit that has vested by delivering to the Participant a share of Common Stock (either by delivering one or more certificates for the shares deliverable or by entering such shares in book entry form, as determined by the Corporation in its sole discretion), subject to adjustment as provided in Section 7.1 of the Plan. The Corporation’s obligation to deliver shares of Common Stock with respect to vested Stock Units is subject to the condition precedent that the Participant (or other person entitled under the Plan to receive any shares with respect to the vested Stock Units) delivers to the Corporation any representations or other documents or assurances required pursuant to Section 8.1 of the Plan in advance of the scheduled payment date. The Participant shall have no further rights with respect to any Stock Units that are paid pursuant to this Section 6 or Section 7 hereof, or that are terminated pursuant to Section 7 or Section 8 hereof, and such Stock Units shall be removed from the Participant’s Stock Unit Account upon the date of such payment or termination. The Corporation may, in its sole discretion, settle any Stock Units credited as dividend equivalents by a cash payment equal to the fair market value of a share of Common Stock on the date of payment (as opposed to payment in the form of shares of Common Stock).</w:t>
      </w:r>
    </w:p>
    <w:p>
      <w:pPr>
        <w:spacing w:after="0" w:line="188"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Control Event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a transaction referenced in Section 7.2 of the Plan in connection with which the Corporation will not survive or will not survive as a public company in respect of its Common Stock, the Administrator may (without limiting the adjustment authority of Section 7.1 of the Plan and without limiting the flexibility of the Administrator to provide for the assumption, substitution or exchange of the Award pursuant to Section 7.2 of the Plan) provide that (i) payment for each Stock Unit that is otherwise outstanding on the date of such event and that becomes vested may be made in the form of cash in an amount equal to the fair market value of a share of Common Stock as of the date of the closing of such transaction, and/or (ii) that, as to any Stock Units outstanding with respect to a Measurement Period that has not ended on or prior to the date of such transaction, the performance measures applicable to such Measurement Period shall be deemed satisfied at the applicable “target” level (attainment of 100% of the applicable performance goal resulting in a 100% payout or vesting percentage as to that goal) or such greater level as the Administrator, in its sole discretion, may deem appropriate in the circumstances. However, notwithstanding anything otherwise provided in Section 7.2 of the Plan but subject to the following sentence, the time of payment of the Award may not be changed and shall be as set forth in Section 6 above. The Administrator may (notwithstanding the time of payment provisions of Sections 6 and 8 hereof) provide for the termination of the Stock Units subject to the Award in connection with the occurrence of a Change in Control Event in connection with which the Administrator has not made a provision for the substitution, assumption, exchange or other continuation of the Award; provided that (A) in such event, the portion of the Award that is outstanding and unvested immediately prior to such termination shall vest and become payable (as to any Stock Units outstanding with respect to a Measurement Period that has not ended on or prior to the date of Change in Control Event, the performance measures applicable to such Measurement Period shall be deemed satisfied at the applicable “target” level (attainment of 100% of the applicable performance goal resulting in a 100% payout or vesting percentage as to that goal) or such greater level as the Administrator, in its sole discretion, may deem appropriate in the circumstances), and (B) such acceleration, termination and payment of the Award satisfies the requirements of Treas. Reg. Section 1.409A-3(j)(4)(ix) (which requirements include the Change in Control Event qualifying as a change in the ownership or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05" w:right="339" w:bottom="1440" w:gutter="0" w:footer="0" w:header="0"/>
        </w:sectPr>
      </w:pPr>
    </w:p>
    <w:bookmarkStart w:id="80" w:name="page81"/>
    <w:bookmarkEnd w:id="80"/>
    <w:p>
      <w:pPr>
        <w:ind w:right="20"/>
        <w:spacing w:after="0" w:line="282" w:lineRule="auto"/>
        <w:rPr>
          <w:sz w:val="20"/>
          <w:szCs w:val="20"/>
          <w:color w:val="auto"/>
        </w:rPr>
      </w:pPr>
      <w:r>
        <w:rPr>
          <w:rFonts w:ascii="Times New Roman" w:cs="Times New Roman" w:eastAsia="Times New Roman" w:hAnsi="Times New Roman"/>
          <w:sz w:val="18"/>
          <w:szCs w:val="18"/>
          <w:color w:val="auto"/>
        </w:rPr>
        <w:t>control of the Corporation, or a change in the ownership of a substantial portion of the assets of the Corporation, within the meaning of Treas. Reg. Section 1.409A-3(i)(5)).</w:t>
      </w:r>
    </w:p>
    <w:p>
      <w:pPr>
        <w:spacing w:after="0" w:line="158"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w:t>
      </w:r>
    </w:p>
    <w:p>
      <w:pPr>
        <w:spacing w:after="0" w:line="229" w:lineRule="exact"/>
        <w:rPr>
          <w:sz w:val="20"/>
          <w:szCs w:val="20"/>
          <w:color w:val="auto"/>
        </w:rPr>
      </w:pPr>
    </w:p>
    <w:p>
      <w:pPr>
        <w:jc w:val="both"/>
        <w:ind w:firstLine="8"/>
        <w:spacing w:after="0" w:line="255" w:lineRule="auto"/>
        <w:tabs>
          <w:tab w:leader="none" w:pos="37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Generally</w:t>
      </w:r>
      <w:r>
        <w:rPr>
          <w:rFonts w:ascii="Times New Roman" w:cs="Times New Roman" w:eastAsia="Times New Roman" w:hAnsi="Times New Roman"/>
          <w:sz w:val="18"/>
          <w:szCs w:val="18"/>
          <w:color w:val="auto"/>
        </w:rPr>
        <w:t>. Except as expressly provided below in this Section 8, if the Participant ceases to be employed by or to provide services to the Corporation or its Subsidiaries for any reason (the last day that the Participant is employed by or provides services as a consultant or director to the Corporation or a Subsidiary prior to a period in which the Participant is not employed by, and does not have any such service relationship with, any such entity as determined by the Administrator is referred to as the Participant’s “Separation Date”) before the Vesting Date, the Participant’s Stock Units shall automatically be forfeited to the Corporation effective immediately following the Separation Date. If the Participant is entitled to any accelerated vesting pursuant to any provision below in this Section 8, any remaining unvested portion of the Participant’s Stock Units (after giving effect to such acceleration) shall automatically be forfeited to the Corporation effective as of immediately following the Separation Date.</w:t>
      </w:r>
    </w:p>
    <w:p>
      <w:pPr>
        <w:spacing w:after="0" w:line="188" w:lineRule="exact"/>
        <w:rPr>
          <w:rFonts w:ascii="Times New Roman" w:cs="Times New Roman" w:eastAsia="Times New Roman" w:hAnsi="Times New Roman"/>
          <w:sz w:val="18"/>
          <w:szCs w:val="18"/>
          <w:color w:val="auto"/>
        </w:rPr>
      </w:pPr>
    </w:p>
    <w:p>
      <w:pPr>
        <w:jc w:val="both"/>
        <w:ind w:firstLine="8"/>
        <w:spacing w:after="0" w:line="270" w:lineRule="auto"/>
        <w:tabs>
          <w:tab w:leader="none" w:pos="471"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Death of the Participant</w:t>
      </w:r>
      <w:r>
        <w:rPr>
          <w:rFonts w:ascii="Times New Roman" w:cs="Times New Roman" w:eastAsia="Times New Roman" w:hAnsi="Times New Roman"/>
          <w:sz w:val="17"/>
          <w:szCs w:val="17"/>
          <w:color w:val="auto"/>
        </w:rPr>
        <w:t>. In the event of the Participant’s death prior to the Vesting Date and at a time when the Participant is employed by or providing services to the Corporation or any of its Subsidiaries, a portion of the Award shall vest on the Vesting Date and shall be paid to the Participant as provided in Section 6 above. In such event, the number of Stock Units that shall become vested on the Vesting Date equals (i) the Employment Fraction (determined as set forth below) multiplied by (ii) the number of Stock Units subject to the Award that would have otherwise (had the Separation Date not occurred prior to the Vesting Date) become vested on the Vesting Date (determined before taking the acceleration contemplated by this Section 8(b) into account and before taking the crediting of dividend equivalent Stock Units pursuant to Section 5 above into account). To the extent any Stock Units become vested on the Vesting Date pursuant to the preceding sentence, the dividend equivalent Stock Units credited pursuant to Section 5 above with respect to such Stock Units shall also become vested on the Vesting Date. For purposes of this Section 8, the “Employment Fraction” equals a fraction (not greater than one), the numerator of which is the total number of calendar days in the period beginning with the first day of the Measurement Period through and including the Participant’s Separation Date, and the denominator of which is the total number of calendar days in the Measurement Period ([_____] days).</w:t>
      </w:r>
    </w:p>
    <w:p>
      <w:pPr>
        <w:spacing w:after="0" w:line="176" w:lineRule="exact"/>
        <w:rPr>
          <w:rFonts w:ascii="Times New Roman" w:cs="Times New Roman" w:eastAsia="Times New Roman" w:hAnsi="Times New Roman"/>
          <w:sz w:val="17"/>
          <w:szCs w:val="17"/>
          <w:color w:val="auto"/>
        </w:rPr>
      </w:pPr>
    </w:p>
    <w:p>
      <w:pPr>
        <w:jc w:val="both"/>
        <w:ind w:firstLine="8"/>
        <w:spacing w:after="0" w:line="254" w:lineRule="auto"/>
        <w:tabs>
          <w:tab w:leader="none" w:pos="4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 of the Participant</w:t>
      </w:r>
      <w:r>
        <w:rPr>
          <w:rFonts w:ascii="Times New Roman" w:cs="Times New Roman" w:eastAsia="Times New Roman" w:hAnsi="Times New Roman"/>
          <w:sz w:val="18"/>
          <w:szCs w:val="18"/>
          <w:color w:val="auto"/>
        </w:rPr>
        <w:t>. If the Participant Retires (as defined below) from the Corporation or one of its Subsidiaries before the Vesting Date, a portion of the Award shall vest on the Vesting Date and shall be paid to the Participant as provided in Section 6 above. In such event, the number of Stock Units that shall become vested on the Vesting Date equals (i) the Employment Fraction (determined as set forth in Section 8(b) above) multiplied by (ii) the number of Stock Units subject to the Award that would have otherwise (had the Separation Date not occurred prior to the Vesting Date) become vested on the Vesting Date (determined before taking the acceleration contemplated by this Section 8(c) into account and before taking the crediting of dividend equivalent Stock Units pursuant to Section 5 above into account). To the extent any Stock Units become vested on the Vesting Date pursuant to the preceding sentence, the dividend equivalent Stock Units credited pursuant to Section 5 above with respect to such Stock Units shall also become vested on the Vesting Date.</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 purposes of this Award Agreement, the Participant shall be deemed to have “Retired” (which term shall include “Retirement,” “Retire” and “Retires”) if the Participant retires from employment with the Corporation or one of its Subsidiaries for any reason other than Cause (as defined below) and other than due to the Participant’s death after satisfying all of the following requirements at the time of such retirement: (i) the Participant is at least 55 years of age,</w:t>
      </w:r>
    </w:p>
    <w:p>
      <w:pPr>
        <w:spacing w:after="0" w:line="1" w:lineRule="exact"/>
        <w:rPr>
          <w:sz w:val="20"/>
          <w:szCs w:val="20"/>
          <w:color w:val="auto"/>
        </w:rPr>
      </w:pPr>
    </w:p>
    <w:p>
      <w:pPr>
        <w:jc w:val="both"/>
        <w:ind w:firstLine="8"/>
        <w:spacing w:after="0" w:line="251" w:lineRule="auto"/>
        <w:tabs>
          <w:tab w:leader="none" w:pos="2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has five (5) or more whole years of credited service with the Corporation or any of its Subsidiaries ending on the date of such retirement, and (iii) the Participant’s age plus years of credited service with the Corporation or any of its Subsidiaries (including only whole years in the case of both age and credited service for purposes of this requirement) totals at least 70. The Administrator shall determine the Participant’s “years of credited service” under clauses (ii) and (iii) above; provided that, for such purposes, in no event shall the Participant accrue more than one year of service with respect to any period of twelve consecutive months (that is, concurrent employment by both the Corporation and one or more of its Subsidiaries, or by multiple Subsidiaries, for a month shall not be counted as more than one month of service). For clarity, Retirement is based on a termination of employment and not a termination of any other service relationship. However, if the Participant Retires and continues in another service capacity such that the Participant does not have a Separation Date in connection with his or her Retirement, the remaining portion of the Award not eligible to vest in connection with such Retirement shall remain eligible to vest through and until the Participant’s Separation Date should it occur before the Vesting Date (in connection with any such Separation Date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09" w:right="339" w:bottom="1440" w:gutter="0" w:footer="0" w:header="0"/>
        </w:sectPr>
      </w:pPr>
    </w:p>
    <w:bookmarkStart w:id="81" w:name="page82"/>
    <w:bookmarkEnd w:id="81"/>
    <w:p>
      <w:pPr>
        <w:jc w:val="both"/>
        <w:spacing w:after="0" w:line="282" w:lineRule="auto"/>
        <w:rPr>
          <w:sz w:val="20"/>
          <w:szCs w:val="20"/>
          <w:color w:val="auto"/>
        </w:rPr>
      </w:pPr>
      <w:r>
        <w:rPr>
          <w:rFonts w:ascii="Times New Roman" w:cs="Times New Roman" w:eastAsia="Times New Roman" w:hAnsi="Times New Roman"/>
          <w:sz w:val="18"/>
          <w:szCs w:val="18"/>
          <w:color w:val="auto"/>
        </w:rPr>
        <w:t>provisions of this Section 8 shall apply as to such portion of the Award; in the event the Participant is entitled to accelerated vesting pursuant to Section 8(b), the provisions of Section 8(b) and not this Section 8(c) shall apply).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this Award Agreement, “Cause” is used as defined in the Western Digital Corporation Executive Severance Plan or, if the Participant’s Separation Date occurs on or after a Change in Control Event, as defined in the Western Digital Corporation Amended and Restated Change of Control Severance Plan.</w:t>
      </w:r>
    </w:p>
    <w:p>
      <w:pPr>
        <w:spacing w:after="0" w:line="176" w:lineRule="exact"/>
        <w:rPr>
          <w:sz w:val="20"/>
          <w:szCs w:val="20"/>
          <w:color w:val="auto"/>
        </w:rPr>
      </w:pPr>
    </w:p>
    <w:p>
      <w:pPr>
        <w:jc w:val="both"/>
        <w:ind w:firstLine="8"/>
        <w:spacing w:after="0" w:line="255" w:lineRule="auto"/>
        <w:tabs>
          <w:tab w:leader="none" w:pos="39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Termination of Employment</w:t>
      </w:r>
      <w:r>
        <w:rPr>
          <w:rFonts w:ascii="Times New Roman" w:cs="Times New Roman" w:eastAsia="Times New Roman" w:hAnsi="Times New Roman"/>
          <w:sz w:val="18"/>
          <w:szCs w:val="18"/>
          <w:color w:val="auto"/>
        </w:rPr>
        <w:t>. In the event the Participant’s employment terminates in circumstances as to which the Participant is entitled to severance benefits pursuant to the Western Digital Corporation Executive Severance Plan (or any applicable successor executive severance plan, as each is in effect at the time of such termination of employment, and only if such severance plan then otherwise applies with respect to the Participant) (“Pre-CIC Severance Plan”), the Participant shall be treated for purposes of the Award as though the Participant Retired on the Participant’s Separation Date and Section 8(c) shall apply; provided, however, that if any Stock Units subject to the Award would (before taking this paragraph into consideration) also be subject to accelerated vesting pursuant to Section 8(b) or 8(c) above, the Stock Units shall be subject to accelerated vesting pursuant to the section (Section 8(b) or 8(c) above) that would otherwise apply in the circumstances.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the Participant’s employment terminates in circumstances as to which the Participant is entitled to severance benefits pursuant to the Western Digital Corporation Amended and Restated Change of Control Severance Plan (or any applicable successor change of control severance plan, as each is in effect at the time of such termination of employment, and only if such severance plan then otherwise applies with respect to the Participant) (“CIC Severance Plan”), the extent to which the Award vests will be determined in accordance with the applicable provisions of the CIC Severance Plan. If the Stock Units subject to the Award would (before taking this paragraph into consideration) also be subject to accelerated vesting pursuant to the immediately preceding paragraph or Section 8(b) or 8(c) above, this paragraph (and not the immediately preceding paragraph or Section 8(b) or 8(c) above) shall apply; provided, however, that if the Participant does not satisfy any applicable conditions to severance benefits set forth in the applicable CIC Severance Plan, then the Participant shall remain entitled to any accelerated vesting that would otherwise apply pursuant to Section 8(b) or 8(c) above, as applicable.</w:t>
      </w: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clarity, any accelerated or additional vesting contemplated by this Section 8(d), whether with respect to a Pre-CIC Severance Plan or a CIC Severance Plan, is subject to the Participant satisfying any applicable conditions to severance benefits set forth in the applicable Pre-CIC Severance Plan or CIC Severance Plan (such as, without limitation, any eligibility and release requirements).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treatment of the Award in any circumstances as to which the Participant is entitled to severance benefits pursuant to a Pre-CIC Severance Plan (including, without limitation, the extent (if any) to which the Award vests or accelerates in such circumstances as well as the timing of payment of the Award), and the timing of payment of the Award in any circumstances as to which the Participant is entitled to severance benefits pursuant to a CIC Severance Plan, shall be governed by this Award Agreement and not by the Pre-CIC Severance Plan or CIC Severance Plan, as the case may be. As to the Award, this Award Agreement controls in the event of any inconsistency or conflict with a Pre-CIC Severance Plan or CIC Severance Plan, and to that extent this Award Agreement amends any applicable Pre-CIC Severance Plan or CIC Severance Plan as to the Award.</w:t>
      </w:r>
    </w:p>
    <w:p>
      <w:pPr>
        <w:spacing w:after="0" w:line="210"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Administrator may accelerate the vesting of the Stock Units in such circumstances as it, in its sole discretion, may determine; provided that the time of payment of the Stock Units as otherwise set forth herein may not be changed. In addition, upon the occurrence of certain events relating to the Corporation’s stock contemplated by Section 7.1 of the Plan, the Administrator will make adjustments if appropriate in the number of Stock Units then outstanding and the number and kind of securities that may be issued in respect of the Award. No such adjustment shall be made with respect to any ordinary cash dividend for which dividend equivalents are credited or to be credited pursuant to Section 5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09" w:right="339" w:bottom="1440" w:gutter="0" w:footer="0" w:header="0"/>
        </w:sectPr>
      </w:pPr>
    </w:p>
    <w:bookmarkStart w:id="82" w:name="page83"/>
    <w:bookmarkEnd w:id="82"/>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Taxes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or in connection with the crediting, vesting or payment of Stock Units, or any other time when tax withholding may be required with respect to the Award, the Corporation (or the Subsidiary last employing the Participant) shall have the right at its option to (a) require the Participant to pay or provide for payment in cash of the amount of any taxes that the Corporation or the Subsidiary may be required to withhold with respect to such crediting, vesting, payment or other event, or (b) deduct from any amount payable to the Participant (pursuant to the Award or otherwise) the amount of any taxes that the Corporation or the Subsidiary may be required to withhold with respect to such crediting, vesting, payment or other event. In any case where a tax is required to be withheld in connection with the delivery of shares of Common Stock under this Award Agreement, the Administrator may, in its sole discretion, direct the Corporation or the Subsidiary to reduce the number of shares to be delivered by (or otherwise reacquire) the appropriate number of whole shares, valued at their then fair market value, to satisfy such withholding obligation at the applicable withholding rates. In addition, the Administrator may, in its sole discretion but only to the extent consistent with Treas. Reg. Section 1.409A-3(j)(4)(vi), reduce the number of Stock Units remaining subject to the Award, with each such Stock Unit to have a value for such purpose equal to the then fair market value of a share of Common Stock, to satisfy such withholding obligation at the applicable withholding rates.</w:t>
      </w:r>
    </w:p>
    <w:p>
      <w:pPr>
        <w:spacing w:after="0" w:line="188" w:lineRule="exact"/>
        <w:rPr>
          <w:sz w:val="20"/>
          <w:szCs w:val="20"/>
          <w:color w:val="auto"/>
        </w:rPr>
      </w:pPr>
    </w:p>
    <w:p>
      <w:pPr>
        <w:ind w:left="640" w:hanging="632"/>
        <w:spacing w:after="0"/>
        <w:tabs>
          <w:tab w:leader="none" w:pos="6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Nontransferability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the Award, nor any interest therein or amount or shares payable in respect thereof may be sold, assigned, transferred, pledged or otherwise disposed of, anticipated, alienated, encumbered, either voluntarily or involuntarily. The transfer restrictions in the preceding sentence shall not apply to (a) transfers to the Corporation (i.e., upon the termination of a Stock Unit), or (b) transfers by will or the laws of descent and distribution.</w:t>
      </w:r>
    </w:p>
    <w:p>
      <w:pPr>
        <w:spacing w:after="0" w:line="172"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Right to Employment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Nothing contained in this Award Agreement or the Plan constitutes an employment or service commitment by the Corporation or any of its Subsidiaries, affects the Participant’s status, if he or she is an employee,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 or affects the right of the Corporation or any Subsidiary to increase or decrease the Participant’s other compensation.</w:t>
      </w:r>
    </w:p>
    <w:p>
      <w:pPr>
        <w:spacing w:after="0" w:line="179"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as a Stockholder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Plan, the Notice and these Standard Terms, the Participant shall have no rights as a stockholder of the Corporation, no dividend rights (except as expressly provided in Section 5 above with respect to dividend equivalent rights) and no voting rights with respect to Stock Units awarded to the Participant and any shares of Common Stock underlying or issuable in respect of such Stock Units until such shares of Common Stock are actually issued to and held of record by the Participant. No adjustments will be made for dividends or other rights of a holder for which the record date is prior to the date of such issuance of such shares.</w:t>
      </w:r>
    </w:p>
    <w:p>
      <w:pPr>
        <w:spacing w:after="0" w:line="179"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notice to be given under the terms of this Award Agreement shall be in writing and addressed to the Corporation at its principal office to the attention of the Secretary, and to the Participant at the address last reflected on the Corporation’s payroll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or for non-U.S. employees, the government of the country where the Participant is working and/or residing. Any such notice shall be given only when received, but if the Participant is no longer employed by the Corporation or a Subsidiary, shall be deemed to have been duly given five business days after the date mailed in accordance with the foregoing provisions of this Section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05" w:right="339" w:bottom="1440" w:gutter="0" w:footer="0" w:header="0"/>
        </w:sectPr>
      </w:pPr>
    </w:p>
    <w:bookmarkStart w:id="83" w:name="page84"/>
    <w:bookmarkEnd w:id="83"/>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Arbitration</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Any controversy arising out of or relating to this Award Agreement (including these Standard Terms) and/or the Plan, their enforcement or interpretation, or because of an alleged breach, default, or misrepresentation in connection with any of their provisions, or any other controversy arising out of or related to the Award, including, but not limited to, any state or federal statutory claims (“Covered Claims”), shall be resolved in accordance with the terms and conditions of the Western Digital Technologies, Inc. Dispute Resolution Agreement (the “DRA”), except with respect to any specific performance provided for in Section 25(f) below. If, however, Participant has opted out of the DRA pursuant to Section 3.3 of the DRA, any Covered Claims by Corporation or Participant shall be submitted to arbitration pursuant to this Section 15. Such arbitration shall be held in Orange County, California, U.S.A., before a sole arbitrator selected from Judicial Arbitration and Mediation Services, Inc., Orange, California, or its successor (“JAMS”), or if JAMS is no longer able to supply the arbitrator, such arbitrator shall be selected from the American Arbitration Association, and shall be conducted in accordance with the provisions of the Federal Arbitration Act; provided, however, that provisional injunctive relief may, but need not, be sought by either party in a court of law to maintain the status quo while arbitration proceedings are pending, and any provisional injunctive relief granted by such court shall remain effective until the matter is finally determined by the arbitrator. Any such action for provisional injunctive relief shall be subject to the exclusive jurisdiction of the Delaware Chancery Court and each party consents to jurisdiction with respect to any such action in Delaware Chancery Court. Except as otherwise stated herein, this Section 15 also requires arbitration of any disputes concerning the enforceability, interpretation, and/or implementation of this Section 15 and the arbitrability of any claims brought hereunder, which shall also be decided by an arbitrator. To the fullest extent permitted by applicable law, Participant and Corporation agree to bring any Covered Claims on an individual basis only, and not on a class, collective, joint, or representative basis. If, however, the preceding sentence be determined invalid or unenforceable with respect to any particular Covered Claim, than that Covered Claim will not proceed in arbitration but rather will be resolved in a court of competent jurisdiction. If that occurs, however, this Section 15 will still be fully enforceable as to all other Covered Claims, which must be resolved in arbitration on an individual basis. Any arbitrable claims in arbitration will be resolved first and the parties agree to seek a stay of any non-arbitrable claims until the full completion of the arbitral process. Any claim that the requirement in this Section 15 that Covered Claims be arbitrated on an individual basis only is invalid, unenforceable, unconscionable, void or voidable may be determined only by a court of competent jurisdiction and not by an Arbitrator. Final resolution of any dispute through arbitration may include any and all remedies that may be obtained in a court. Statutes of limitation for Covered Claims submitted to arbitration under this Section 15 shall be the same as they would be if those claims were brought in court.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The Corporation shall be responsible for payment of the forum costs of any arbitration hereunder, including the arbitrator’s fee. Each party shall bear its own attorney’s fees and costs (other than forum costs associated with the arbitration) incurred by it or him or her in connection with the resolution of the dispute. If, however, any party prevails on a statutory claim, which affords the prevailing party attorneys’ fees and costs, then the arbitrator may award reasonable fees and costs to the prevailing party. The arbitrator may not award attorneys’ fees to a party that would not otherwise be entitled to such an award under the applicable statute. The parties acknowledge and agree that they are hereby waiving any rights to trial by jury in any action, proceeding or counterclaim brought by either of the parties against the other in connection with any matter whatsoever arising out of or in any way connected with any Covered Claim(s), either by virtue of Participant’s acceptance without opting out of the DRA or, if Participant did opt out of the DRA, by virtue of the provisions of this Section 15.</w:t>
      </w:r>
    </w:p>
    <w:p>
      <w:pPr>
        <w:spacing w:after="0" w:line="197"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Award Agreement, including these Standard Terms, shall be interpreted and construed in accordance with the laws of the State of Delaware (without regard to conflict of law principles thereunder) and applicable United States federal law.</w:t>
      </w:r>
    </w:p>
    <w:p>
      <w:pPr>
        <w:spacing w:after="0" w:line="158"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provided by Section 15, if the arbitrator selected in accordance with Section 15 above or a court of competent jurisdiction determines that any portion of this Award Agreement (including these Standard Terms) or the Plan is in violation of any statute or public policy, then only the portions of this Award Agreement or the Plan, as applicable, which are found to violate such statute or public policy shall be stricken,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305" w:right="339" w:bottom="1440" w:gutter="0" w:footer="0" w:header="0"/>
        </w:sectPr>
      </w:pPr>
    </w:p>
    <w:bookmarkStart w:id="84" w:name="page85"/>
    <w:bookmarkEnd w:id="84"/>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this Award Agreement and the Plan which are not found to violate any statute or public policy shall continue in full force and effect. Furthermore, except as otherwise provided by Section 15, it is the parties’ intent that any order striking any portion of this Award Agreement and/or the Plan should modify the stricken terms as narrowly as possible to give as much effect as possible to the intentions of the parties hereunder.</w:t>
      </w:r>
    </w:p>
    <w:p>
      <w:pPr>
        <w:spacing w:after="0" w:line="172"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Award Agreement (including these Standard Terms) and the Plan together constitute the entire agreement and supersede all prior understandings and agreements, written or oral, of the parties hereto with respect to the subject matter hereof. However, this Award Agreement shall not supersede or in any way affect the DRA, which shall remain in full force and effect, unless Participant opted out of the DRA pursuant to the provisions therein. The Plan and this Award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 Provisions of the Plan that confer discretionary authority on the Board or the Administrator do not and shall not be deemed to create any rights in the Participant unless such rights are expressly set forth herein or are otherwise in the sole discretion of the Board or the Administrator so conferred by appropriate action of the Board or the Administrator under the Plan after the Grant Date.</w:t>
      </w:r>
    </w:p>
    <w:p>
      <w:pPr>
        <w:spacing w:after="0" w:line="184"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Headings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section headings of this Award Agreement are for convenience of reference only and shall not be deemed to alter or affect any provision hereof.</w:t>
      </w:r>
    </w:p>
    <w:p>
      <w:pPr>
        <w:spacing w:after="0" w:line="221"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Appendix</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Award shall be subject to any additional terms and conditions for non-U.S. employees set forth in Appendix A attached hereto (“Appendix A”) and any terms and conditions for the Participant’s country set forth in Appendix B attached hereto (“Appendix B”). Moreover, if the Participant relocates to one of the countries included in Appendix B, the terms and conditions for such country will apply to the Participant to the extent the Corporation determines that the application of such terms and conditions is necessary or advisable for legal or administrative reasons. Appendix A and Appendix B constitute part of the Award Agreement.</w:t>
      </w:r>
    </w:p>
    <w:p>
      <w:pPr>
        <w:spacing w:after="0" w:line="179"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Imposition of Other Requirements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reserves the right to impose other requirements on the Participant’s participation in the Plan, on the Stock Units and on any shares of Common Stock acquired under the Plan, to the extent the Corporation determines it is necessary or advisable for legal or administrative reasons, and to require Participant to sign any additional agreements or undertakings that may be necessary to accomplish the foregoing.</w:t>
      </w:r>
    </w:p>
    <w:p>
      <w:pPr>
        <w:spacing w:after="0" w:line="172"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Construction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 is intended that the terms of the Award will not result in the imposition of any tax liability pursuant to Section 409A of the Code. This Award Agreement shall be construed and interpreted consistent with that intent.</w:t>
      </w:r>
    </w:p>
    <w:p>
      <w:pPr>
        <w:spacing w:after="0" w:line="158"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Stock Units, as well as any payment (whether in cash, shares of Common Stock or other property) made pursuant to the Award with respect to the Stock Units, are subject to the terms of the Corporation’s Compensation Recovery Policy (as well as any successor compensation recoupment, clawback or similar policy adopted by the Corporation or as provided by applicable law), as each may be in effect from time to time, any of which could require repayment or forfeiture of the Stock Units or any shares of Common Stock or other cash or property received with respect to the Stock Units (including any value received from a disposition of the shares acquired upon payment of the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09" w:right="339" w:bottom="1440" w:gutter="0" w:footer="0" w:header="0"/>
        </w:sectPr>
      </w:pPr>
    </w:p>
    <w:bookmarkStart w:id="85" w:name="page86"/>
    <w:bookmarkEnd w:id="85"/>
    <w:p>
      <w:pPr>
        <w:ind w:left="660" w:hanging="652"/>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Advice Regarding Grant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Participant is hereby advised to consult with his or her own tax, legal and/or investment advisors with respect to any advice the Participant may determine is needed or appropriate with respect to the Stock Units (including, without limitation, to determine the foreign, state, local, estate and/or gift tax consequences with respect to the Award). Neither the Corporation nor any of its officers, directors, affiliates or advisors makes any representation (except for the terms and conditions expressly set forth in this Award Agreement) or recommendation with respect to the Award. Except for the withholding rights set forth in Section 10 above, the Participant is solely responsible for any and all tax liability that may arise with respect to the Award.</w:t>
      </w:r>
    </w:p>
    <w:p>
      <w:pPr>
        <w:spacing w:after="0" w:line="179"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Participant Obligations</w:t>
      </w:r>
    </w:p>
    <w:p>
      <w:pPr>
        <w:spacing w:after="0" w:line="229" w:lineRule="exact"/>
        <w:rPr>
          <w:sz w:val="20"/>
          <w:szCs w:val="20"/>
          <w:color w:val="auto"/>
        </w:rPr>
      </w:pPr>
    </w:p>
    <w:p>
      <w:pPr>
        <w:ind w:firstLine="8"/>
        <w:spacing w:after="0" w:line="282" w:lineRule="auto"/>
        <w:tabs>
          <w:tab w:leader="none" w:pos="39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in accepting the Award, (i) agrees to the terms of the Award as set forth in this Award Agreement generally, and (ii) specifically (and without limiting the generality of clause (i)) agrees to the provisions of this Section 25.</w:t>
      </w:r>
    </w:p>
    <w:p>
      <w:pPr>
        <w:spacing w:after="0" w:line="161" w:lineRule="exact"/>
        <w:rPr>
          <w:rFonts w:ascii="Times New Roman" w:cs="Times New Roman" w:eastAsia="Times New Roman" w:hAnsi="Times New Roman"/>
          <w:sz w:val="18"/>
          <w:szCs w:val="18"/>
          <w:color w:val="auto"/>
        </w:rPr>
      </w:pPr>
    </w:p>
    <w:p>
      <w:pPr>
        <w:jc w:val="both"/>
        <w:ind w:firstLine="8"/>
        <w:spacing w:after="0" w:line="258" w:lineRule="auto"/>
        <w:tabs>
          <w:tab w:leader="none" w:pos="40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agrees that during the Restricted Period (as defined below), the Participant will not directly or indirectly solicit, induce or encourage, or attempt to solicit, induce or encourage, any employee or independent contractor of the Corporation or any of its Subsidiaries to leave the employ or service, as applicable, of the Corporation or any such Subsidiary, or become employed or engaged by any third party, or in any way interfere with the relationship between the Corporation or any such Subsidiary, on the one hand, and any employee or independent contractor thereof, on the other hand. This Section 25(b) does not limit any general advertising or job posting not directed at any individual or group of employees of the Corporation or any of its</w:t>
      </w:r>
    </w:p>
    <w:p>
      <w:pPr>
        <w:spacing w:after="0" w:line="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Subsidiaries. For purposes of this Award Agreement, “Restricted Period” means the period of time the Participant is employed by or provides services to the Corporation or one of its Subsidiaries and the period of twenty four (24) months after the Separation Date.</w:t>
      </w:r>
    </w:p>
    <w:p>
      <w:pPr>
        <w:spacing w:after="0" w:line="162" w:lineRule="exact"/>
        <w:rPr>
          <w:sz w:val="20"/>
          <w:szCs w:val="20"/>
          <w:color w:val="auto"/>
        </w:rPr>
      </w:pPr>
    </w:p>
    <w:p>
      <w:pPr>
        <w:jc w:val="both"/>
        <w:ind w:firstLine="8"/>
        <w:spacing w:after="0" w:line="252" w:lineRule="auto"/>
        <w:tabs>
          <w:tab w:leader="none" w:pos="4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Participant agrees that if the Participant were to become employed by, or substantially involved in, the business of a competitor of the Company or any of its Subsidiaries, it would be very difficult for the Participant not to rely on or use the Company’s and its Subsidiaries’ trade secrets and confidential information. Thus, to avoid the inevitable disclosure of the Company’s and its Subsidiaries’ trade secrets and confidential information, and to protect such trade secrets and confidential information and the Company’s and its Subsidiaries’ relationships and goodwill with customers, during the Restricted Period, the Participant will not directly or indirectly through any other person engage in, enter the employ of, render any services to, have any ownership interest in, nor participate in the financing, operation, management or control of, any Competing Business. For purposes of this Agreement, the phrase “directly or indirectly through any other Person engage in” shall include, without limitation, any direct or indirect ownership or profit participation interest in such enterprise, whether as an owner, stockholder, member, partner, joint venturer or otherwise, and shall include any direct or indirect participation in such enterprise as an employee, consultant, director, officer, advisor, licensor of technology or otherwise. For purposes of this Agreement, “Competing Business” means a person anywhere in the continental United States and elsewhere in the world where the Company or any of its Subsidiaries engages in business, or reasonably anticipates engaging in business, (the “Restricted Area”) that is engaged in design, development, manufacture, maintenance, offering, production or sales of hard disk drives or flash-based memory or other data storage devices or solutions. However, nothing in this Section 25(c) shall prohibit the Participant from being a passive owner of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outstanding stock of any class of a corporation which is publicly traded, so long as such ownership is indirect through a mutual fund, similar passive common investment fund, or a broadly-diversified account managed by an unaffiliated third party.</w:t>
      </w:r>
    </w:p>
    <w:p>
      <w:pPr>
        <w:spacing w:after="0" w:line="195" w:lineRule="exact"/>
        <w:rPr>
          <w:rFonts w:ascii="Times New Roman" w:cs="Times New Roman" w:eastAsia="Times New Roman" w:hAnsi="Times New Roman"/>
          <w:sz w:val="18"/>
          <w:szCs w:val="18"/>
          <w:color w:val="auto"/>
        </w:rPr>
      </w:pPr>
    </w:p>
    <w:p>
      <w:pPr>
        <w:jc w:val="both"/>
        <w:ind w:firstLine="8"/>
        <w:spacing w:after="0" w:line="256" w:lineRule="auto"/>
        <w:tabs>
          <w:tab w:leader="none" w:pos="48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acknowledges that, in the course of the Participant’s employment with the Company and/or its Subsidiaries and their predecessors, the Participant has become familiar, or will become familiar, with the Company’s and its Subsidiaries’ and their predecessors’ trade secrets and with other confidential and proprietary information concerning the Company, its Subsidiaries and their respective predecessors and that the Participant’s services have been and will be of special, unique and extraordinary value to the Company and its Subsidiaries. The Participant agrees that the covenants set forth in Sections 25(b) and (c) (together, the “Restrictive Covenants”) are reasonable and necessary to protect the Company’s and its Subsidiaries’ trade secrets and other confidential and proprietary information, good will, stable workforce, and customer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05" w:right="339" w:bottom="1440" w:gutter="0" w:footer="0" w:header="0"/>
        </w:sectPr>
      </w:pPr>
    </w:p>
    <w:bookmarkStart w:id="86" w:name="page87"/>
    <w:bookmarkEnd w:id="86"/>
    <w:p>
      <w:pPr>
        <w:jc w:val="both"/>
        <w:ind w:firstLine="8"/>
        <w:spacing w:after="0" w:line="253" w:lineRule="auto"/>
        <w:tabs>
          <w:tab w:leader="none" w:pos="4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Participant’s agreement in Section 25(d), the Participant (i) represents that the Participant is familiar with and has carefully considered the Restrictive Covenants, (ii) represents that the Participant is fully aware of the Participant’s obligations hereunder, (iii) agrees to the reasonableness of the length of time, scope and geographic coverage, as applicable, of the Restrictive Covenants, (iv) agrees that the Company and its Subsidiaries currently conduct business throughout the world, and (v) agrees that the Restrictive Covenants will continue in effect for the applicable periods set forth above in this Section 25 regardless of whether the Participant is then entitled to receive any form of compensation, severance pay or benefits from the Company or any of its Subsidiaries. The Participant understands that the Restrictive Covenants may limit the Participant’s ability to earn a livelihood in a business similar to the business of the Company or any of its Subsidiaries, but the Participant nevertheless believes that the Participant has received and will receive sufficient consideration and other benefits as an employee of the Company or one of its Subsidiaries, and as otherwise provided hereunder, to clearly justify such restrictions which, in any event (given the Participant’s education, skills and ability), the Participant does not believe would prevent the Participant from otherwise earning a living. The Participant agrees that the Restrictive Covenants do not confer a benefit upon the Company and its Subsidiaries that is disproportionate to the detriment of the Participant.</w:t>
      </w:r>
    </w:p>
    <w:p>
      <w:pPr>
        <w:spacing w:after="0" w:line="191" w:lineRule="exact"/>
        <w:rPr>
          <w:rFonts w:ascii="Times New Roman" w:cs="Times New Roman" w:eastAsia="Times New Roman" w:hAnsi="Times New Roman"/>
          <w:sz w:val="18"/>
          <w:szCs w:val="18"/>
          <w:color w:val="auto"/>
        </w:rPr>
      </w:pPr>
    </w:p>
    <w:p>
      <w:pPr>
        <w:jc w:val="both"/>
        <w:ind w:firstLine="8"/>
        <w:spacing w:after="0" w:line="254" w:lineRule="auto"/>
        <w:tabs>
          <w:tab w:leader="none" w:pos="38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agrees that a breach by the Participant of any of the covenants in this Section 25 would cause immediate and irreparable harm to the Company that would be difficult or impossible to measure, and that damages to the Company for any such injury would therefore be an inadequate remedy for any such breach. Therefore, the Participant agrees that in the event of any breach or threatened breach of any provision of this Section 25, the Company (or its applicable Subsidiary, as the case may be) shall be entitled, in addition to and without limitation upon all other remedies the Company (or any of its Subsidiaries) may have under this Award Agreement, at law or otherwise, to obtain specific performance, injunctive relief and/or other appropriate relief (without posting any bond or deposit) in order to enforce or prevent any violations of the provisions of this Section 25, or require the Participant to account for and pay over to the Company all compensation, profits, moneys, accruals, increments or other benefits derived from or received as a result of any transactions constituting a breach of this Section 25 if and when final judgment of a court of competent jurisdiction or arbitrator, as applicable, is so entered against the Participant. The Participant further agrees that the applicable period of time any Restrictive Covenant is in effect following the Separation Date</w:t>
      </w:r>
    </w:p>
    <w:p>
      <w:pPr>
        <w:spacing w:after="0" w:line="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shall be extended by the same amount of time that the Participant is in breach of any Restrictive Covenant following the Separation Date. The Participant further agrees that in the event of any breach of any provision of this Section 25, in addition to and without limitation upon all other remedies the Company (or any of its Subsidiaries) may have under this Award Agreement, at law or otherwise, the Award (to the extent outstanding at the time of such breach) shall automatically terminate and be forfeited as of the time of such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309" w:right="33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PERFORMANCE STOCK UNIT AWARD – FINANCIAL MEASURES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Performance Measures and Goals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[To be inserted]</w:t>
      </w:r>
    </w:p>
    <w:p>
      <w:pPr>
        <w:sectPr>
          <w:pgSz w:w="11900" w:h="16838" w:orient="portrait"/>
          <w:cols w:equalWidth="0" w:num="1">
            <w:col w:w="9019"/>
          </w:cols>
          <w:pgMar w:left="1440" w:top="131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019"/>
          </w:cols>
          <w:pgMar w:left="1440" w:top="1310" w:right="1440" w:bottom="144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TERMS AND CONDITIONS OF STOCK UNIT AWARD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NON-U.S. EMPLOYEES</w:t>
      </w:r>
    </w:p>
    <w:p>
      <w:pPr>
        <w:spacing w:after="0" w:line="230" w:lineRule="exact"/>
        <w:rPr>
          <w:sz w:val="20"/>
          <w:szCs w:val="20"/>
          <w:color w:val="auto"/>
        </w:rPr>
      </w:pPr>
    </w:p>
    <w:p>
      <w:pPr>
        <w:ind w:left="1780" w:hanging="638"/>
        <w:spacing w:after="0"/>
        <w:tabs>
          <w:tab w:leader="none" w:pos="17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of Plan Participation for Non-U.S. Participants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Participant understands that this Appendix A contains additional terms and conditions that, together with the Plan and the Award Agreement, govern the Participant’s participation in the Plan if the Participant is working or resident in a country other than the United States. The Participant further understands that the Participant’s participation in the Plan also will be subject to any terms and conditions for the Participant’s country set forth in Appendix B attached hereto. </w:t>
      </w:r>
      <w:r>
        <w:rPr>
          <w:rFonts w:ascii="Times New Roman" w:cs="Times New Roman" w:eastAsia="Times New Roman" w:hAnsi="Times New Roman"/>
          <w:sz w:val="18"/>
          <w:szCs w:val="18"/>
          <w:i w:val="1"/>
          <w:iCs w:val="1"/>
          <w:color w:val="auto"/>
        </w:rPr>
        <w:t>Capitalized terms used but not defined in this Appendix A shall have the same meanings assigned to them in the Plan and/or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Award Agreement.</w:t>
      </w:r>
    </w:p>
    <w:p>
      <w:pPr>
        <w:spacing w:after="0" w:line="206" w:lineRule="exact"/>
        <w:rPr>
          <w:sz w:val="20"/>
          <w:szCs w:val="20"/>
          <w:color w:val="auto"/>
        </w:rPr>
      </w:pPr>
    </w:p>
    <w:p>
      <w:pPr>
        <w:ind w:left="1780" w:hanging="638"/>
        <w:spacing w:after="0"/>
        <w:tabs>
          <w:tab w:leader="none" w:pos="17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 supplements Section 10 of the Standard Terms:</w:t>
      </w:r>
    </w:p>
    <w:p>
      <w:pPr>
        <w:spacing w:after="0" w:line="2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Participant acknowledges that, regardless of any action taken by the Corporation or, if different, the Participant’s employer (“Employer”), the ultimate liability for all income tax, social insurance, payroll tax, fringe benefits tax, payment on account or other tax-related items related to the Participant’s participation in the Plan and this Award and legally applicable to the Participant (“Tax-Related Items”) is and remains the Participant’s responsibility and may exceed the amount, if any, actually withheld by the Corporation or the Employer. The Participant further acknowledges that the Corporation and/or the Employer (a) make no representations or undertakings regarding the treatment of any Tax-Related Items in connection with any aspect of the Stock Units, including, but not limited to, the grant, vesting or settlement of the Stock Units, the subsequent sale of shares of Common Stock acquired pursuant to such settlement and the receipt of any dividends and/or any dividend equivalents; and (b) do not commit to and are under no obligation to structure the terms of the grant or any aspect of the Stock Units to reduce or eliminate the Participant’s liability for Tax-Related Items or achieve any particular tax result. If the Participant is or becomes subject to Tax-Related Items in more than one jurisdiction, the Participant acknowledges that the Corporation and/or the Employer (or former employer, as applicable) may be required to withhold or account for Tax-Related Items in more than one jurisdiction.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Participant agrees, prior to any relevant taxable or tax withholding event, as applicable, to make adequate arrangements satisfactory to the Corporation and/or the Employer to satisfy all Tax-Related Items. In this regard, the Participant authorizes the Corporation and/or the Employer, or their respective agents, at the Corporation’s discretion, to satisfy the obligations with regard to all Tax-Related Items by one or a combination of the methods set forth in Section 8.5 of the Plan and Section 10 of the Standard Terms. In addition, the Participant authorizes withholding from proceeds of the sale of shares of Common Stock acquired upon settlement of the Stock Units either through a voluntary sale or through a mandatory sale arranged by the Corporation (on the Participant’s behalf pursuant to this authorization without further consent). If the Participant is subject to Section 16 of the Exchange Act, then withholding for Tax-Related Items shall be satisfied in accordance with Section 8.5 of the Plan, Section 10 of the Standard Terms, and the withholding methodology approved by the Administrator for officers subject to Section 16 of the Exchange Act.</w:t>
      </w:r>
    </w:p>
    <w:p>
      <w:pPr>
        <w:spacing w:after="0" w:line="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Depending on the withholding method, the Corporation and/or the Employer may withhold or account for Tax-Related Items by considering applicable minimum withholding amounts or other applicable withholding rates, including maximum applicable rates in the Participant's jurisdiction(s), in which case the Participant may receive a refund of any over-withheld amount in cash and will have no entitlement to the equivalent in Common Stock. If the Tax-Related Items are satisfied by withholding in shares of Common Stock, for tax purposes, the Participant is deemed to have been issued the full number of shares subject to the vested Stock Units, notwithstanding that a number of the Shares are held back solely for the purpose of paying the Tax-Related Items.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Participant further agrees to pay to the Corporation or the Employer, any amount of Tax-Related Items that the Corporation or the Employer may be required to withhold or account for as a result of the Participant’s participation in the Plan that cannot be satisfied by the means previously described. The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305" w:right="339" w:bottom="1440" w:gutter="0" w:footer="0" w:header="0"/>
        </w:sectPr>
      </w:pPr>
    </w:p>
    <w:bookmarkStart w:id="89" w:name="page90"/>
    <w:bookmarkEnd w:id="89"/>
    <w:p>
      <w:pPr>
        <w:ind w:right="20"/>
        <w:spacing w:after="0" w:line="282" w:lineRule="auto"/>
        <w:rPr>
          <w:sz w:val="20"/>
          <w:szCs w:val="20"/>
          <w:color w:val="auto"/>
        </w:rPr>
      </w:pPr>
      <w:r>
        <w:rPr>
          <w:rFonts w:ascii="Times New Roman" w:cs="Times New Roman" w:eastAsia="Times New Roman" w:hAnsi="Times New Roman"/>
          <w:sz w:val="18"/>
          <w:szCs w:val="18"/>
          <w:color w:val="auto"/>
        </w:rPr>
        <w:t>Corporation may refuse to issue or deliver the shares of Common Stock or the proceeds from the sale of shares if the Participant fails to comply with the Participant’s obligations in connection with the Tax-Related Items.</w:t>
      </w:r>
    </w:p>
    <w:p>
      <w:pPr>
        <w:spacing w:after="0" w:line="158" w:lineRule="exact"/>
        <w:rPr>
          <w:sz w:val="20"/>
          <w:szCs w:val="20"/>
          <w:color w:val="auto"/>
        </w:rPr>
      </w:pPr>
    </w:p>
    <w:p>
      <w:pPr>
        <w:ind w:left="1620" w:hanging="640"/>
        <w:spacing w:after="0"/>
        <w:tabs>
          <w:tab w:leader="none" w:pos="16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Grant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accepting the Stock Units and any shares of Common Stock, the Participant acknowledges, understands and agrees that:</w:t>
      </w:r>
    </w:p>
    <w:p>
      <w:pPr>
        <w:spacing w:after="0" w:line="225" w:lineRule="exact"/>
        <w:rPr>
          <w:sz w:val="20"/>
          <w:szCs w:val="20"/>
          <w:color w:val="auto"/>
        </w:rPr>
      </w:pPr>
    </w:p>
    <w:p>
      <w:pPr>
        <w:ind w:firstLine="1304"/>
        <w:spacing w:after="0" w:line="282" w:lineRule="auto"/>
        <w:tabs>
          <w:tab w:leader="none" w:pos="154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Corporation, it is discretionary in nature, and may be amended, suspended or terminated by the Corporation at any time, to the extent permitted by the Plan;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7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Stock Units is exceptional, voluntary and occasional and does not create any contractual or other right to receive future grants of Stock Units, or benefits in lieu of Stock Units, even if Stock Units have been granted in the past;</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Stock Units or other grants, if any, will be at the sole discretion of the Corporation;</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is voluntary participating in the Plan;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4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Units and any shares of Common Stock acquired under the Plan, and the income and value of the same, are not intended to replace any pension rights or compensation;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2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Units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Corporation or the Employer or any Subsidiary;</w:t>
      </w:r>
    </w:p>
    <w:p>
      <w:pPr>
        <w:spacing w:after="0" w:line="210"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of Common Stock underlying the Stock Units is unknown, indeterminable, and cannot be predicted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certainty;</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with the Corporation, the Stock Units and the shares of Common Stock acquired under the Plan, and the income and value of same, are not granted as consideration for, or in connection with, the service the Participant may provide as a director of any Subsidiary;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Stock Units resulting from the termination of the Participant’s employment (for any reason whatsoever, whether or not later found to be invalid or in breach of employment laws in the jurisdiction where the Participant is employed or providing services, or the terms of the Participant’s employment or service agreement, if any);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Corporation in its discretion, the Stock Units and the benefits evidenced by the Award Agreement do not create any entitlement to have the Stock Units or any such benefits transferred to, or assumed by, another company nor to be exchanged, cashed out or substituted for, in connection with any corporate transaction affecting the shares;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Corporation, the Employer nor any Subsidiary shall be liable for any foreign exchange rate fluctuation between the Participant’s local currency and the U.S. dollar that may affect the value of the Stock Units or of any amounts due to the Participant pursuant to the vesting of the Stock Units or the subsequent sale of any shares of Common Stock acquired upon vesting.</w:t>
      </w:r>
    </w:p>
    <w:p>
      <w:pPr>
        <w:spacing w:after="0" w:line="171" w:lineRule="exact"/>
        <w:rPr>
          <w:rFonts w:ascii="Times New Roman" w:cs="Times New Roman" w:eastAsia="Times New Roman" w:hAnsi="Times New Roman"/>
          <w:sz w:val="18"/>
          <w:szCs w:val="18"/>
          <w:color w:val="auto"/>
        </w:rPr>
      </w:pPr>
    </w:p>
    <w:p>
      <w:pPr>
        <w:ind w:left="1780" w:hanging="638"/>
        <w:spacing w:after="0"/>
        <w:tabs>
          <w:tab w:leader="none" w:pos="17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Data Privacy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By accepting the Stock Units via the Corporation’s acceptance procedure, the Participant is declaring that he or she agrees with the data processing practices described herein and consents to the collection, processing and use of Personal Data (as defined below) by the Corporation and the transfer of Personal Data to the recipients mentioned herein, including recipients located in countries which do not adduce an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30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level of protection from a European (or other non-U.S.) data protection law perspective, for the purposes described herein.</w:t>
      </w:r>
    </w:p>
    <w:p>
      <w:pPr>
        <w:spacing w:after="0" w:line="225" w:lineRule="exact"/>
        <w:rPr>
          <w:sz w:val="20"/>
          <w:szCs w:val="20"/>
          <w:color w:val="auto"/>
        </w:rPr>
      </w:pPr>
    </w:p>
    <w:p>
      <w:pPr>
        <w:jc w:val="both"/>
        <w:ind w:firstLine="1466"/>
        <w:spacing w:after="0" w:line="259" w:lineRule="auto"/>
        <w:tabs>
          <w:tab w:leader="none" w:pos="17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Declaration of Consent</w:t>
      </w:r>
      <w:r>
        <w:rPr>
          <w:rFonts w:ascii="Times New Roman" w:cs="Times New Roman" w:eastAsia="Times New Roman" w:hAnsi="Times New Roman"/>
          <w:sz w:val="18"/>
          <w:szCs w:val="18"/>
          <w:b w:val="1"/>
          <w:bCs w:val="1"/>
          <w:i w:val="1"/>
          <w:iCs w:val="1"/>
          <w:color w:val="auto"/>
        </w:rPr>
        <w:t>. The Participant understands that he or she needs to review the following information about the processing of the Participant’s personal data by or on behalf of the Corporation, the Employer and/or any Subsidiary as described in this Award Agreement and any other Stock Unit grant materials (the “Personal Data”) and declare his or her consent. As regards the processing of the Participant’s Personal Data in connection with the Plan and this Award Agreement, the Participant understands that the Corporation is the controller of the Participant’s Personal Data.</w:t>
      </w:r>
    </w:p>
    <w:p>
      <w:pPr>
        <w:spacing w:after="0" w:line="179" w:lineRule="exact"/>
        <w:rPr>
          <w:rFonts w:ascii="Times New Roman" w:cs="Times New Roman" w:eastAsia="Times New Roman" w:hAnsi="Times New Roman"/>
          <w:sz w:val="18"/>
          <w:szCs w:val="18"/>
          <w:b w:val="1"/>
          <w:bCs w:val="1"/>
          <w:color w:val="auto"/>
        </w:rPr>
      </w:pPr>
    </w:p>
    <w:p>
      <w:pPr>
        <w:jc w:val="both"/>
        <w:ind w:firstLine="1466"/>
        <w:spacing w:after="0" w:line="256" w:lineRule="auto"/>
        <w:tabs>
          <w:tab w:leader="none" w:pos="1723"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Data Processing and Legal Basis</w:t>
      </w:r>
      <w:r>
        <w:rPr>
          <w:rFonts w:ascii="Times New Roman" w:cs="Times New Roman" w:eastAsia="Times New Roman" w:hAnsi="Times New Roman"/>
          <w:sz w:val="18"/>
          <w:szCs w:val="18"/>
          <w:b w:val="1"/>
          <w:bCs w:val="1"/>
          <w:i w:val="1"/>
          <w:iCs w:val="1"/>
          <w:color w:val="auto"/>
        </w:rPr>
        <w:t>. The Corporation collects, uses and otherwise processes Personal Data about the Participant for the purposes of allocating shares of Common Stock and implementing, administering and managing the Plan. The Participant understands that this Personal Data may include, without limitation, the Participant’s name, home address and telephone number, email address, date of birth, social insurance number, passport number or other identification number (e.g., resident registration number), salary, nationality, job title, any shares of stock or directorships held in the Corporation or its Subsidiaries, details of all Stock Units or any other entitlement to shares of stock or equivalent benefits awarded, canceled, exercised, vested, unvested or outstanding in the Participant’s favor. The legal basis for the processing of the Participant’s Personal Data will be the Participant’s consent.</w:t>
      </w:r>
    </w:p>
    <w:p>
      <w:pPr>
        <w:spacing w:after="0" w:line="182" w:lineRule="exact"/>
        <w:rPr>
          <w:rFonts w:ascii="Times New Roman" w:cs="Times New Roman" w:eastAsia="Times New Roman" w:hAnsi="Times New Roman"/>
          <w:sz w:val="18"/>
          <w:szCs w:val="18"/>
          <w:b w:val="1"/>
          <w:bCs w:val="1"/>
          <w:color w:val="auto"/>
        </w:rPr>
      </w:pPr>
    </w:p>
    <w:p>
      <w:pPr>
        <w:jc w:val="both"/>
        <w:ind w:firstLine="1466"/>
        <w:spacing w:after="0" w:line="255" w:lineRule="auto"/>
        <w:tabs>
          <w:tab w:leader="none" w:pos="1729"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Stock Plan Administration Service Providers</w:t>
      </w:r>
      <w:r>
        <w:rPr>
          <w:rFonts w:ascii="Times New Roman" w:cs="Times New Roman" w:eastAsia="Times New Roman" w:hAnsi="Times New Roman"/>
          <w:sz w:val="18"/>
          <w:szCs w:val="18"/>
          <w:b w:val="1"/>
          <w:bCs w:val="1"/>
          <w:i w:val="1"/>
          <w:iCs w:val="1"/>
          <w:color w:val="auto"/>
        </w:rPr>
        <w:t>. The Participant understands that the Corporation transfers the Participant’s Personal Data, or parts thereof, to E*TRADE Financial Corporation Services, Inc. (and its affiliated companies), an independent service provider based in the United States or IBI Capital for Israeli employees, each of which assists the Corporation with the implementation, administration and management of the Plan. In the future, the Corporation may select a different service provider and share the Participant’s Personal Data with such different service provider that serves the Corporation in a similar manner. The Participant understands and acknowledges that the Corporation’s service provider will open an account for the Participant to receive and trade Shares acquired under the Plan and that the Participant will be asked to agree on separate terms and data processing practices with the service provider, which is a condition of the Participant’s ability to participate in the Plan.</w:t>
      </w:r>
    </w:p>
    <w:p>
      <w:pPr>
        <w:spacing w:after="0" w:line="184" w:lineRule="exact"/>
        <w:rPr>
          <w:rFonts w:ascii="Times New Roman" w:cs="Times New Roman" w:eastAsia="Times New Roman" w:hAnsi="Times New Roman"/>
          <w:sz w:val="18"/>
          <w:szCs w:val="18"/>
          <w:b w:val="1"/>
          <w:bCs w:val="1"/>
          <w:color w:val="auto"/>
        </w:rPr>
      </w:pPr>
    </w:p>
    <w:p>
      <w:pPr>
        <w:jc w:val="both"/>
        <w:ind w:firstLine="1466"/>
        <w:spacing w:after="0" w:line="254" w:lineRule="auto"/>
        <w:tabs>
          <w:tab w:leader="none" w:pos="1736"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International Data Transfers.</w:t>
      </w:r>
      <w:r>
        <w:rPr>
          <w:rFonts w:ascii="Times New Roman" w:cs="Times New Roman" w:eastAsia="Times New Roman" w:hAnsi="Times New Roman"/>
          <w:sz w:val="18"/>
          <w:szCs w:val="18"/>
          <w:b w:val="1"/>
          <w:bCs w:val="1"/>
          <w:i w:val="1"/>
          <w:iCs w:val="1"/>
          <w:color w:val="auto"/>
        </w:rPr>
        <w:t xml:space="preserve"> The Participant understands that the Corporation and, as of the date hereof, any third parties assisting in the implementation, administration and management of the Plan, such as the Corporation’s service providers, are based in the United States. If the Participant is located outside the United States, the Participant understands and acknowledges that the Participant’s country has enacted data privacy laws that are different from the laws of the United States. Transfers of personal data from the EEA or the United Kingdom to the United States can be made on the basis of Standard Contractual Clauses approved by the European Commission, United Kingdom or other appropriate safeguards permissible under the applicable law. If the Participant is located in the EU, EEA or the United Kingdom, the Corporation may receive, process and transfer the Participant’s Personal Data onward to third-party service providers solely on the basis of appropriate data transfer agreements or other appropriate safeguards permissible under applicable law. If applicable, the Participant understands that the Participant can ask for a copy of the appropriate data processing agreements underlying the transfer of the Participant’s Personal Data by contacting the Participant’s local human resources representative. The Corporation’s legal basis for the transfer of the Participant’s Personal Data is the Participant’s consent.</w:t>
      </w:r>
    </w:p>
    <w:p>
      <w:pPr>
        <w:spacing w:after="0" w:line="185" w:lineRule="exact"/>
        <w:rPr>
          <w:rFonts w:ascii="Times New Roman" w:cs="Times New Roman" w:eastAsia="Times New Roman" w:hAnsi="Times New Roman"/>
          <w:sz w:val="18"/>
          <w:szCs w:val="18"/>
          <w:b w:val="1"/>
          <w:bCs w:val="1"/>
          <w:color w:val="auto"/>
        </w:rPr>
      </w:pPr>
    </w:p>
    <w:p>
      <w:pPr>
        <w:jc w:val="both"/>
        <w:ind w:firstLine="1466"/>
        <w:spacing w:after="0" w:line="257" w:lineRule="auto"/>
        <w:tabs>
          <w:tab w:leader="none" w:pos="1716"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Data Retention.</w:t>
      </w:r>
      <w:r>
        <w:rPr>
          <w:rFonts w:ascii="Times New Roman" w:cs="Times New Roman" w:eastAsia="Times New Roman" w:hAnsi="Times New Roman"/>
          <w:sz w:val="18"/>
          <w:szCs w:val="18"/>
          <w:b w:val="1"/>
          <w:bCs w:val="1"/>
          <w:i w:val="1"/>
          <w:iCs w:val="1"/>
          <w:color w:val="auto"/>
        </w:rPr>
        <w:t xml:space="preserve"> The Participant understands that the Corporation will use the Participant’s Personal Data only as long as is necessary to implement, administer and manage the Participant’s participation in the Plan, or to comply with legal or regulatory obligations, including under tax and securities laws. In the latter case, the Participant understands and acknowledges that the Corporation’s legal basis for the processing of the Participant’s Personal Data would be compliance with the relevant laws or regulations or the pursuit by the Corporation of respective legitimate interests not outweighed by the Participant’s interests, rights or freedoms. When the Corporation no longer needs the Participant’s Personal Data for any of the above purposes, the Participant understands the Corporation will remove it from its systems.</w:t>
      </w:r>
    </w:p>
    <w:p>
      <w:pPr>
        <w:spacing w:after="0" w:line="182" w:lineRule="exact"/>
        <w:rPr>
          <w:rFonts w:ascii="Times New Roman" w:cs="Times New Roman" w:eastAsia="Times New Roman" w:hAnsi="Times New Roman"/>
          <w:sz w:val="18"/>
          <w:szCs w:val="18"/>
          <w:b w:val="1"/>
          <w:bCs w:val="1"/>
          <w:color w:val="auto"/>
        </w:rPr>
      </w:pPr>
    </w:p>
    <w:p>
      <w:pPr>
        <w:jc w:val="both"/>
        <w:ind w:firstLine="1466"/>
        <w:spacing w:after="0" w:line="268" w:lineRule="auto"/>
        <w:tabs>
          <w:tab w:leader="none" w:pos="1737"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Voluntariness and Consequences of Denial/Withdrawal of Consent</w:t>
      </w:r>
      <w:r>
        <w:rPr>
          <w:rFonts w:ascii="Times New Roman" w:cs="Times New Roman" w:eastAsia="Times New Roman" w:hAnsi="Times New Roman"/>
          <w:sz w:val="18"/>
          <w:szCs w:val="18"/>
          <w:b w:val="1"/>
          <w:bCs w:val="1"/>
          <w:i w:val="1"/>
          <w:iCs w:val="1"/>
          <w:color w:val="auto"/>
        </w:rPr>
        <w:t>. The Participant understands that the Participant’s participation in the Plan and the Participant’s grant of consent is purely voluntary. The Participant may deny or later withdraw the Participant’s consent at any time, with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305" w:right="339" w:bottom="1440" w:gutter="0" w:footer="0" w:header="0"/>
        </w:sectPr>
      </w:pPr>
    </w:p>
    <w:bookmarkStart w:id="91" w:name="page92"/>
    <w:bookmarkEnd w:id="91"/>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effect and for any or no reason. If the Participant denies or later withdraws the Participant’s consent, the Corporation can no longer offer the Participant participation in the Plan or offer other awards to the Participant or administer or maintain such awards and the Participant would no longer be able to participate in the Plan. The Participant further understands that denial or withdrawal of the Participant’s consent would not affect the Participant’s status or salary as an employee or the Participant’s career and that the Participant would merely forfeit the opportunities associated with the Plan.</w:t>
      </w:r>
    </w:p>
    <w:p>
      <w:pPr>
        <w:spacing w:after="0" w:line="179" w:lineRule="exact"/>
        <w:rPr>
          <w:sz w:val="20"/>
          <w:szCs w:val="20"/>
          <w:color w:val="auto"/>
        </w:rPr>
      </w:pPr>
    </w:p>
    <w:p>
      <w:pPr>
        <w:jc w:val="both"/>
        <w:ind w:firstLine="1466"/>
        <w:spacing w:after="0" w:line="253" w:lineRule="auto"/>
        <w:tabs>
          <w:tab w:leader="none" w:pos="17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Data Subject Rights.</w:t>
      </w:r>
      <w:r>
        <w:rPr>
          <w:rFonts w:ascii="Times New Roman" w:cs="Times New Roman" w:eastAsia="Times New Roman" w:hAnsi="Times New Roman"/>
          <w:sz w:val="18"/>
          <w:szCs w:val="18"/>
          <w:b w:val="1"/>
          <w:bCs w:val="1"/>
          <w:i w:val="1"/>
          <w:iCs w:val="1"/>
          <w:color w:val="auto"/>
        </w:rPr>
        <w:t xml:space="preserve"> 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Corporation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the Participant’s objection, does not prove to be compelling, or processed in non-compliance with applicable legal requirements, (iv) request the Corporation to restrict the processing of the Participant’s Personal Data in certain situations where the Participant feels its processing is inappropriate, (v) object, in certain circumstances, to the processing of Personal Data for legitimate interests, and to (vi) request portability of the Participant’s Personal Data that the Participant has actively or passively provided to the Corporation (which does not include data derived or inferred from the collected data), where the processing of such Personal Data is based on consent or the Participant’s employment or service contract and is carried out by automated means. In case of concerns, the Participant understands that the Participant may also have the right to lodge a complaint with the competent local data protection authority. Further, to receive clarification of, or to exercise any of, the Participant’s rights the Participant understands that the Participant should contact the Participant’s local human resources representative.</w:t>
      </w:r>
    </w:p>
    <w:p>
      <w:pPr>
        <w:spacing w:after="0" w:line="185" w:lineRule="exact"/>
        <w:rPr>
          <w:rFonts w:ascii="Times New Roman" w:cs="Times New Roman" w:eastAsia="Times New Roman" w:hAnsi="Times New Roman"/>
          <w:sz w:val="18"/>
          <w:szCs w:val="18"/>
          <w:b w:val="1"/>
          <w:bCs w:val="1"/>
          <w:color w:val="auto"/>
        </w:rPr>
      </w:pPr>
    </w:p>
    <w:p>
      <w:pPr>
        <w:jc w:val="both"/>
        <w:ind w:firstLine="1466"/>
        <w:spacing w:after="0" w:line="256" w:lineRule="auto"/>
        <w:tabs>
          <w:tab w:leader="none" w:pos="1723"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Alternate Basis and Additional Consents.</w:t>
      </w:r>
      <w:r>
        <w:rPr>
          <w:rFonts w:ascii="Times New Roman" w:cs="Times New Roman" w:eastAsia="Times New Roman" w:hAnsi="Times New Roman"/>
          <w:sz w:val="18"/>
          <w:szCs w:val="18"/>
          <w:b w:val="1"/>
          <w:bCs w:val="1"/>
          <w:i w:val="1"/>
          <w:iCs w:val="1"/>
          <w:color w:val="auto"/>
        </w:rPr>
        <w:t xml:space="preserve"> Finally, the Participant understands that the Corporation may rely on a different basis for the processing or transfer of Personal Data in the future and/or request that the Participant provide another data privacy consent. If applicable, the Participant agrees that upon request of the Corporation or the Employer, the Participant will provide an executed acknowledgement or data privacy consent form (or any other agreements or consents) that the Corporation and/or the Employer may deem necessary to obtain from the Participant for the purpose of administering the Participant’s participation in the Plan in compliance with the data privacy laws in the Participant’s country, either now or in the future. The Participant understands and agrees that he or she will not be able to participate in the Plan if he or she fails to provide any such consent or agreement requested by the Corporation and/or the Employer.</w:t>
      </w:r>
    </w:p>
    <w:p>
      <w:pPr>
        <w:spacing w:after="0" w:line="200" w:lineRule="exact"/>
        <w:rPr>
          <w:sz w:val="20"/>
          <w:szCs w:val="20"/>
          <w:color w:val="auto"/>
        </w:rPr>
      </w:pPr>
    </w:p>
    <w:p>
      <w:pPr>
        <w:spacing w:after="0" w:line="226" w:lineRule="exact"/>
        <w:rPr>
          <w:sz w:val="20"/>
          <w:szCs w:val="20"/>
          <w:color w:val="auto"/>
        </w:rPr>
      </w:pPr>
    </w:p>
    <w:p>
      <w:pPr>
        <w:ind w:left="1780" w:hanging="638"/>
        <w:spacing w:after="0"/>
        <w:tabs>
          <w:tab w:leader="none" w:pos="17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Delivery and Acceptance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Participant agrees that the Corporation may decide, in its sole discretion, to deliver by email or other electronic means any documents relating to the Plan or the Stock Units. Further, the Participant agrees to participate in the Plan through an on-line or electronic system established and maintained by the Corporation or by a third party designated by the Corporation.</w:t>
      </w:r>
    </w:p>
    <w:p>
      <w:pPr>
        <w:spacing w:after="0" w:line="200" w:lineRule="exact"/>
        <w:rPr>
          <w:sz w:val="20"/>
          <w:szCs w:val="20"/>
          <w:color w:val="auto"/>
        </w:rPr>
      </w:pPr>
    </w:p>
    <w:p>
      <w:pPr>
        <w:spacing w:after="0" w:line="215" w:lineRule="exact"/>
        <w:rPr>
          <w:sz w:val="20"/>
          <w:szCs w:val="20"/>
          <w:color w:val="auto"/>
        </w:rPr>
      </w:pPr>
    </w:p>
    <w:p>
      <w:pPr>
        <w:ind w:left="1780" w:hanging="638"/>
        <w:spacing w:after="0"/>
        <w:tabs>
          <w:tab w:leader="none" w:pos="17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Insider Trading/ Market Abuse Laws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By participating in the Plan, the Participant agrees to comply with the Corporation’s policy on insider trading (to the extent that it is applicable to the Participant). Depending on the Participant’s country or the designated broker's country or country where the Common Stock is listed, the Participant may be subject to insider trading restrictions and/or market abuse laws, which may affect the Participant’s ability to accept, acquire, sell, attempt to sell or otherwise dispose of Common Stock, rights to Common Stock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Stock Units) or rights linked to the value of Common Stock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phantom awards, futures) during such times as the Participant is considered to have “inside information” regarding the Corporation (as defined by the laws or regulations in the Participant’s country). Local insider trading laws and regulations may prohibit the cancellation or amendment of orders the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305" w:right="339" w:bottom="1440" w:gutter="0" w:footer="0" w:header="0"/>
        </w:sectPr>
      </w:pPr>
    </w:p>
    <w:bookmarkStart w:id="92" w:name="page93"/>
    <w:bookmarkEnd w:id="92"/>
    <w:p>
      <w:pPr>
        <w:jc w:val="both"/>
        <w:spacing w:after="0" w:line="258" w:lineRule="auto"/>
        <w:rPr>
          <w:sz w:val="20"/>
          <w:szCs w:val="20"/>
          <w:color w:val="auto"/>
        </w:rPr>
      </w:pPr>
      <w:r>
        <w:rPr>
          <w:rFonts w:ascii="Times New Roman" w:cs="Times New Roman" w:eastAsia="Times New Roman" w:hAnsi="Times New Roman"/>
          <w:sz w:val="18"/>
          <w:szCs w:val="18"/>
          <w:color w:val="auto"/>
        </w:rPr>
        <w:t>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any applicable Corporation insider trading policy. The Participant is responsible for ensuring compliance with any applicable restrictions and should consult his or her personal legal advisor on this matter.</w:t>
      </w:r>
    </w:p>
    <w:p>
      <w:pPr>
        <w:spacing w:after="0" w:line="206" w:lineRule="exact"/>
        <w:rPr>
          <w:sz w:val="20"/>
          <w:szCs w:val="20"/>
          <w:color w:val="auto"/>
        </w:rPr>
      </w:pPr>
    </w:p>
    <w:p>
      <w:pPr>
        <w:ind w:left="1780" w:hanging="638"/>
        <w:spacing w:after="0"/>
        <w:tabs>
          <w:tab w:leader="none" w:pos="17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 Tax and/or Foreign Asset/Account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 equivalents paid with respect to the Stock Units or dividends paid on shares of Common Stock acquired under the Plan) in a brokerage/bank account or legal entity outside the Participant’s country. The Participant may be required to report such accounts, assets, the balances therein, the value thereof and/or the transactions related thereto to the tax or other authorities in the Participant’s country. The Participant also may be required to repatriate sale proceeds or other funds received as a result of the Participant’s participation in the Plan to the Participant’s country through a designated bank or broker within a certain time after receipt. The Participant acknowledges that it is the Participant’s responsibility to be compliant with such regulations, and the Participant should consult his or her personal legal advisor for any details.</w:t>
      </w:r>
    </w:p>
    <w:p>
      <w:pPr>
        <w:spacing w:after="0" w:line="215" w:lineRule="exact"/>
        <w:rPr>
          <w:sz w:val="20"/>
          <w:szCs w:val="20"/>
          <w:color w:val="auto"/>
        </w:rPr>
      </w:pPr>
    </w:p>
    <w:p>
      <w:pPr>
        <w:ind w:left="1780" w:hanging="638"/>
        <w:spacing w:after="0"/>
        <w:tabs>
          <w:tab w:leader="none" w:pos="17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Language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Participant acknowledges that he or she is sufficiently proficient in English, or has consulted with an advisor who is sufficiently proficient in English so as to allow the Participant to understand the terms and conditions of this Award Agreement. Furthermore, if the Award Agreement or any other document related to the Plan has been translated into a language other than English and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309"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825625" cy="3086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825625" cy="30861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b w:val="1"/>
          <w:bCs w:val="1"/>
          <w:color w:val="auto"/>
        </w:rPr>
        <w:t>Western Digital Corporation</w:t>
      </w:r>
    </w:p>
    <w:p>
      <w:pPr>
        <w:spacing w:after="0" w:line="1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color w:val="auto"/>
        </w:rPr>
        <w:t>5601 Great Oaks Parkway</w:t>
      </w:r>
    </w:p>
    <w:p>
      <w:pPr>
        <w:spacing w:after="0" w:line="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color w:val="auto"/>
        </w:rPr>
        <w:t>San Jose, California 95119</w:t>
      </w:r>
    </w:p>
    <w:p>
      <w:pPr>
        <w:spacing w:after="0" w:line="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color w:val="auto"/>
        </w:rPr>
        <w:t>(408) 717-6000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Notice of Grant of Performance Stock Units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and Performance Stock Unit Award Agreement – TSR Measure</w:t>
      </w: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&lt;&lt;Name&gt;&gt;</w:t>
      </w:r>
      <w:r>
        <w:rPr>
          <w:sz w:val="20"/>
          <w:szCs w:val="20"/>
          <w:color w:val="auto"/>
        </w:rPr>
        <w:tab/>
      </w:r>
      <w:r>
        <w:rPr>
          <w:rFonts w:ascii="Times New Roman" w:cs="Times New Roman" w:eastAsia="Times New Roman" w:hAnsi="Times New Roman"/>
          <w:sz w:val="21"/>
          <w:szCs w:val="21"/>
          <w:b w:val="1"/>
          <w:bCs w:val="1"/>
          <w:color w:val="auto"/>
        </w:rPr>
        <w:t>Award Number:</w:t>
      </w:r>
    </w:p>
    <w:p>
      <w:pPr>
        <w:spacing w:after="0" w:line="32" w:lineRule="exact"/>
        <w:rPr>
          <w:sz w:val="20"/>
          <w:szCs w:val="20"/>
          <w:color w:val="auto"/>
        </w:rPr>
      </w:pPr>
    </w:p>
    <w:p>
      <w:pPr>
        <w:ind w:left="20" w:right="5340"/>
        <w:spacing w:after="0" w:line="243" w:lineRule="auto"/>
        <w:rPr>
          <w:sz w:val="20"/>
          <w:szCs w:val="20"/>
          <w:color w:val="auto"/>
        </w:rPr>
      </w:pPr>
      <w:r>
        <w:rPr>
          <w:rFonts w:ascii="Times New Roman" w:cs="Times New Roman" w:eastAsia="Times New Roman" w:hAnsi="Times New Roman"/>
          <w:sz w:val="22"/>
          <w:szCs w:val="22"/>
          <w:b w:val="1"/>
          <w:bCs w:val="1"/>
          <w:color w:val="auto"/>
        </w:rPr>
        <w:t>&lt;&lt;Address 1&gt;&gt; Plan: 2017 Performance Incentive Plan &lt;&lt;Address 2&gt;&gt; ID:</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Congratulations! Effective [___________] (the “Grant Date”), you have been granted stock units (the “Performance Stock</w:t>
      </w:r>
    </w:p>
    <w:p>
      <w:pPr>
        <w:spacing w:after="0" w:line="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Units”) of Western Digital Corporation (the “Corporation”). These Performance Stock Units were granted under and are subject to the Corporation’s 2017 Performance Incentive Plan, as amended (the “Plan”).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Total Target Number of Performance Stock Units: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Vesting Date: [</w:t>
      </w:r>
      <w:r>
        <w:rPr>
          <w:rFonts w:ascii="Times New Roman" w:cs="Times New Roman" w:eastAsia="Times New Roman" w:hAnsi="Times New Roman"/>
          <w:sz w:val="22"/>
          <w:szCs w:val="22"/>
          <w:color w:val="auto"/>
        </w:rPr>
        <w:t>______________________]</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b w:val="1"/>
          <w:bCs w:val="1"/>
          <w:color w:val="auto"/>
        </w:rPr>
        <w:t xml:space="preserve">Measurement Period covered by grant: </w:t>
      </w:r>
      <w:r>
        <w:rPr>
          <w:rFonts w:ascii="Times New Roman" w:cs="Times New Roman" w:eastAsia="Times New Roman" w:hAnsi="Times New Roman"/>
          <w:sz w:val="22"/>
          <w:szCs w:val="22"/>
          <w:color w:val="auto"/>
        </w:rPr>
        <w:t>The “Measurement Period” applicable to the Performance Stock Units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is the performance measurement period that begins [__________] and ends [______________]. The actual number of</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 xml:space="preserve">Performance Stock Units that may become eligible to vest on the Vesting Date based on performance during the Measurement Period may range from 0% to 200% of the Total Target Number of Performance Stock Units subject to the award, subject to forfeiture under Section 8 of the attached Standard Terms and Conditions for Performance Stock Unit Award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TSR Measure (the “Standard Terms”).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________________________________________</w:t>
      </w:r>
    </w:p>
    <w:p>
      <w:pPr>
        <w:spacing w:after="0" w:line="22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Your Performance Stock Unit award is subject to the terms and conditions of this Notice, the attached Standard Terms and the Plan. By accepting the award, you are agreeing to the terms of the award as set forth in those documents. You should read the Plan, the Prospectus for the Plan, and the Standard Terms. The Standard Terms and the Plan are each incorporated into and made a part of this Notice by this reference. You do not have to accept your award and it is not a condition of employment to accept your award. If you do not agree to the terms of your award, you should promptly return this Notice to the Western Digital Corporation Stock Plans Administrator indicating that you do not wish to accept the award and your Performance Stock Units will be cancelled.</w:t>
      </w:r>
    </w:p>
    <w:p>
      <w:pPr>
        <w:spacing w:after="0" w:line="209" w:lineRule="exact"/>
        <w:rPr>
          <w:sz w:val="20"/>
          <w:szCs w:val="20"/>
          <w:color w:val="auto"/>
        </w:rPr>
      </w:pPr>
    </w:p>
    <w:p>
      <w:pPr>
        <w:jc w:val="both"/>
        <w:ind w:right="200"/>
        <w:spacing w:after="0" w:line="257" w:lineRule="auto"/>
        <w:rPr>
          <w:sz w:val="20"/>
          <w:szCs w:val="20"/>
          <w:color w:val="auto"/>
        </w:rPr>
      </w:pPr>
      <w:r>
        <w:rPr>
          <w:rFonts w:ascii="Times New Roman" w:cs="Times New Roman" w:eastAsia="Times New Roman" w:hAnsi="Times New Roman"/>
          <w:sz w:val="22"/>
          <w:szCs w:val="22"/>
          <w:color w:val="auto"/>
        </w:rPr>
        <w:t>A copy of the Plan, the Prospectus for the Plan, and the Standard Terms have been provided to you. If you need another copy of these documents, or if you would like to confirm that you have the most recent version, please contact the Corporation’s Stock Plans Administrator.</w:t>
      </w:r>
    </w:p>
    <w:p>
      <w:pPr>
        <w:spacing w:after="0" w:line="3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3" w:right="339" w:bottom="1440" w:gutter="0" w:footer="0" w:header="0"/>
        </w:sectPr>
      </w:pPr>
    </w:p>
    <w:bookmarkStart w:id="94" w:name="page95"/>
    <w:bookmarkEnd w:id="94"/>
    <w:p>
      <w:pPr>
        <w:jc w:val="center"/>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STANDARD TERMS AND CONDITIONS FOR PERFORMANCE STOCK UNIT AWARD - TSR MEASURE </w:t>
      </w:r>
      <w:r>
        <w:rPr>
          <w:rFonts w:ascii="Times New Roman" w:cs="Times New Roman" w:eastAsia="Times New Roman" w:hAnsi="Times New Roman"/>
          <w:sz w:val="21"/>
          <w:szCs w:val="21"/>
          <w:color w:val="auto"/>
        </w:rPr>
        <w:t>Amended and Restated 2017 Performance Incentive Plan</w:t>
      </w:r>
    </w:p>
    <w:p>
      <w:pPr>
        <w:spacing w:after="0" w:line="172"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Stock Units Subject to Amended and Restated 2017 Performance Incentive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Performance Stock Unit Award (the “Award”) referred to in the attached Notice of Grant of Performance Stock Units and Performance Stock Unit Award Agreement (the “Notice”) was awarded under Western Digital Corporation’s (the “Corporation’s”) Amended and Restated 2017 Performance Incentive Plan, as amended (the “Plan”). Each Performance Stock Unit covered by the Award (“Stock Unit”) is a non-voting unit of measurement that is deemed for bookkeeping purposes to be equivalent to one outstanding share of Common Stock (subject to adjustment as provided in Section 7.1 of the Plan). The holder of the Stock Units is referred to herein as the “Participant.” Stock Units shall be used solely as a device for the determination of the number of shares of Common Stock to eventually be delivered to the Participant if Stock Units held by such Participant vest pursuant to Section 4, Section 7 or Section 8 and shall not be treated as property or as a trust fund of any kind. The target number of Stock Units granted to the Participant shall be credited to an unfunded bookkeeping account maintained by the Corporation on behalf of the Participant (a “Stock Unit Account”).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Stock Units are subject to the terms and provisions of the Notice, these Standard Terms and Conditions for the Performance Stock Unit Award – TSR Measure (including any terms and conditions set forth in any appendices attached hereto) (collectively, these “Standard Terms”), and the Plan. To the extent any information in the Notice, the prospectus for the Plan, or other information provided by the Corporation conflicts with the Plan and/or these Standard Terms, the Plan or these Standard Terms, as applicable, shall control. To the extent any terms and provisions in these Standard Terms conflict with the terms and provisions of the Plan, the Plan shall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not defined herein have the meanings set forth in the Plan or in the Notice, as applicable.</w:t>
      </w:r>
    </w:p>
    <w:p>
      <w:pPr>
        <w:spacing w:after="0" w:line="221"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 Agreement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Notice and these Standard Terms (together, the “Award Agreement”) constitute the award agreement with respect to the Award pursuant to Section 5.2 of the Plan.</w:t>
      </w:r>
    </w:p>
    <w:p>
      <w:pPr>
        <w:spacing w:after="0" w:line="158"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Deferral of Stock Units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the end of the Measurement Period as set forth in the Notice, the Administrator shall determine, in accordance with the performance goals and related criteria and methodology established by the Administrator for the Measurement Period, the extent to which the performance goals have been achieved and the actual number of Stock Units becoming eligible to vest (subject to the following paragraph) based on performance during the Measurement Period. Any Stock Units (including any related Stock Units credited as dividend equivalents pursuant to Section 5) that do not become eligible to vest based on performance during the Measurement Period shall terminate as of the end of the Measurement Period when the Administrator has determined the extent to which the performance goal has not been achieved for the Measurement Period, and the Participant shall have no further rights with respect to such terminated Stock Units.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otherwise provided in this Award Agreement, and subject to Section 8 below, the number of Stock Units becoming eligible to vest based on performance during the Measurement Period shall vest on the Vesting Date. Except as expressly provided in Sections 7 and 8 below, vesting requires continued employment or service with the Corporation or one of its Subsidiaries through the Vesting Date as a condition to the vesting of any Stock Units subject to the Award and the rights and benefits under this Award Agreement. Except as expressly provided in Sections 7 and 8 below, employment or service for only a portion of the vesting period, even if a substantial portion, will not entitle the Participant to any proportionate vesting, or avoid or mitigate a termination of rights and benefits upon or following a termination of employment or services as provided in Section 8 below or under the Plan.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8" w:right="339" w:bottom="1440" w:gutter="0" w:footer="0" w:header="0"/>
        </w:sectPr>
      </w:pPr>
    </w:p>
    <w:bookmarkStart w:id="95" w:name="page96"/>
    <w:bookmarkEnd w:id="95"/>
    <w:p>
      <w:pPr>
        <w:ind w:left="660" w:hanging="652"/>
        <w:spacing w:after="0"/>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 Equivalent Rights Distributions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any date that the Corporation pays an ordinary cash dividend on its Common Stock, the Corporation shall credit the Participant’s Stock Unit Account with an additional number of Stock Units equal to (i) the per share cash dividend paid by the Corporation on its Common Stock on such date, multiplied by</w:t>
      </w:r>
    </w:p>
    <w:p>
      <w:pPr>
        <w:jc w:val="both"/>
        <w:ind w:firstLine="8"/>
        <w:spacing w:after="0" w:line="253" w:lineRule="auto"/>
        <w:tabs>
          <w:tab w:leader="none" w:pos="27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Stock Units remaining subject to the Award as of the related dividend payment record date, divided by (iii) the Fair Market Value of a share of Common Stock on the date of payment of such dividend. For these purposes, any Stock Units that vest and become payable in excess of the target number of Stock Units shall be considered to have been granted on the Grant Date set forth in the Notice. The Stock Units credited pursuant to the foregoing provisions of this Section 5 shall be subject to the same vesting, payment and other terms, conditions and restrictions as the original Stock Units to which they relate.</w:t>
      </w:r>
    </w:p>
    <w:p>
      <w:pPr>
        <w:spacing w:after="0" w:line="183"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Timing and Manner of Payment of Stock Units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Section 7 below, any Stock Unit granted (or credited pursuant to Section 5) to the Participant that becomes vested (whether pursuant to Section 4, Section 7 or Section 8 hereof) shall be paid to the Participant following the Vesting Date and in the same calendar year in which the Vesting Date occurs. The Corporation shall make payment of a Stock Unit that has vested by delivering to the Participant a share of Common Stock (either by delivering one or more certificates for the shares deliverable or by entering such shares in book entry form, as determined by the Corporation in its sole discretion), subject to adjustment as provided in Section 7.1 of the Plan. The Corporation’s obligation to deliver shares of Common Stock with respect to vested Stock Units is subject to the condition precedent that the Participant (or other person entitled under the Plan to receive any shares with respect to the vested Stock Units) delivers to the Corporation any representations or other documents or assurances required pursuant to Section 8.1 of the Plan in advance of the scheduled payment date. The Participant shall have no further rights with respect to any Stock Units that are paid pursuant to this Section 6 or Section 7 hereof, or that are terminated pursuant to Section 7 or Section 8 hereof, and such Stock Units shall be removed from the Participant’s Stock Unit Account upon the date of such payment or termination. The Corporation may, in its sole discretion, settle any Stock Units credited as dividend equivalents by a cash payment equal to the fair market value of a share of Common Stock on the date of payment (as opposed to payment in the form of shares of Common Stock).</w:t>
      </w:r>
    </w:p>
    <w:p>
      <w:pPr>
        <w:spacing w:after="0" w:line="188"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Control Event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a transaction referenced in Section 7.2 of the Plan in connection with which the Corporation will not survive or will not survive as a public company in respect of its Common Stock, the Administrator may (without limiting the adjustment authority of Section 7.1 of the Plan and without limiting the flexibility of the Administrator to provide for the assumption, substitution or exchange of the Award pursuant to Section 7.2 of the Plan) provide that (i) payment for each Stock Unit that is otherwise outstanding on the date of such event and that becomes vested may be made in the form of cash in an amount equal to the fair market value of a share of Common Stock as of the date of the closing of such transaction, and/or (ii) that, as to any Stock Units outstanding with respect to a Measurement Period that has not ended on or prior to the date of such transaction, the performance measures applicable to such Measurement Period shall be deemed satisfied at the applicable “target” level (attainment of 100% of the applicable performance goal resulting in a 100% payout or vesting percentage as to that goal) or such greater level as the Administrator, in its sole discretion, may deem appropriate in the circumstances. However, notwithstanding anything otherwise provided in Section 7.2 of the Plan but subject to the following sentence, the time of payment of the Award may not be changed and shall be as set forth in Section 6 above. The Administrator may (notwithstanding the time of payment provisions of Sections 6 and 8 hereof) provide for the termination of the Stock Units subject to the Award in connection with the occurrence of a Change in Control Event in connection with which the Administrator has not made a provision for the substitution, assumption, exchange or other continuation of the Award; provided that (A) in such event, the portion of the Award that is outstanding and unvested immediately prior to such termination shall vest and become payable (as to any Stock Units outstanding with respect to a Measurement Period that has not ended on or prior to the date of Change in Control Event, the performance measures applicable to such Measurement Period shall be deemed satisfied at the applicable “target” level (attainment of 100% of the applicable performance goal resulting in a 100% payout or vesting percentage as to that goal) or such greater level as the Administrator, in its sole discretion, may deem appropriate in the circumstances), and (B) such acceleration, termination and payment of the Award satisfies the requirements of Treas. Reg. Section 1.409A-3(j)(4)(ix) (which requirements include the Change in Control Event qualifying as a change in the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3" w:right="339" w:bottom="1440" w:gutter="0" w:footer="0" w:header="0"/>
        </w:sectPr>
      </w:pPr>
    </w:p>
    <w:bookmarkStart w:id="96" w:name="page97"/>
    <w:bookmarkEnd w:id="96"/>
    <w:p>
      <w:pPr>
        <w:spacing w:after="0" w:line="282" w:lineRule="auto"/>
        <w:rPr>
          <w:sz w:val="20"/>
          <w:szCs w:val="20"/>
          <w:color w:val="auto"/>
        </w:rPr>
      </w:pPr>
      <w:r>
        <w:rPr>
          <w:rFonts w:ascii="Times New Roman" w:cs="Times New Roman" w:eastAsia="Times New Roman" w:hAnsi="Times New Roman"/>
          <w:sz w:val="18"/>
          <w:szCs w:val="18"/>
          <w:color w:val="auto"/>
        </w:rPr>
        <w:t>ownership or effective control of the Corporation, or a change in the ownership of a substantial portion of the assets of the Corporation, within the meaning of Treas. Reg. Section 1.409A-3(i)(5)).</w:t>
      </w:r>
    </w:p>
    <w:p>
      <w:pPr>
        <w:spacing w:after="0" w:line="158"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w:t>
      </w:r>
    </w:p>
    <w:p>
      <w:pPr>
        <w:spacing w:after="0" w:line="229" w:lineRule="exact"/>
        <w:rPr>
          <w:sz w:val="20"/>
          <w:szCs w:val="20"/>
          <w:color w:val="auto"/>
        </w:rPr>
      </w:pPr>
    </w:p>
    <w:p>
      <w:pPr>
        <w:jc w:val="both"/>
        <w:ind w:firstLine="8"/>
        <w:spacing w:after="0" w:line="255" w:lineRule="auto"/>
        <w:tabs>
          <w:tab w:leader="none" w:pos="37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Generally</w:t>
      </w:r>
      <w:r>
        <w:rPr>
          <w:rFonts w:ascii="Times New Roman" w:cs="Times New Roman" w:eastAsia="Times New Roman" w:hAnsi="Times New Roman"/>
          <w:sz w:val="18"/>
          <w:szCs w:val="18"/>
          <w:color w:val="auto"/>
        </w:rPr>
        <w:t>. Except as expressly provided below in this Section 8, if the Participant ceases to be employed by or to provide services to the Corporation or its Subsidiaries for any reason (the last day that the Participant is employed by or provides services as a consultant or director to the Corporation or a Subsidiary prior to a period in which the Participant is not employed by, and does not have any such service relationship with, any such entity as determined by the Administrator is referred to as the Participant’s “Separation Date”) before the Vesting Date, the Participant’s Stock Units shall automatically be forfeited to the Corporation effective immediately following the Separation Date. If the Participant is entitled to any accelerated vesting pursuant to any provision below in this Section 8, any remaining unvested portion of the Participant’s Stock Units (after giving effect to such acceleration) shall automatically be forfeited to the Corporation effective as of immediately following the Separation Date.</w:t>
      </w:r>
    </w:p>
    <w:p>
      <w:pPr>
        <w:spacing w:after="0" w:line="188" w:lineRule="exact"/>
        <w:rPr>
          <w:rFonts w:ascii="Times New Roman" w:cs="Times New Roman" w:eastAsia="Times New Roman" w:hAnsi="Times New Roman"/>
          <w:sz w:val="18"/>
          <w:szCs w:val="18"/>
          <w:color w:val="auto"/>
        </w:rPr>
      </w:pPr>
    </w:p>
    <w:p>
      <w:pPr>
        <w:jc w:val="both"/>
        <w:ind w:firstLine="8"/>
        <w:spacing w:after="0" w:line="253" w:lineRule="auto"/>
        <w:tabs>
          <w:tab w:leader="none" w:pos="47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the Participant</w:t>
      </w:r>
      <w:r>
        <w:rPr>
          <w:rFonts w:ascii="Times New Roman" w:cs="Times New Roman" w:eastAsia="Times New Roman" w:hAnsi="Times New Roman"/>
          <w:sz w:val="18"/>
          <w:szCs w:val="18"/>
          <w:color w:val="auto"/>
        </w:rPr>
        <w:t>. In the event of the Participant’s death prior to the Vesting Date and at a time when the Participant is employed by or providing services to the Corporation or any of its Subsidiaries, a portion of the Award shall vest on the Vesting Date and shall be paid to the Participant as provided in Section 6 above. In such event, the number of Stock Units that shall become vested on the Vesting Date equals (i) the Employment Fraction (determined as set forth below) multiplied by (ii) the number of Stock Units subject to the Award that would have otherwise (had the Separation Date not occurred prior to the Vesting Date) become vested on the Vesting Date (determined before taking the acceleration contemplated by this Section 8(b) into account and before taking the crediting of dividend equivalent Stock Units pursuant to Section 5 above into account). To the extent any Stock Units become vested on the Vesting Date pursuant to the preceding sentence, the dividend equivalent Stock Units credited pursuant to Section 5 above with respect to such Stock Units shall also become vested on the Vesting Date. For purposes of this Section 8, the “Employment Fraction” equals a fraction (not greater than one), the numerator of which is the total number of calendar days in the period beginning with the first day of the Measurement Period through and including the Participant’s Separation Date, and the denominator of which is the total number of calendar days in the Measurement Period ([_______] days).</w:t>
      </w:r>
    </w:p>
    <w:p>
      <w:pPr>
        <w:spacing w:after="0" w:line="191" w:lineRule="exact"/>
        <w:rPr>
          <w:rFonts w:ascii="Times New Roman" w:cs="Times New Roman" w:eastAsia="Times New Roman" w:hAnsi="Times New Roman"/>
          <w:sz w:val="18"/>
          <w:szCs w:val="18"/>
          <w:color w:val="auto"/>
        </w:rPr>
      </w:pPr>
    </w:p>
    <w:p>
      <w:pPr>
        <w:jc w:val="both"/>
        <w:ind w:firstLine="8"/>
        <w:spacing w:after="0" w:line="254" w:lineRule="auto"/>
        <w:tabs>
          <w:tab w:leader="none" w:pos="40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 of the Participant</w:t>
      </w:r>
      <w:r>
        <w:rPr>
          <w:rFonts w:ascii="Times New Roman" w:cs="Times New Roman" w:eastAsia="Times New Roman" w:hAnsi="Times New Roman"/>
          <w:sz w:val="18"/>
          <w:szCs w:val="18"/>
          <w:color w:val="auto"/>
        </w:rPr>
        <w:t>. If the Participant Retires (as defined below) from the Corporation or one of its Subsidiaries before the Vesting Date, a portion of the Award shall vest on the Vesting Date and shall be paid to the Participant as provided in Section 6 above. In such event, the number of Stock Units that shall become vested on the Vesting Date equals (i) the Employment Fraction (determined as set forth in Section 8(b) above) multiplied by (ii) the number of Stock Units subject to the Award that would have otherwise (had the Separation Date not occurred prior to the Vesting Date) become vested on the Vesting Date (determined before taking the acceleration contemplated by this Section 8(c) into account and before taking the crediting of dividend equivalent Stock Units pursuant to Section 5 above into account). To the extent any Stock Units become vested on the Vesting Date pursuant to the preceding sentence, the dividend equivalent Stock Units credited pursuant to Section 5 above with respect to such Stock Units shall also become vested on the Vesting Date.</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 purposes of this Award Agreement, the Participant shall be deemed to have “Retired” (which term shall include “Retirement,” “Retire” and “Retires”) if the Participant retires from employment with the Corporation or one of its Subsidiaries for any reason other than Cause (as defined below) and other than due to the Participant’s death after satisfying all of the following requirements at the time of such retirement: (i) the Participant is at least 55 years of age,</w:t>
      </w:r>
    </w:p>
    <w:p>
      <w:pPr>
        <w:spacing w:after="0" w:line="1" w:lineRule="exact"/>
        <w:rPr>
          <w:sz w:val="20"/>
          <w:szCs w:val="20"/>
          <w:color w:val="auto"/>
        </w:rPr>
      </w:pPr>
    </w:p>
    <w:p>
      <w:pPr>
        <w:jc w:val="both"/>
        <w:ind w:firstLine="8"/>
        <w:spacing w:after="0" w:line="251" w:lineRule="auto"/>
        <w:tabs>
          <w:tab w:leader="none" w:pos="2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has five (5) or more whole years of credited service with the Corporation or any of its Subsidiaries ending on the date of such retirement, and (iii) the Participant’s age plus years of credited service with the Corporation or any of its Subsidiaries (including only whole years in the case of both age and credited service for purposes of this requirement) totals at least 70. The Administrator shall determine the Participant’s “years of credited service” under clauses (ii) and (iii) above; provided that, for such purposes, in no event shall the Participant accrue more than one year of service with respect to any period of twelve consecutive months (that is, concurrent employment by both the Corporation and one or more of its Subsidiaries, or by multiple Subsidiaries, for a month shall not be counted as more than one month of service). For clarity, Retirement is based on a termination of employment and not a termination of any other service relationship. However, if the Participant Retires and continues in another service capacity such that the Participant does not have a Separation Date in connection with his or her Retirement, the remaining portion of the Award not eligible to vest in connection with such Retirement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7" w:right="339" w:bottom="1440" w:gutter="0" w:footer="0" w:header="0"/>
        </w:sectPr>
      </w:pPr>
    </w:p>
    <w:bookmarkStart w:id="97" w:name="page98"/>
    <w:bookmarkEnd w:id="97"/>
    <w:p>
      <w:pPr>
        <w:jc w:val="both"/>
        <w:spacing w:after="0" w:line="266" w:lineRule="auto"/>
        <w:rPr>
          <w:sz w:val="20"/>
          <w:szCs w:val="20"/>
          <w:color w:val="auto"/>
        </w:rPr>
      </w:pPr>
      <w:r>
        <w:rPr>
          <w:rFonts w:ascii="Times New Roman" w:cs="Times New Roman" w:eastAsia="Times New Roman" w:hAnsi="Times New Roman"/>
          <w:sz w:val="18"/>
          <w:szCs w:val="18"/>
          <w:color w:val="auto"/>
        </w:rPr>
        <w:t>shall remain eligible to vest through and until the Participant’s Separation Date should it occur before the Vesting Date (in connection with any such Separation Date the other provisions of this Section 8 shall apply as to such portion of the Award; in the event the Participant is entitled to accelerated vesting pursuant to Section 8(b), the provisions of Section 8(b) and not this Section 8(c) shall apply).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this Award Agreement, “Cause” is used as defined in the Western Digital Corporation Executive Severance Plan or, if the Participant’s Separation Date occurs on or after a Change in Control Event, as defined in the Western Digital Corporation Amended and Restated Change of Control Severance Plan.</w:t>
      </w:r>
    </w:p>
    <w:p>
      <w:pPr>
        <w:spacing w:after="0" w:line="176" w:lineRule="exact"/>
        <w:rPr>
          <w:sz w:val="20"/>
          <w:szCs w:val="20"/>
          <w:color w:val="auto"/>
        </w:rPr>
      </w:pPr>
    </w:p>
    <w:p>
      <w:pPr>
        <w:jc w:val="both"/>
        <w:ind w:firstLine="8"/>
        <w:spacing w:after="0" w:line="255" w:lineRule="auto"/>
        <w:tabs>
          <w:tab w:leader="none" w:pos="39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Termination of Employment</w:t>
      </w:r>
      <w:r>
        <w:rPr>
          <w:rFonts w:ascii="Times New Roman" w:cs="Times New Roman" w:eastAsia="Times New Roman" w:hAnsi="Times New Roman"/>
          <w:sz w:val="18"/>
          <w:szCs w:val="18"/>
          <w:color w:val="auto"/>
        </w:rPr>
        <w:t>. In the event the Participant’s employment terminates in circumstances as to which the Participant is entitled to severance benefits pursuant to the Western Digital Corporation Executive Severance Plan (or any applicable successor executive severance plan, as each is in effect at the time of such termination of employment, and only if such severance plan then otherwise applies with respect to the Participant) (“Pre-CIC Severance Plan”), the Participant shall be treated for purposes of the Award as though the Participant Retired on the Participant’s Separation Date and Section 8(c) shall apply; provided, however, that if any Stock Units subject to the Award would (before taking this paragraph into consideration) also be subject to accelerated vesting pursuant to Section 8(b) or 8(c) above, the Stock Units shall be subject to accelerated vesting pursuant to the section (Section 8(b) or 8(c) above) that would otherwise apply in the circumstances.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the Participant’s employment terminates in circumstances as to which the Participant is entitled to severance benefits pursuant to the Western Digital Corporation Amended and Restated Change of Control Severance Plan (or any applicable successor change of control severance plan, as each is in effect at the time of such termination of employment, and only if such severance plan then otherwise applies with respect to the Participant) (“CIC Severance Plan”), the extent to which the Award vests will be determined in accordance with the applicable provisions of the CIC Severance Plan. If the Stock Units subject to the Award would (before taking this paragraph into consideration) also be subject to accelerated vesting pursuant to the immediately preceding paragraph or Section 8(b) or 8(c) above, this paragraph (and not the immediately preceding paragraph or Section 8(b) or 8(c) above) shall apply; provided, however, that if the Participant does not satisfy any applicable conditions to severance benefits set forth in the applicable CIC Severance Plan, then the Participant shall remain entitled to any accelerated vesting that would otherwise apply pursuant to Section 8(b) or 8(c) above, as applicable.</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clarity, any accelerated or additional vesting contemplated by this Section 8(d), whether with respect to a Pre-CIC Severance Plan or a CIC Severance Plan, is subject to the Participant satisfying any applicable conditions to severance benefits set forth in the applicable Pre-CIC Severance Plan or CIC Severance Plan (such as, without limitation, any eligibility and release requirements).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treatment of the Award in any circumstances as to which the Participant is entitled to severance benefits pursuant to a Pre-CIC Severance Plan (including, without limitation, the extent (if any) to which the Award vests or accelerates in such circumstances as well as the timing of payment of the Award), and the timing of payment of the Award in any circumstances as to which the Participant is entitled to severance benefits pursuant to a CIC Severance Plan, shall be governed by this Award Agreement and not by the Pre-CIC Severance Plan or CIC Severance Plan, as the case may be. As to the Award, this Award Agreement controls in the event of any inconsistency or conflict with a Pre-CIC Severance Plan or CIC Severance Plan, and to that extent this Award Agreement amends any applicable Pre-CIC Severance Plan or CIC Severance Plan as to the Award.</w:t>
      </w:r>
    </w:p>
    <w:p>
      <w:pPr>
        <w:spacing w:after="0" w:line="183"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Administrator may accelerate the vesting of the Stock Units in such circumstances as it, in its sole discretion, may determine; provided that the time of payment of the Stock Units as otherwise set forth herein may not be changed. In addition, upon the occurrence of certain events relating to the Corporation’s stock contemplated by Section 7.1 of the Plan, the Administrator will make adjustments if appropriate in the number of Stock Units then outstanding and the number and kind of securities that may be issued in respect of the Award. No such adjustment shall be made with respect to any ordinary cash dividend for which dividend equivalents are credited or to be credited pursuant to Section 5 above.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7" w:right="339" w:bottom="1440" w:gutter="0" w:footer="0" w:header="0"/>
        </w:sectPr>
      </w:pPr>
    </w:p>
    <w:bookmarkStart w:id="98" w:name="page99"/>
    <w:bookmarkEnd w:id="98"/>
    <w:p>
      <w:pPr>
        <w:ind w:left="660" w:hanging="652"/>
        <w:spacing w:after="0"/>
        <w:tabs>
          <w:tab w:leader="none" w:pos="6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Taxes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or in connection with the crediting, vesting or payment of Stock Units, or any other time when tax withholding may be required with respect to the Award, the Corporation (or the Subsidiary last employing the Participant) shall have the right at its option to (a) require the Participant to pay or provide for payment in cash of the amount of any taxes that the Corporation or the Subsidiary may be required to withhold with respect to such crediting, vesting, payment or other event, or (b) deduct from any amount payable to the Participant (pursuant to the Award or otherwise) the amount of any taxes that the Corporation or the Subsidiary may be required to withhold with respect to such crediting, vesting, payment or other event. In any case where a tax is required to be withheld in connection with the delivery of shares of Common Stock under this Award Agreement, the Administrator may, in its sole discretion, direct the Corporation or the Subsidiary to reduce the number of shares to be delivered by (or otherwise reacquire) the appropriate number of whole shares, valued at their then fair market value, to satisfy such withholding obligation at the applicable withholding rates. In addition, the Administrator may, in its sole discretion but only to the extent consistent with Treas. Reg. Section 1.409A-3(j)(4)(vi), reduce the number of Stock Units remaining subject to the Award, with each such Stock Unit to have a value for such purpose equal to the then fair market value of a share of Common Stock, to satisfy such withholding obligation at the applicable withholding rates.</w:t>
      </w:r>
    </w:p>
    <w:p>
      <w:pPr>
        <w:spacing w:after="0" w:line="188" w:lineRule="exact"/>
        <w:rPr>
          <w:sz w:val="20"/>
          <w:szCs w:val="20"/>
          <w:color w:val="auto"/>
        </w:rPr>
      </w:pPr>
    </w:p>
    <w:p>
      <w:pPr>
        <w:ind w:left="640" w:hanging="632"/>
        <w:spacing w:after="0"/>
        <w:tabs>
          <w:tab w:leader="none" w:pos="6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Nontransferability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the Award, nor any interest therein or amount or shares payable in respect thereof may be sold, assigned, transferred, pledged or otherwise disposed of, anticipated, alienated, encumbered, either voluntarily or involuntarily. The transfer restrictions in the preceding sentence shall not apply to (a) transfers to the Corporation (i.e., upon the termination of a Stock Unit), or (b) transfers by will or the laws of descent and distribution.</w:t>
      </w:r>
    </w:p>
    <w:p>
      <w:pPr>
        <w:spacing w:after="0" w:line="172"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Right to Employment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Nothing contained in this Award Agreement or the Plan constitutes an employment or service commitment by the Corporation or any of its Subsidiaries, affects the Participant’s status, if he or she is an employee,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 or affects the right of the Corporation or any Subsidiary to increase or decrease the Participant’s other compensation.</w:t>
      </w:r>
    </w:p>
    <w:p>
      <w:pPr>
        <w:spacing w:after="0" w:line="179"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as a Stockholder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Plan, the Notice and these Standard Terms, the Participant shall have no rights as a stockholder of the Corporation, no dividend rights (except as expressly provided in Section 5 above with respect to dividend equivalent rights) and no voting rights with respect to Stock Units awarded to the Participant and any shares of Common Stock underlying or issuable in respect of such Stock Units until such shares of Common Stock are actually issued to and held of record by the Participant. No adjustments will be made for dividends or other rights of a holder for which the record date is prior to the date of such issuance of such shares.</w:t>
      </w:r>
    </w:p>
    <w:p>
      <w:pPr>
        <w:spacing w:after="0" w:line="179"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notice to be given under the terms of this Award Agreement shall be in writing and addressed to the Corporation at its principal office to the attention of the Secretary, and to the Participant at the address last reflected on the Corporation’s payroll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or for non-U.S. employees, the government of the country where the Participant is working and/or residing. Any such notice shall be given only when received, but if the Participant is no longer employed by the Corporation or a Subsidiary, shall be deemed to have been duly given five business days after the date mailed in accordance with the foregoing provisions of this Section 14.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3" w:right="339" w:bottom="1440" w:gutter="0" w:footer="0" w:header="0"/>
        </w:sectPr>
      </w:pPr>
    </w:p>
    <w:bookmarkStart w:id="99" w:name="page100"/>
    <w:bookmarkEnd w:id="99"/>
    <w:p>
      <w:pPr>
        <w:ind w:left="660" w:hanging="652"/>
        <w:spacing w:after="0"/>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Arbitration</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Any controversy arising out of or relating to this Award Agreement (including these Standard Terms) and/or the Plan, their enforcement or interpretation, or because of an alleged breach, default, or misrepresentation in connection with any of their provisions, or any other controversy arising out of or related to the Award, including, but not limited to, any state or federal statutory claims (“Covered Claims”), shall be resolved in accordance with the terms and conditions of the Western Digital Technologies, Inc. Dispute Resolution Agreement (the “DRA”), except with respect to any specific performance provided for in Section 25(f) below. If, however, Participant has opted out of the DRA pursuant to Section 3.3 of the DRA, any Covered Claims by Corporation or Participant shall be submitted to arbitration pursuant to this Section 15. Such arbitration shall be held in Orange County, California, U.S.A., before a sole arbitrator selected from Judicial Arbitration and Mediation Services, Inc., Orange, California, or its successor (“JAMS”), or if JAMS is no longer able to supply the arbitrator, such arbitrator shall be selected from the American Arbitration Association, and shall be conducted in accordance with the provisions of the Federal Arbitration Act; provided, however, that provisional injunctive relief may, but need not, be sought by either party in a court of law to maintain the status quo while arbitration proceedings are pending, and any provisional injunctive relief granted by such court shall remain effective until the matter is finally determined by the arbitrator. Any such action for provisional injunctive relief shall be subject to the exclusive jurisdiction of the Delaware Chancery Court and each party consents to jurisdiction with respect to any such action in Delaware Chancery Court. Except as otherwise stated herein, this Section 15 also requires arbitration of any disputes concerning the enforceability, interpretation, and/or implementation of this Section 15 and the arbitrability of any claims brought hereunder, which shall also be decided by an arbitrator. To the fullest extent permitted by applicable law, Participant and Corporation agree to bring any Covered Claims on an individual basis only, and not on a class, collective, joint, or representative basis. If, however, the preceding sentence be determined invalid or unenforceable with respect to any particular Covered Claim, than that Covered Claim will not proceed in arbitration but rather will be resolved in a court of competent jurisdiction. If that occurs, however, this Section 15 will still be fully enforceable as to all other Covered Claims, which must be resolved in arbitration on an individual basis. Any arbitrable claims in arbitration will be resolved first and the parties agree to seek a stay of any non-arbitrable claims until the full completion of the arbitral process. Any claim that the requirement in this Section 15 that Covered Claims be arbitrated on an individual basis only is invalid, unenforceable, unconscionable, void or voidable may be determined only by a court of competent jurisdiction and not by an Arbitrator. Final resolution of any dispute through arbitration may include any and all remedies that may be obtained in a court. Statutes of limitation for Covered Claims submitted to arbitration under this Section 15 shall be the same as they would be if those claims were brought in court.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The Corporation shall be responsible for payment of the forum costs of any arbitration hereunder, including the arbitrator’s fee. Each party shall bear its own attorney’s fees and costs (other than forum costs associated with the arbitration) incurred by it or him or her in connection with the resolution of the dispute. If, however, any party prevails on a statutory claim, which affords the prevailing party attorneys’ fees and costs, then the arbitrator may award reasonable fees and costs to the prevailing party. The arbitrator may not award attorneys’ fees to a party that would not otherwise be entitled to such an award under the applicable statute. The parties acknowledge and agree that they are hereby waiving any rights to trial by jury in any action, proceeding or counterclaim brought by either of the parties against the other in connection with any matter whatsoever arising out of or in any way connected with any Covered Claim(s), either by virtue of Participant’s acceptance without opting out of the DRA or, if Participant did opt out of the DRA, by virtue of the provisions of this Section 15.</w:t>
      </w:r>
    </w:p>
    <w:p>
      <w:pPr>
        <w:spacing w:after="0" w:line="197"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Award Agreement, including these Standard Terms, shall be interpreted and construed in accordance with the laws of the State of Delaware (without regard to conflict of law principles thereunder) and applicable United States federal law.</w:t>
      </w:r>
    </w:p>
    <w:p>
      <w:pPr>
        <w:spacing w:after="0" w:line="158"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provided by Section 15, if the arbitrator selected in accordance with Section 15 above or a court of competent jurisdiction determines that any portion of this Award Agreement (including these Standard Terms) or the Plan is in violation of any statute or public policy, then only the portions of this Award Agreement or the Plan, as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3" w:right="339" w:bottom="1440" w:gutter="0" w:footer="0" w:header="0"/>
        </w:sectPr>
      </w:pPr>
    </w:p>
    <w:bookmarkStart w:id="100" w:name="page101"/>
    <w:bookmarkEnd w:id="100"/>
    <w:p>
      <w:pPr>
        <w:jc w:val="both"/>
        <w:spacing w:after="0" w:line="261" w:lineRule="auto"/>
        <w:rPr>
          <w:sz w:val="20"/>
          <w:szCs w:val="20"/>
          <w:color w:val="auto"/>
        </w:rPr>
      </w:pPr>
      <w:r>
        <w:rPr>
          <w:rFonts w:ascii="Times New Roman" w:cs="Times New Roman" w:eastAsia="Times New Roman" w:hAnsi="Times New Roman"/>
          <w:sz w:val="18"/>
          <w:szCs w:val="18"/>
          <w:color w:val="auto"/>
        </w:rPr>
        <w:t>applicable, which are found to violate such statute or public policy shall be stricken, and all portions of this Award Agreement and the Plan which are not found to violate any statute or public policy shall continue in full force and effect. Furthermore, except as otherwise provided by Section 15, it is the parties’ intent that any order striking any portion of this Award Agreement and/or the Plan should modify the stricken terms as narrowly as possible to give as much effect as possible to the intentions of the parties hereunder.</w:t>
      </w:r>
    </w:p>
    <w:p>
      <w:pPr>
        <w:spacing w:after="0" w:line="176"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Award Agreement (including these Standard Terms) and the Plan together constitute the entire agreement and supersede all prior understandings and agreements, written or oral, of the parties hereto with respect to the subject matter hereof. However, this Award Agreement shall not supersede or in any way affect the DRA, which shall remain in full force and effect, unless Participant opted out of the DRA pursuant to the provisions therein. The Plan and this Award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 Provisions of the Plan that confer discretionary authority on the Board or the Administrator do not and shall not be deemed to create any rights in the Participant unless such rights are expressly set forth herein or are otherwise in the sole discretion of the Board or the Administrator so conferred by appropriate action of the Board or the Administrator under the Plan after the Grant Date.</w:t>
      </w:r>
    </w:p>
    <w:p>
      <w:pPr>
        <w:spacing w:after="0" w:line="184"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Headings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section headings of this Award Agreement are for convenience of reference only and shall not be deemed to alter or affect any provision hereof.</w:t>
      </w:r>
    </w:p>
    <w:p>
      <w:pPr>
        <w:spacing w:after="0" w:line="221"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Appendix</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Award shall be subject to any additional terms and conditions for non-U.S. employees set forth in Appendix A attached hereto (“Appendix A”) and any terms and conditions for the Participant’s country set forth in Appendix B attached hereto (“Appendix B”). Moreover, if the Participant relocates to one of the countries included in Appendix B, the terms and conditions for such country will apply to the Participant to the extent the Corporation determines that the application of such terms and conditions is necessary or advisable for legal or administrative reasons. Appendix A and Appendix B constitute part of the Award Agreement.</w:t>
      </w:r>
    </w:p>
    <w:p>
      <w:pPr>
        <w:spacing w:after="0" w:line="179"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Imposition of Other Requirements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reserves the right to impose other requirements on the Participant’s participation in the Plan, on the Stock Units and on any shares of Common Stock acquired under the Plan, to the extent the Corporation determines it is necessary or advisable for legal or administrative reasons, and to require Participant to sign any additional agreements or undertakings that may be necessary to accomplish the foregoing.</w:t>
      </w:r>
    </w:p>
    <w:p>
      <w:pPr>
        <w:spacing w:after="0" w:line="172"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Construction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 is intended that the terms of the Award will not result in the imposition of any tax liability pursuant to Section 409A of the Code. This Award Agreement shall be construed and interpreted consistent with that intent.</w:t>
      </w:r>
    </w:p>
    <w:p>
      <w:pPr>
        <w:spacing w:after="0" w:line="158"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Stock Units, as well as any payment (whether in cash, shares of Common Stock or other property) made pursuant to the Award with respect to the Stock Units, are subject to the terms of the Corporation’s Compensation Recovery Policy (as well as any successor compensation recoupment, clawback or similar policy adopted by the Corporation or as provided by applicable law), as each may be in effect from time to time, any of which could require repayment or forfeiture of the Stock Units or any shares of Common Stock or other cash or property received with respect to the Stock Units (including any value received from a disposition of the shares acquired upon payment of the Stock Units).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7" w:right="339" w:bottom="1440" w:gutter="0" w:footer="0" w:header="0"/>
        </w:sectPr>
      </w:pPr>
    </w:p>
    <w:bookmarkStart w:id="101" w:name="page102"/>
    <w:bookmarkEnd w:id="101"/>
    <w:p>
      <w:pPr>
        <w:ind w:left="660" w:hanging="652"/>
        <w:spacing w:after="0"/>
        <w:tabs>
          <w:tab w:leader="none" w:pos="6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Advice Regarding Grant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Participant is hereby advised to consult with his or her own tax, legal and/or investment advisors with respect to any advice the Participant may determine is needed or appropriate with respect to the Stock Units (including, without limitation, to determine the foreign, state, local, estate and/or gift tax consequences with respect to the Award). Neither the Corporation nor any of its officers, directors, affiliates or advisors makes any representation (except for the terms and conditions expressly set forth in this Award Agreement) or recommendation with respect to the Award. Except for the withholding rights set forth in Section 10 above, the Participant is solely responsible for any and all tax liability that may arise with respect to the Award.</w:t>
      </w:r>
    </w:p>
    <w:p>
      <w:pPr>
        <w:spacing w:after="0" w:line="179"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Participant Obligations</w:t>
      </w:r>
    </w:p>
    <w:p>
      <w:pPr>
        <w:spacing w:after="0" w:line="229" w:lineRule="exact"/>
        <w:rPr>
          <w:sz w:val="20"/>
          <w:szCs w:val="20"/>
          <w:color w:val="auto"/>
        </w:rPr>
      </w:pPr>
    </w:p>
    <w:p>
      <w:pPr>
        <w:ind w:firstLine="8"/>
        <w:spacing w:after="0" w:line="282" w:lineRule="auto"/>
        <w:tabs>
          <w:tab w:leader="none" w:pos="39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in accepting the Award, (i) agrees to the terms of the Award as set forth in this Award Agreement generally, and (ii) specifically (and without limiting the generality of clause (i)) agrees to the provisions of this Section 25.</w:t>
      </w:r>
    </w:p>
    <w:p>
      <w:pPr>
        <w:spacing w:after="0" w:line="161" w:lineRule="exact"/>
        <w:rPr>
          <w:rFonts w:ascii="Times New Roman" w:cs="Times New Roman" w:eastAsia="Times New Roman" w:hAnsi="Times New Roman"/>
          <w:sz w:val="18"/>
          <w:szCs w:val="18"/>
          <w:color w:val="auto"/>
        </w:rPr>
      </w:pPr>
    </w:p>
    <w:p>
      <w:pPr>
        <w:jc w:val="both"/>
        <w:ind w:firstLine="8"/>
        <w:spacing w:after="0" w:line="258" w:lineRule="auto"/>
        <w:tabs>
          <w:tab w:leader="none" w:pos="40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agrees that during the Restricted Period (as defined below), the Participant will not directly or indirectly solicit, induce or encourage, or attempt to solicit, induce or encourage, any employee or independent contractor of the Corporation or any of its Subsidiaries to leave the employ or service, as applicable, of the Corporation or any such Subsidiary, or become employed or engaged by any third party, or in any way interfere with the relationship between the Corporation or any such Subsidiary, on the one hand, and any employee or independent contractor thereof, on the other hand. This Section 25(b) does not limit any general advertising or job posting not directed at any individual or group of employees of the Corporation or any of its</w:t>
      </w:r>
    </w:p>
    <w:p>
      <w:pPr>
        <w:spacing w:after="0" w:line="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Subsidiaries. For purposes of this Award Agreement, “Restricted Period” means the period of time the Participant is employed by or provides services to the Corporation or one of its Subsidiaries and the period of twenty four (24) months after the Separation Date.</w:t>
      </w:r>
    </w:p>
    <w:p>
      <w:pPr>
        <w:spacing w:after="0" w:line="162" w:lineRule="exact"/>
        <w:rPr>
          <w:sz w:val="20"/>
          <w:szCs w:val="20"/>
          <w:color w:val="auto"/>
        </w:rPr>
      </w:pPr>
    </w:p>
    <w:p>
      <w:pPr>
        <w:jc w:val="both"/>
        <w:ind w:firstLine="8"/>
        <w:spacing w:after="0" w:line="252" w:lineRule="auto"/>
        <w:tabs>
          <w:tab w:leader="none" w:pos="4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Participant agrees that if the Participant were to become employed by, or substantially involved in, the business of a competitor of the Company or any of its Subsidiaries, it would be very difficult for the Participant not to rely on or use the Company’s and its Subsidiaries’ trade secrets and confidential information. Thus, to avoid the inevitable disclosure of the Company’s and its Subsidiaries’ trade secrets and confidential information, and to protect such trade secrets and confidential information and the Company’s and its Subsidiaries’ relationships and goodwill with customers, during the Restricted Period, the Participant will not directly or indirectly through any other person engage in, enter the employ of, render any services to, have any ownership interest in, nor participate in the financing, operation, management or control of, any Competing Business. For purposes of this Agreement, the phrase “directly or indirectly through any other Person engage in” shall include, without limitation, any direct or indirect ownership or profit participation interest in such enterprise, whether as an owner, stockholder, member, partner, joint venturer or otherwise, and shall include any direct or indirect participation in such enterprise as an employee, consultant, director, officer, advisor, licensor of technology or otherwise. For purposes of this Agreement, “Competing Business” means a person anywhere in the continental United States and elsewhere in the world where the Company or any of its Subsidiaries engages in business, or reasonably anticipates engaging in business, (the “Restricted Area”) that is engaged in design, development, manufacture, maintenance, offering, production or sales of hard disk drives or flash-based memory or other data storage devices or solutions. However, nothing in this Section 25(c) shall prohibit the Participant from being a passive owner of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outstanding stock of any class of a corporation which is publicly traded, so long as such ownership is indirect through a mutual fund, similar passive common investment fund, or a broadly-diversified account managed by an unaffiliated third party.</w:t>
      </w:r>
    </w:p>
    <w:p>
      <w:pPr>
        <w:spacing w:after="0" w:line="195" w:lineRule="exact"/>
        <w:rPr>
          <w:rFonts w:ascii="Times New Roman" w:cs="Times New Roman" w:eastAsia="Times New Roman" w:hAnsi="Times New Roman"/>
          <w:sz w:val="18"/>
          <w:szCs w:val="18"/>
          <w:color w:val="auto"/>
        </w:rPr>
      </w:pPr>
    </w:p>
    <w:p>
      <w:pPr>
        <w:jc w:val="both"/>
        <w:ind w:firstLine="8"/>
        <w:spacing w:after="0" w:line="256" w:lineRule="auto"/>
        <w:tabs>
          <w:tab w:leader="none" w:pos="48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acknowledges that, in the course of the Participant’s employment with the Company and/or its Subsidiaries and their predecessors, the Participant has become familiar, or will become familiar, with the Company’s and its Subsidiaries’ and their predecessors’ trade secrets and with other confidential and proprietary information concerning the Company, its Subsidiaries and their respective predecessors and that the Participant’s services have been and will be of special, unique and extraordinary value to the Company and its Subsidiaries. The Participant agrees that the covenants set forth in Sections 25(b) and (c) (together, the “Restrictive Covenants”) are reasonable and necessary to protect the Company’s and its Subsidiaries’ trade secrets and other confidential and proprietary information, good will, stable workforce, and customer relations.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13" w:right="339" w:bottom="1440" w:gutter="0" w:footer="0" w:header="0"/>
        </w:sectPr>
      </w:pPr>
    </w:p>
    <w:bookmarkStart w:id="102" w:name="page103"/>
    <w:bookmarkEnd w:id="102"/>
    <w:p>
      <w:pPr>
        <w:jc w:val="both"/>
        <w:ind w:firstLine="8"/>
        <w:spacing w:after="0" w:line="253" w:lineRule="auto"/>
        <w:tabs>
          <w:tab w:leader="none" w:pos="4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Participant’s agreement in Section 25(d), the Participant (i) represents that the Participant is familiar with and has carefully considered the Restrictive Covenants, (ii) represents that the Participant is fully aware of the Participant’s obligations hereunder, (iii) agrees to the reasonableness of the length of time, scope and geographic coverage, as applicable, of the Restrictive Covenants, (iv) agrees that the Company and its Subsidiaries currently conduct business throughout the world, and (v) agrees that the Restrictive Covenants will continue in effect for the applicable periods set forth above in this Section 25 regardless of whether the Participant is then entitled to receive any form of compensation, severance pay or benefits from the Company or any of its Subsidiaries. The Participant understands that the Restrictive Covenants may limit the Participant’s ability to earn a livelihood in a business similar to the business of the Company or any of its Subsidiaries, but the Participant nevertheless believes that the Participant has received and will receive sufficient consideration and other benefits as an employee of the Company or one of its Subsidiaries, and as otherwise provided hereunder, to clearly justify such restrictions which, in any event (given the Participant’s education, skills and ability), the Participant does not believe would prevent the Participant from otherwise earning a living. The Participant agrees that the Restrictive Covenants do not confer a benefit upon the Company and its Subsidiaries that is disproportionate to the detriment of the Participant.</w:t>
      </w:r>
    </w:p>
    <w:p>
      <w:pPr>
        <w:spacing w:after="0" w:line="191" w:lineRule="exact"/>
        <w:rPr>
          <w:rFonts w:ascii="Times New Roman" w:cs="Times New Roman" w:eastAsia="Times New Roman" w:hAnsi="Times New Roman"/>
          <w:sz w:val="18"/>
          <w:szCs w:val="18"/>
          <w:color w:val="auto"/>
        </w:rPr>
      </w:pPr>
    </w:p>
    <w:p>
      <w:pPr>
        <w:jc w:val="both"/>
        <w:ind w:firstLine="8"/>
        <w:spacing w:after="0" w:line="254" w:lineRule="auto"/>
        <w:tabs>
          <w:tab w:leader="none" w:pos="38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agrees that a breach by the Participant of any of the covenants in this Section 25 would cause immediate and irreparable harm to the Company that would be difficult or impossible to measure, and that damages to the Company for any such injury would therefore be an inadequate remedy for any such breach. Therefore, the Participant agrees that in the event of any breach or threatened breach of any provision of this Section 25, the Company (or its applicable Subsidiary, as the case may be) shall be entitled, in addition to and without limitation upon all other remedies the Company (or any of its Subsidiaries) may have under this Award Agreement, at law or otherwise, to obtain specific performance, injunctive relief and/or other appropriate relief (without posting any bond or deposit) in order to enforce or prevent any violations of the provisions of this Section 25, or require the Participant to account for and pay over to the Company all compensation, profits, moneys, accruals, increments or other benefits derived from or received as a result of any transactions constituting a breach of this Section 25 if and when final judgment of a court of competent jurisdiction or arbitrator, as applicable, is so entered against the Participant. The Participant further agrees that the applicable period of time any Restrictive Covenant is in effect following the Separation Date</w:t>
      </w:r>
    </w:p>
    <w:p>
      <w:pPr>
        <w:spacing w:after="0" w:line="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shall be extended by the same amount of time that the Participant is in breach of any Restrictive Covenant following the Separation Date. The Participant further agrees that in the event of any breach of any provision of this Section 25, in addition to and without limitation upon all other remedies the Company (or any of its Subsidiaries) may have under this Award Agreement, at law or otherwise, the Award (to the extent outstanding at the time of such breach) shall automatically terminate and be forfeited as of the time of such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17" w:right="33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PERFORMANCE STOCK UNIT AWARD – TSR MEASURE</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Performance Measures and Goals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[To be inserted]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019"/>
          </w:cols>
          <w:pgMar w:left="1440" w:top="1418" w:right="1440"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TERMS AND CONDITIONS OF STOCK UNIT AWARD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NON-U.S. EMPLOYEES</w:t>
      </w:r>
    </w:p>
    <w:p>
      <w:pPr>
        <w:spacing w:after="0" w:line="230" w:lineRule="exact"/>
        <w:rPr>
          <w:sz w:val="20"/>
          <w:szCs w:val="20"/>
          <w:color w:val="auto"/>
        </w:rPr>
      </w:pPr>
    </w:p>
    <w:p>
      <w:pPr>
        <w:ind w:left="1780" w:hanging="638"/>
        <w:spacing w:after="0"/>
        <w:tabs>
          <w:tab w:leader="none" w:pos="178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of Plan Participation for Non-U.S. Participants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Participant understands that this Appendix A contains additional terms and conditions that, together with the Plan and the Award Agreement, govern the Participant’s participation in the Plan if the Participant is working or resident in a country other than the United States. The Participant further understands that the Participant’s participation in the Plan also will be subject to any terms and conditions for the Participant’s country set forth in Appendix B attached hereto. </w:t>
      </w:r>
      <w:r>
        <w:rPr>
          <w:rFonts w:ascii="Times New Roman" w:cs="Times New Roman" w:eastAsia="Times New Roman" w:hAnsi="Times New Roman"/>
          <w:sz w:val="18"/>
          <w:szCs w:val="18"/>
          <w:i w:val="1"/>
          <w:iCs w:val="1"/>
          <w:color w:val="auto"/>
        </w:rPr>
        <w:t>Capitalized terms used but not defined in this Appendix A shall have the same meanings assigned to them in the Plan and/or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Award Agreement.</w:t>
      </w:r>
    </w:p>
    <w:p>
      <w:pPr>
        <w:spacing w:after="0" w:line="206" w:lineRule="exact"/>
        <w:rPr>
          <w:sz w:val="20"/>
          <w:szCs w:val="20"/>
          <w:color w:val="auto"/>
        </w:rPr>
      </w:pPr>
    </w:p>
    <w:p>
      <w:pPr>
        <w:ind w:left="1780" w:hanging="638"/>
        <w:spacing w:after="0"/>
        <w:tabs>
          <w:tab w:leader="none" w:pos="178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 supplements Section 10 of the Standard Terms:</w:t>
      </w:r>
    </w:p>
    <w:p>
      <w:pPr>
        <w:spacing w:after="0" w:line="2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Participant acknowledges that, regardless of any action taken by the Corporation or, if different, the Participant’s employer (“Employer”), the ultimate liability for all income tax, social insurance, payroll tax, fringe benefits tax, payment on account or other tax-related items related to the Participant’s participation in the Plan and this Award and legally applicable to the Participant (“Tax-Related Items”) is and remains the Participant’s responsibility and may exceed the amount, if any, actually withheld by the Corporation or the Employer. The Participant further acknowledges that the Corporation and/or the Employer (a) make no representations or undertakings regarding the treatment of any Tax-Related Items in connection with any aspect of the Stock Units, including, but not limited to, the grant, vesting or settlement of the Stock Units, the subsequent sale of shares of Common Stock acquired pursuant to such settlement and the receipt of any dividends and/or any dividend equivalents; and (b) do not commit to and are under no obligation to structure the terms of the grant or any aspect of the Stock Units to reduce or eliminate the Participant’s liability for Tax-Related Items or achieve any particular tax result. If the Participant is or becomes subject to Tax-Related Items in more than one jurisdiction, the Participant acknowledges that the Corporation and/or the Employer (or former employer, as applicable) may be required to withhold or account for Tax-Related Items in more than one jurisdiction.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Participant agrees, prior to any relevant taxable or tax withholding event, as applicable, to make adequate arrangements satisfactory to the Corporation and/or the Employer to satisfy all Tax-Related Items. In this regard, the Participant authorizes the Corporation and/or the Employer, or their respective agents, at the Corporation’s discretion, to satisfy the obligations with regard to all Tax-Related Items by one or a combination of the methods set forth in Section 8.5 of the Plan and Section 10 of the Standard Terms. In addition, the Participant authorizes withholding from proceeds of the sale of shares of Common Stock acquired upon settlement of the Stock Units either through a voluntary sale or through a mandatory sale arranged by the Corporation (on the Participant’s behalf pursuant to this authorization without further consent). If the Participant is subject to Section 16 of the Exchange Act, then withholding for Tax-Related Items shall be satisfied in accordance with Section 8.5 of the Plan, Section 10 of the Standard Terms, and the withholding methodology approved by the Administrator for officers subject to Section 16 of the Exchange Act.</w:t>
      </w:r>
    </w:p>
    <w:p>
      <w:pPr>
        <w:spacing w:after="0" w:line="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Depending on the withholding method, the Corporation and/or the Employer may withhold or account for Tax-Related Items by considering applicable minimum withholding amounts or other applicable withholding rates, including maximum applicable rates in the Participant's jurisdiction(s), in which case the Participant may receive a refund of any over-withheld amount in cash and will have no entitlement to the equivalent in Common Stock. If the Tax-Related Items are satisfied by withholding in shares of Common Stock, for tax purposes, the Participant is deemed to have been issued the full number of shares subject to the vested Stock Units, notwithstanding that a number of the Shares are held back solely for the purpose of paying the Tax-Related Items.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Participant further agrees to pay to the Corporation or the Employer, any amount of Tax-Related Items that the Corporation or the Employer may be required to withhold or account for as a result of the Participant’s participation in the Plan that cannot be satisfied by the means previously described.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386" w:right="339" w:bottom="1440" w:gutter="0" w:footer="0" w:header="0"/>
        </w:sectPr>
      </w:pPr>
    </w:p>
    <w:bookmarkStart w:id="105" w:name="page106"/>
    <w:bookmarkEnd w:id="105"/>
    <w:p>
      <w:pPr>
        <w:ind w:right="20"/>
        <w:spacing w:after="0" w:line="282" w:lineRule="auto"/>
        <w:rPr>
          <w:sz w:val="20"/>
          <w:szCs w:val="20"/>
          <w:color w:val="auto"/>
        </w:rPr>
      </w:pPr>
      <w:r>
        <w:rPr>
          <w:rFonts w:ascii="Times New Roman" w:cs="Times New Roman" w:eastAsia="Times New Roman" w:hAnsi="Times New Roman"/>
          <w:sz w:val="18"/>
          <w:szCs w:val="18"/>
          <w:color w:val="auto"/>
        </w:rPr>
        <w:t>Corporation may refuse to issue or deliver the shares of Common Stock or the proceeds from the sale of shares if the Participant fails to comply with the Participant’s obligations in connection with the Tax-Related Items.</w:t>
      </w:r>
    </w:p>
    <w:p>
      <w:pPr>
        <w:spacing w:after="0" w:line="158" w:lineRule="exact"/>
        <w:rPr>
          <w:sz w:val="20"/>
          <w:szCs w:val="20"/>
          <w:color w:val="auto"/>
        </w:rPr>
      </w:pPr>
    </w:p>
    <w:p>
      <w:pPr>
        <w:ind w:left="1780" w:hanging="638"/>
        <w:spacing w:after="0"/>
        <w:tabs>
          <w:tab w:leader="none" w:pos="178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Grant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accepting the Stock Units and any shares of Common Stock, the Participant acknowledges, understands and agrees that:</w:t>
      </w:r>
    </w:p>
    <w:p>
      <w:pPr>
        <w:spacing w:after="0" w:line="225" w:lineRule="exact"/>
        <w:rPr>
          <w:sz w:val="20"/>
          <w:szCs w:val="20"/>
          <w:color w:val="auto"/>
        </w:rPr>
      </w:pPr>
    </w:p>
    <w:p>
      <w:pPr>
        <w:ind w:firstLine="1304"/>
        <w:spacing w:after="0" w:line="282" w:lineRule="auto"/>
        <w:tabs>
          <w:tab w:leader="none" w:pos="1941"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Corporation, it is discretionary in nature, and may be amended, suspended or terminated by the Corporation at any time, to the extent permitted by the Plan;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38"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Stock Units is exceptional, voluntary and occasional and does not create any contractual or other right to receive future grants of Stock Units, or benefits in lieu of Stock Units, even if Stock Units have been granted in the past;</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Stock Units or other grants, if any, will be at the sole discretion of the Corporation;</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is voluntary participating in the Plan;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41"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Units and any shares of Common Stock acquired under the Plan, and the income and value of the same, are not intended to replace any pension rights or compensation;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35"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Units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Corporation or the Employer or any Subsidiary;</w:t>
      </w:r>
    </w:p>
    <w:p>
      <w:pPr>
        <w:spacing w:after="0" w:line="183"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of Common Stock underlying the Stock Units is unknown, indeterminable, and cannot be predicted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certainty;</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8"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with the Corporation, the Stock Units and the shares of Common Stock acquired under the Plan, and the income and value of same, are not granted as consideration for, or in connection with, the service the Participant may provide as a director of any Subsidiary;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8"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Stock Units resulting from the termination of the Participant’s employment (for any reason whatsoever, whether or not later found to be invalid or in breach of employment laws in the jurisdiction where the Participant is employed or providing services, or the terms of the Participant’s employment or service agreement, if any);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8"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Corporation in its discretion, the Stock Units and the benefits evidenced by the Award Agreement do not create any entitlement to have the Stock Units or any such benefits transferred to, or assumed by, another company nor to be exchanged, cashed out or substituted for, in connection with any corporate transaction affecting the shares;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8"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Corporation, the Employer nor any Subsidiary shall be liable for any foreign exchange rate fluctuation between the Participant’s local currency and the U.S. dollar that may affect the value of the Stock Units or of any amounts due to the Participant pursuant to the vesting of the Stock Units or the subsequent sale of any shares of Common Stock acquired upon vesting.</w:t>
      </w:r>
    </w:p>
    <w:p>
      <w:pPr>
        <w:spacing w:after="0" w:line="171" w:lineRule="exact"/>
        <w:rPr>
          <w:rFonts w:ascii="Times New Roman" w:cs="Times New Roman" w:eastAsia="Times New Roman" w:hAnsi="Times New Roman"/>
          <w:sz w:val="18"/>
          <w:szCs w:val="18"/>
          <w:color w:val="auto"/>
        </w:rPr>
      </w:pPr>
    </w:p>
    <w:p>
      <w:pPr>
        <w:ind w:left="1780" w:hanging="638"/>
        <w:spacing w:after="0"/>
        <w:tabs>
          <w:tab w:leader="none" w:pos="178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Data Privacy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By accepting the Stock Units via the Corporation’s acceptance procedure, the Participant is declaring that he or she agrees with the data processing practices described herein and consents to the collection, processing and use of Personal Data (as defined below) by the Corporation and the transfer of Personal Data to the recipients mentioned herein, including recipients located in countries which do not adduce an adequate</w:t>
      </w:r>
    </w:p>
    <w:p>
      <w:pPr>
        <w:sectPr>
          <w:pgSz w:w="11900" w:h="16838" w:orient="portrait"/>
          <w:cols w:equalWidth="0" w:num="1">
            <w:col w:w="11240"/>
          </w:cols>
          <w:pgMar w:left="320" w:top="13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390"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i w:val="1"/>
          <w:iCs w:val="1"/>
          <w:color w:val="auto"/>
        </w:rPr>
        <w:t>level of protection from a European (or other non-U.S.) data protection law perspective, for the purposes described herein.</w:t>
      </w:r>
    </w:p>
    <w:p>
      <w:pPr>
        <w:spacing w:after="0" w:line="225" w:lineRule="exact"/>
        <w:rPr>
          <w:sz w:val="20"/>
          <w:szCs w:val="20"/>
          <w:color w:val="auto"/>
        </w:rPr>
      </w:pPr>
    </w:p>
    <w:p>
      <w:pPr>
        <w:jc w:val="both"/>
        <w:ind w:firstLine="1304"/>
        <w:spacing w:after="0" w:line="259" w:lineRule="auto"/>
        <w:tabs>
          <w:tab w:leader="none" w:pos="1938"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Declaration of Consent</w:t>
      </w:r>
      <w:r>
        <w:rPr>
          <w:rFonts w:ascii="Times New Roman" w:cs="Times New Roman" w:eastAsia="Times New Roman" w:hAnsi="Times New Roman"/>
          <w:sz w:val="18"/>
          <w:szCs w:val="18"/>
          <w:b w:val="1"/>
          <w:bCs w:val="1"/>
          <w:i w:val="1"/>
          <w:iCs w:val="1"/>
          <w:color w:val="auto"/>
        </w:rPr>
        <w:t>. The Participant understands that he or she needs to review the following information about the processing of the Participant’s personal data by or on behalf of the Corporation, the Employer and/or any Subsidiary as described in this Award Agreement and any other Stock Unit grant materials (the “Personal Data”) and declare his or her consent. As regards the processing of the Participant’s Personal Data in connection with the Plan and this Award Agreement, the Participant understands that the Corporation is the controller of the Participant’s Personal Data.</w:t>
      </w:r>
    </w:p>
    <w:p>
      <w:pPr>
        <w:spacing w:after="0" w:line="179"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934"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Data Processing and Legal Basis</w:t>
      </w:r>
      <w:r>
        <w:rPr>
          <w:rFonts w:ascii="Times New Roman" w:cs="Times New Roman" w:eastAsia="Times New Roman" w:hAnsi="Times New Roman"/>
          <w:sz w:val="18"/>
          <w:szCs w:val="18"/>
          <w:b w:val="1"/>
          <w:bCs w:val="1"/>
          <w:i w:val="1"/>
          <w:iCs w:val="1"/>
          <w:color w:val="auto"/>
        </w:rPr>
        <w:t>. The Corporation collects, uses and otherwise processes Personal Data about the Participant for the purposes of allocating shares of Common Stock and implementing, administering and managing the Plan. The Participant understands that this Personal Data may include, without limitation, the Participant’s name, home address and telephone number, email address, date of birth, social insurance number, passport number or other identification number (e.g., resident registration number), salary, nationality, job title, any shares of stock or directorships held in the Corporation or its Subsidiaries, details of all Stock Units or any other entitlement to shares of stock or equivalent benefits awarded, canceled, exercised, vested, unvested or outstanding in the Participant’s favor. The legal basis for the processing of the Participant’s Personal Data will be the Participant’s consent.</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941"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Stock Plan Administration Service Providers</w:t>
      </w:r>
      <w:r>
        <w:rPr>
          <w:rFonts w:ascii="Times New Roman" w:cs="Times New Roman" w:eastAsia="Times New Roman" w:hAnsi="Times New Roman"/>
          <w:sz w:val="18"/>
          <w:szCs w:val="18"/>
          <w:b w:val="1"/>
          <w:bCs w:val="1"/>
          <w:i w:val="1"/>
          <w:iCs w:val="1"/>
          <w:color w:val="auto"/>
        </w:rPr>
        <w:t>. The Participant understands that the Corporation transfers the Participant’s Personal Data, or parts thereof, to E*TRADE Financial Corporation Services, Inc. (and its affiliated companies), an independent service provider based in the United States or IBI Capital for Israeli employees, each of which assists the Corporation with the implementation, administration and management of the Plan. In the future, the Corporation may select a different service provider and share the Participant’s Personal Data with such different service provider that serves the Corporation in a similar manner. The Participant understands and acknowledges that the Corporation’s service provider will open an account for the Participant to receive and trade Shares acquired under the Plan and that the Participant will be asked to agree on separate terms and data processing practices with the service provider, which is a condition of the Participant’s ability to participate in the Plan.</w:t>
      </w:r>
    </w:p>
    <w:p>
      <w:pPr>
        <w:spacing w:after="0" w:line="184"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934"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International Data Transfers.</w:t>
      </w:r>
      <w:r>
        <w:rPr>
          <w:rFonts w:ascii="Times New Roman" w:cs="Times New Roman" w:eastAsia="Times New Roman" w:hAnsi="Times New Roman"/>
          <w:sz w:val="18"/>
          <w:szCs w:val="18"/>
          <w:b w:val="1"/>
          <w:bCs w:val="1"/>
          <w:i w:val="1"/>
          <w:iCs w:val="1"/>
          <w:color w:val="auto"/>
        </w:rPr>
        <w:t xml:space="preserve"> The Participant understands that the Corporation and, as of the date hereof, any third parties assisting in the implementation, administration and management of the Plan, such as the Corporation’s service providers, are based in the United States. If the Participant is located outside the United States, the Participant understands and acknowledges that the Participant’s country has enacted data privacy laws that are different from the laws of the United States. Transfers of personal data from the EEA or the United Kingdom to the United States can be made on the basis of Standard Contractual Clauses approved by the European Commission, United Kingdom or other appropriate safeguards permissible under the applicable law. If the Participant is located in the EU, EEA or the United Kingdom, the Corporation may receive, process and transfer the Participant’s Personal Data onward to third-party service providers solely on the basis of appropriate data transfer agreements or other appropriate safeguards permissible under applicable law. If applicable, the Participant understands that the Participant can ask for a copy of the appropriate data processing agreements underlying the transfer of the Participant’s Personal Data by contacting the Participant’s local human resources representative. The Corporation’s legal basis for the transfer of the Participant’s Personal Data is the Participant’s consent.</w:t>
      </w:r>
    </w:p>
    <w:p>
      <w:pPr>
        <w:spacing w:after="0" w:line="185"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1941"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Data Retention.</w:t>
      </w:r>
      <w:r>
        <w:rPr>
          <w:rFonts w:ascii="Times New Roman" w:cs="Times New Roman" w:eastAsia="Times New Roman" w:hAnsi="Times New Roman"/>
          <w:sz w:val="18"/>
          <w:szCs w:val="18"/>
          <w:b w:val="1"/>
          <w:bCs w:val="1"/>
          <w:i w:val="1"/>
          <w:iCs w:val="1"/>
          <w:color w:val="auto"/>
        </w:rPr>
        <w:t xml:space="preserve"> The Participant understands that the Corporation will use the Participant’s Personal Data only as long as is necessary to implement, administer and manage the Participant’s participation in the Plan, or to comply with legal or regulatory obligations, including under tax and securities laws. In the latter case, the Participant understands and acknowledges that the Corporation’s legal basis for the processing of the Participant’s Personal Data would be compliance with the relevant laws or regulations or the pursuit by the Corporation of respective legitimate interests not outweighed by the Participant’s interests, rights or freedoms. When the Corporation no longer needs the Participant’s Personal Data for any of the above purposes, the Participant understands the Corporation will remove it from its systems.</w:t>
      </w:r>
    </w:p>
    <w:p>
      <w:pPr>
        <w:spacing w:after="0" w:line="182"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935"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Voluntariness and Consequences of Denial/Withdrawal of Consent</w:t>
      </w:r>
      <w:r>
        <w:rPr>
          <w:rFonts w:ascii="Times New Roman" w:cs="Times New Roman" w:eastAsia="Times New Roman" w:hAnsi="Times New Roman"/>
          <w:sz w:val="18"/>
          <w:szCs w:val="18"/>
          <w:b w:val="1"/>
          <w:bCs w:val="1"/>
          <w:i w:val="1"/>
          <w:iCs w:val="1"/>
          <w:color w:val="auto"/>
        </w:rPr>
        <w:t>. The Participant understands that the Participant’s participation in the Plan and the Participant’s grant of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386" w:right="339" w:bottom="1440" w:gutter="0" w:footer="0" w:header="0"/>
        </w:sectPr>
      </w:pPr>
    </w:p>
    <w:bookmarkStart w:id="107" w:name="page108"/>
    <w:bookmarkEnd w:id="107"/>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is purely voluntary. The Participant may deny or later withdraw the Participant’s consent at any time, with future effect and for any or no reason. If the Participant denies or later withdraws the Participant’s consent, the Corporation can no longer offer the Participant participation in the Plan or offer other awards to the Participant or administer or maintain such awards and the Participant would no longer be able to participate in the Plan. The Participant further understands that denial or withdrawal of the Participant’s consent would not affect the Participant’s status or salary as an employee or the Participant’s career and that the Participant would merely forfeit the opportunities associated with the Plan.</w:t>
      </w:r>
    </w:p>
    <w:p>
      <w:pPr>
        <w:spacing w:after="0" w:line="179" w:lineRule="exact"/>
        <w:rPr>
          <w:sz w:val="20"/>
          <w:szCs w:val="20"/>
          <w:color w:val="auto"/>
        </w:rPr>
      </w:pPr>
    </w:p>
    <w:p>
      <w:pPr>
        <w:jc w:val="both"/>
        <w:ind w:firstLine="1304"/>
        <w:spacing w:after="0" w:line="253" w:lineRule="auto"/>
        <w:tabs>
          <w:tab w:leader="none" w:pos="1938"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Data Subject Rights.</w:t>
      </w:r>
      <w:r>
        <w:rPr>
          <w:rFonts w:ascii="Times New Roman" w:cs="Times New Roman" w:eastAsia="Times New Roman" w:hAnsi="Times New Roman"/>
          <w:sz w:val="18"/>
          <w:szCs w:val="18"/>
          <w:b w:val="1"/>
          <w:bCs w:val="1"/>
          <w:i w:val="1"/>
          <w:iCs w:val="1"/>
          <w:color w:val="auto"/>
        </w:rPr>
        <w:t xml:space="preserve"> 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Corporation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the Participant’s objection, does not prove to be compelling, or processed in non-compliance with applicable legal requirements, (iv) request the Corporation to restrict the processing of the Participant’s Personal Data in certain situations where the Participant feels its processing is inappropriate, (v) object, in certain circumstances, to the processing of Personal Data for legitimate interests, and to (vi) request portability of the Participant’s Personal Data that the Participant has actively or passively provided to the Corporation (which does not include data derived or inferred from the collected data), where the processing of such Personal Data is based on consent or the Participant’s employment or service contract and is carried out by automated means. In case of concerns, the Participant understands that the Participant may also have the right to lodge a complaint with the competent local data protection authority. Further, to receive clarification of, or to exercise any of, the Participant’s rights the Participant understands that the Participant should contact the Participant’s local human resources representative.</w:t>
      </w:r>
    </w:p>
    <w:p>
      <w:pPr>
        <w:spacing w:after="0" w:line="185"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934"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Alternate Basis and Additional Consents.</w:t>
      </w:r>
      <w:r>
        <w:rPr>
          <w:rFonts w:ascii="Times New Roman" w:cs="Times New Roman" w:eastAsia="Times New Roman" w:hAnsi="Times New Roman"/>
          <w:sz w:val="18"/>
          <w:szCs w:val="18"/>
          <w:b w:val="1"/>
          <w:bCs w:val="1"/>
          <w:i w:val="1"/>
          <w:iCs w:val="1"/>
          <w:color w:val="auto"/>
        </w:rPr>
        <w:t xml:space="preserve"> Finally, the Participant understands that the Corporation may rely on a different basis for the processing or transfer of Personal Data in the future and/or request that the Participant provide another data privacy consent. If applicable, the Participant agrees that upon request of the Corporation or the Employer, the Participant will provide an executed acknowledgement or data privacy consent form (or any other agreements or consents) that the Corporation and/or the Employer may deem necessary to obtain from the Participant for the purpose of administering the Participant’s participation in the Plan in compliance with the data privacy laws in the Participant’s country, either now or in the future. The Participant understands and agrees that he or she will not be able to participate in the Plan if he or she fails to provide any such consent or agreement requested by the Corporation and/or the Employer.</w:t>
      </w:r>
    </w:p>
    <w:p>
      <w:pPr>
        <w:spacing w:after="0" w:line="200" w:lineRule="exact"/>
        <w:rPr>
          <w:sz w:val="20"/>
          <w:szCs w:val="20"/>
          <w:color w:val="auto"/>
        </w:rPr>
      </w:pPr>
    </w:p>
    <w:p>
      <w:pPr>
        <w:spacing w:after="0" w:line="226" w:lineRule="exact"/>
        <w:rPr>
          <w:sz w:val="20"/>
          <w:szCs w:val="20"/>
          <w:color w:val="auto"/>
        </w:rPr>
      </w:pPr>
    </w:p>
    <w:p>
      <w:pPr>
        <w:ind w:left="1780" w:hanging="638"/>
        <w:spacing w:after="0"/>
        <w:tabs>
          <w:tab w:leader="none" w:pos="178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Delivery and Acceptance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Participant agrees that the Corporation may decide, in its sole discretion, to deliver by email or other electronic means any documents relating to the Plan or the Stock Units. Further, the Participant agrees to participate in the Plan through an on-line or electronic system established and maintained by the Corporation or by a third party designated by the Corporation.</w:t>
      </w:r>
    </w:p>
    <w:p>
      <w:pPr>
        <w:spacing w:after="0" w:line="200" w:lineRule="exact"/>
        <w:rPr>
          <w:sz w:val="20"/>
          <w:szCs w:val="20"/>
          <w:color w:val="auto"/>
        </w:rPr>
      </w:pPr>
    </w:p>
    <w:p>
      <w:pPr>
        <w:spacing w:after="0" w:line="215" w:lineRule="exact"/>
        <w:rPr>
          <w:sz w:val="20"/>
          <w:szCs w:val="20"/>
          <w:color w:val="auto"/>
        </w:rPr>
      </w:pPr>
    </w:p>
    <w:p>
      <w:pPr>
        <w:ind w:left="1780" w:hanging="638"/>
        <w:spacing w:after="0"/>
        <w:tabs>
          <w:tab w:leader="none" w:pos="178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Insider Trading/ Market Abuse Laws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By participating in the Plan, the Participant agrees to comply with the Corporation’s policy on insider trading (to the extent that it is applicable to the Participant). Depending on the Participant’s country or the designated broker's country or country where the Common Stock is listed, the Participant may be subject to insider trading restrictions and/or market abuse laws, which may affect the Participant’s ability to accept, acquire, sell, attempt to sell or otherwise dispose of Common Stock, rights to Common Stock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Stock Units) or rights linked to the value of Common Stock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phantom awards, futures) during such times as the Participant is considered to have “inside information” regarding the Corporation (as defined by the laws or regulations in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386" w:right="339" w:bottom="1440" w:gutter="0" w:footer="0" w:header="0"/>
        </w:sectPr>
      </w:pPr>
    </w:p>
    <w:bookmarkStart w:id="108" w:name="page109"/>
    <w:bookmarkEnd w:id="108"/>
    <w:p>
      <w:pPr>
        <w:jc w:val="both"/>
        <w:spacing w:after="0" w:line="258" w:lineRule="auto"/>
        <w:rPr>
          <w:sz w:val="20"/>
          <w:szCs w:val="20"/>
          <w:color w:val="auto"/>
        </w:rPr>
      </w:pPr>
      <w:r>
        <w:rPr>
          <w:rFonts w:ascii="Times New Roman" w:cs="Times New Roman" w:eastAsia="Times New Roman" w:hAnsi="Times New Roman"/>
          <w:sz w:val="18"/>
          <w:szCs w:val="18"/>
          <w:color w:val="auto"/>
        </w:rPr>
        <w:t>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any applicable Corporation insider trading policy. The Participant is responsible for ensuring compliance with any applicable restrictions and should consult his or her personal legal advisor on this matter.</w:t>
      </w:r>
    </w:p>
    <w:p>
      <w:pPr>
        <w:spacing w:after="0" w:line="179" w:lineRule="exact"/>
        <w:rPr>
          <w:sz w:val="20"/>
          <w:szCs w:val="20"/>
          <w:color w:val="auto"/>
        </w:rPr>
      </w:pPr>
    </w:p>
    <w:p>
      <w:pPr>
        <w:ind w:left="1780" w:hanging="638"/>
        <w:spacing w:after="0"/>
        <w:tabs>
          <w:tab w:leader="none" w:pos="178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 Tax and/or Foreign Asset/Account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 equivalents paid with respect to the Stock Units or dividends paid on shares of Common Stock acquired under the Plan) in a brokerage/bank account or legal entity outside the Participant’s country. The Participant may be required to report such accounts, assets, the balances therein, the value thereof and/or the transactions related thereto to the tax or other authorities in the Participant’s country. The Participant also may be required to repatriate sale proceeds or other funds received as a result of the Participant’s participation in the Plan to the Participant’s country through a designated bank or broker within a certain time after receipt. The Participant acknowledges that it is the Participant’s responsibility to be compliant with such regulations, and the Participant should consult his or her personal legal advisor for any details.</w:t>
      </w:r>
    </w:p>
    <w:p>
      <w:pPr>
        <w:spacing w:after="0" w:line="188" w:lineRule="exact"/>
        <w:rPr>
          <w:sz w:val="20"/>
          <w:szCs w:val="20"/>
          <w:color w:val="auto"/>
        </w:rPr>
      </w:pPr>
    </w:p>
    <w:p>
      <w:pPr>
        <w:ind w:left="1780" w:hanging="638"/>
        <w:spacing w:after="0"/>
        <w:tabs>
          <w:tab w:leader="none" w:pos="178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Language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Participant acknowledges that he or she is sufficiently proficient in English, or has consulted with an advisor who is sufficiently proficient in English so as to allow the Participant to understand the terms and conditions of this Award Agreement. Furthermore, if the Award Agreement or any other document related to the Plan has been translated into a language other than English and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390" w:right="339" w:bottom="144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919"/>
          </w:cols>
          <w:pgMar w:left="540" w:top="1440" w:right="1440"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825625" cy="3086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182562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Western Digital Corporation</w:t>
      </w:r>
    </w:p>
    <w:p>
      <w:pPr>
        <w:spacing w:after="0" w:line="57"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color w:val="auto"/>
        </w:rPr>
        <w:t>5601 Great Oaks Parkway</w:t>
      </w:r>
    </w:p>
    <w:p>
      <w:pPr>
        <w:spacing w:after="0" w:line="5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color w:val="auto"/>
        </w:rPr>
        <w:t>San Jose, California 95119</w:t>
      </w:r>
    </w:p>
    <w:p>
      <w:pPr>
        <w:spacing w:after="0" w:line="5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color w:val="auto"/>
        </w:rPr>
        <w:t>(408) 717-6000</w:t>
      </w:r>
    </w:p>
    <w:p>
      <w:pPr>
        <w:spacing w:after="0" w:line="1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Notice of Grant of Restricted Stock Units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and Restricted Stock Unit Award Agreement – Vice President and Above</w:t>
      </w:r>
    </w:p>
    <w:p>
      <w:pPr>
        <w:spacing w:after="0" w:line="200" w:lineRule="exact"/>
        <w:rPr>
          <w:sz w:val="20"/>
          <w:szCs w:val="20"/>
          <w:color w:val="auto"/>
        </w:rPr>
      </w:pPr>
    </w:p>
    <w:p>
      <w:pPr>
        <w:spacing w:after="0" w:line="289" w:lineRule="exact"/>
        <w:rPr>
          <w:sz w:val="20"/>
          <w:szCs w:val="20"/>
          <w:color w:val="auto"/>
        </w:rPr>
      </w:pPr>
    </w:p>
    <w:p>
      <w:pPr>
        <w:ind w:left="40"/>
        <w:spacing w:after="0"/>
        <w:tabs>
          <w:tab w:leader="none" w:pos="4660" w:val="left"/>
        </w:tabs>
        <w:rPr>
          <w:sz w:val="20"/>
          <w:szCs w:val="20"/>
          <w:color w:val="auto"/>
        </w:rPr>
      </w:pPr>
      <w:r>
        <w:rPr>
          <w:rFonts w:ascii="Times New Roman" w:cs="Times New Roman" w:eastAsia="Times New Roman" w:hAnsi="Times New Roman"/>
          <w:sz w:val="22"/>
          <w:szCs w:val="22"/>
          <w:b w:val="1"/>
          <w:bCs w:val="1"/>
          <w:color w:val="auto"/>
        </w:rPr>
        <w:t>«fn» «mn» «ln»</w:t>
      </w:r>
      <w:r>
        <w:rPr>
          <w:sz w:val="20"/>
          <w:szCs w:val="20"/>
          <w:color w:val="auto"/>
        </w:rPr>
        <w:tab/>
      </w:r>
      <w:r>
        <w:rPr>
          <w:rFonts w:ascii="Times New Roman" w:cs="Times New Roman" w:eastAsia="Times New Roman" w:hAnsi="Times New Roman"/>
          <w:sz w:val="21"/>
          <w:szCs w:val="21"/>
          <w:b w:val="1"/>
          <w:bCs w:val="1"/>
          <w:color w:val="auto"/>
        </w:rPr>
        <w:t>Award Number: «nbr»</w:t>
      </w:r>
    </w:p>
    <w:p>
      <w:pPr>
        <w:spacing w:after="0" w:line="58" w:lineRule="exact"/>
        <w:rPr>
          <w:sz w:val="20"/>
          <w:szCs w:val="20"/>
          <w:color w:val="auto"/>
        </w:rPr>
      </w:pPr>
    </w:p>
    <w:p>
      <w:pPr>
        <w:ind w:left="40"/>
        <w:spacing w:after="0"/>
        <w:tabs>
          <w:tab w:leader="none" w:pos="4660" w:val="left"/>
          <w:tab w:leader="none" w:pos="5440" w:val="left"/>
        </w:tabs>
        <w:rPr>
          <w:sz w:val="20"/>
          <w:szCs w:val="20"/>
          <w:color w:val="auto"/>
        </w:rPr>
      </w:pPr>
      <w:r>
        <w:rPr>
          <w:rFonts w:ascii="Times New Roman" w:cs="Times New Roman" w:eastAsia="Times New Roman" w:hAnsi="Times New Roman"/>
          <w:sz w:val="22"/>
          <w:szCs w:val="22"/>
          <w:b w:val="1"/>
          <w:bCs w:val="1"/>
          <w:color w:val="auto"/>
        </w:rPr>
        <w:t>«ad1»</w:t>
      </w:r>
      <w:r>
        <w:rPr>
          <w:sz w:val="20"/>
          <w:szCs w:val="20"/>
          <w:color w:val="auto"/>
        </w:rPr>
        <w:tab/>
      </w:r>
      <w:r>
        <w:rPr>
          <w:rFonts w:ascii="Times New Roman" w:cs="Times New Roman" w:eastAsia="Times New Roman" w:hAnsi="Times New Roman"/>
          <w:sz w:val="22"/>
          <w:szCs w:val="22"/>
          <w:b w:val="1"/>
          <w:bCs w:val="1"/>
          <w:color w:val="auto"/>
        </w:rPr>
        <w:t>Plan:</w:t>
      </w:r>
      <w:r>
        <w:rPr>
          <w:sz w:val="20"/>
          <w:szCs w:val="20"/>
          <w:color w:val="auto"/>
        </w:rPr>
        <w:tab/>
      </w:r>
      <w:r>
        <w:rPr>
          <w:rFonts w:ascii="Times New Roman" w:cs="Times New Roman" w:eastAsia="Times New Roman" w:hAnsi="Times New Roman"/>
          <w:sz w:val="21"/>
          <w:szCs w:val="21"/>
          <w:b w:val="1"/>
          <w:bCs w:val="1"/>
          <w:color w:val="auto"/>
        </w:rPr>
        <w:t>2017 Performance Incentive Plan</w:t>
      </w:r>
    </w:p>
    <w:p>
      <w:pPr>
        <w:spacing w:after="0" w:line="58" w:lineRule="exact"/>
        <w:rPr>
          <w:sz w:val="20"/>
          <w:szCs w:val="20"/>
          <w:color w:val="auto"/>
        </w:rPr>
      </w:pPr>
    </w:p>
    <w:p>
      <w:pPr>
        <w:ind w:left="40"/>
        <w:spacing w:after="0"/>
        <w:tabs>
          <w:tab w:leader="none" w:pos="4660" w:val="left"/>
          <w:tab w:leader="none" w:pos="5260" w:val="left"/>
        </w:tabs>
        <w:rPr>
          <w:sz w:val="20"/>
          <w:szCs w:val="20"/>
          <w:color w:val="auto"/>
        </w:rPr>
      </w:pPr>
      <w:r>
        <w:rPr>
          <w:rFonts w:ascii="Times New Roman" w:cs="Times New Roman" w:eastAsia="Times New Roman" w:hAnsi="Times New Roman"/>
          <w:sz w:val="22"/>
          <w:szCs w:val="22"/>
          <w:b w:val="1"/>
          <w:bCs w:val="1"/>
          <w:color w:val="auto"/>
        </w:rPr>
        <w:t>«ad2»</w:t>
      </w:r>
      <w:r>
        <w:rPr>
          <w:sz w:val="20"/>
          <w:szCs w:val="20"/>
          <w:color w:val="auto"/>
        </w:rPr>
        <w:tab/>
      </w:r>
      <w:r>
        <w:rPr>
          <w:rFonts w:ascii="Times New Roman" w:cs="Times New Roman" w:eastAsia="Times New Roman" w:hAnsi="Times New Roman"/>
          <w:sz w:val="22"/>
          <w:szCs w:val="22"/>
          <w:b w:val="1"/>
          <w:bCs w:val="1"/>
          <w:color w:val="auto"/>
        </w:rPr>
        <w:t>ID:</w:t>
      </w:r>
      <w:r>
        <w:rPr>
          <w:sz w:val="20"/>
          <w:szCs w:val="20"/>
          <w:color w:val="auto"/>
        </w:rPr>
        <w:tab/>
      </w:r>
      <w:r>
        <w:rPr>
          <w:rFonts w:ascii="Times New Roman" w:cs="Times New Roman" w:eastAsia="Times New Roman" w:hAnsi="Times New Roman"/>
          <w:sz w:val="19"/>
          <w:szCs w:val="19"/>
          <w:b w:val="1"/>
          <w:bCs w:val="1"/>
          <w:color w:val="auto"/>
        </w:rPr>
        <w:t>«id»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«cty», «st»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36518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Congratulations! Effective [______________] (the “Grant Date”), you have been granted stock units (the “Restricted Stock</w:t>
      </w:r>
    </w:p>
    <w:p>
      <w:pPr>
        <w:spacing w:after="0" w:line="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Units”) of Western Digital Corporation. The Restricted Stock Units were granted under and are subject to the Corporation’s 2017 Performance Incentive Plan, as amended (the “Plan”).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Vesting:</w:t>
            </w:r>
          </w:p>
        </w:tc>
        <w:tc>
          <w:tcPr>
            <w:tcW w:w="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74"/>
        </w:trPr>
        <w:tc>
          <w:tcPr>
            <w:tcW w:w="5320" w:type="dxa"/>
            <w:vAlign w:val="bottom"/>
            <w:gridSpan w:val="3"/>
          </w:tcPr>
          <w:p>
            <w:pPr>
              <w:jc w:val="center"/>
              <w:ind w:left="452"/>
              <w:spacing w:after="0"/>
              <w:rPr>
                <w:sz w:val="20"/>
                <w:szCs w:val="20"/>
                <w:color w:val="auto"/>
              </w:rPr>
            </w:pPr>
            <w:r>
              <w:rPr>
                <w:rFonts w:ascii="Times New Roman" w:cs="Times New Roman" w:eastAsia="Times New Roman" w:hAnsi="Times New Roman"/>
                <w:sz w:val="22"/>
                <w:szCs w:val="22"/>
                <w:color w:val="auto"/>
                <w:w w:val="96"/>
              </w:rPr>
              <w:t>Stock Units</w:t>
            </w:r>
          </w:p>
        </w:tc>
        <w:tc>
          <w:tcPr>
            <w:tcW w:w="2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Vest Type</w:t>
            </w:r>
          </w:p>
        </w:tc>
        <w:tc>
          <w:tcPr>
            <w:tcW w:w="7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Full Vest</w:t>
            </w:r>
          </w:p>
        </w:tc>
      </w:tr>
      <w:tr>
        <w:trPr>
          <w:trHeight w:val="343"/>
        </w:trPr>
        <w:tc>
          <w:tcPr>
            <w:tcW w:w="2440" w:type="dxa"/>
            <w:vAlign w:val="bottom"/>
          </w:tcPr>
          <w:p>
            <w:pPr>
              <w:spacing w:after="0"/>
              <w:rPr>
                <w:sz w:val="24"/>
                <w:szCs w:val="24"/>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«sp1»</w:t>
            </w:r>
          </w:p>
        </w:tc>
        <w:tc>
          <w:tcPr>
            <w:tcW w:w="1880" w:type="dxa"/>
            <w:vAlign w:val="bottom"/>
          </w:tcPr>
          <w:p>
            <w:pPr>
              <w:spacing w:after="0"/>
              <w:rPr>
                <w:sz w:val="24"/>
                <w:szCs w:val="24"/>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«vtpr1»</w:t>
            </w:r>
          </w:p>
        </w:tc>
        <w:tc>
          <w:tcPr>
            <w:tcW w:w="188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«vdp1»</w:t>
            </w:r>
          </w:p>
        </w:tc>
      </w:tr>
      <w:tr>
        <w:trPr>
          <w:trHeight w:val="310"/>
        </w:trPr>
        <w:tc>
          <w:tcPr>
            <w:tcW w:w="2440" w:type="dxa"/>
            <w:vAlign w:val="bottom"/>
          </w:tcPr>
          <w:p>
            <w:pPr>
              <w:spacing w:after="0"/>
              <w:rPr>
                <w:sz w:val="24"/>
                <w:szCs w:val="24"/>
                <w:color w:val="auto"/>
              </w:rPr>
            </w:pPr>
          </w:p>
        </w:tc>
        <w:tc>
          <w:tcPr>
            <w:tcW w:w="2880" w:type="dxa"/>
            <w:vAlign w:val="bottom"/>
            <w:gridSpan w:val="2"/>
          </w:tcPr>
          <w:p>
            <w:pPr>
              <w:jc w:val="center"/>
              <w:ind w:right="1880"/>
              <w:spacing w:after="0"/>
              <w:rPr>
                <w:sz w:val="20"/>
                <w:szCs w:val="20"/>
                <w:color w:val="auto"/>
              </w:rPr>
            </w:pPr>
            <w:r>
              <w:rPr>
                <w:rFonts w:ascii="Times New Roman" w:cs="Times New Roman" w:eastAsia="Times New Roman" w:hAnsi="Times New Roman"/>
                <w:sz w:val="22"/>
                <w:szCs w:val="22"/>
                <w:color w:val="auto"/>
                <w:w w:val="98"/>
              </w:rPr>
              <w:t>«sp2»</w:t>
            </w:r>
          </w:p>
        </w:tc>
        <w:tc>
          <w:tcPr>
            <w:tcW w:w="2720" w:type="dxa"/>
            <w:vAlign w:val="bottom"/>
            <w:gridSpan w:val="2"/>
          </w:tcPr>
          <w:p>
            <w:pPr>
              <w:jc w:val="center"/>
              <w:ind w:right="1880"/>
              <w:spacing w:after="0"/>
              <w:rPr>
                <w:sz w:val="20"/>
                <w:szCs w:val="20"/>
                <w:color w:val="auto"/>
              </w:rPr>
            </w:pPr>
            <w:r>
              <w:rPr>
                <w:rFonts w:ascii="Times New Roman" w:cs="Times New Roman" w:eastAsia="Times New Roman" w:hAnsi="Times New Roman"/>
                <w:sz w:val="22"/>
                <w:szCs w:val="22"/>
                <w:color w:val="auto"/>
                <w:w w:val="98"/>
              </w:rPr>
              <w:t>«vtp2»</w:t>
            </w:r>
          </w:p>
        </w:tc>
        <w:tc>
          <w:tcPr>
            <w:tcW w:w="7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«vdp2»</w:t>
            </w:r>
          </w:p>
        </w:tc>
      </w:tr>
      <w:tr>
        <w:trPr>
          <w:trHeight w:val="310"/>
        </w:trPr>
        <w:tc>
          <w:tcPr>
            <w:tcW w:w="2440" w:type="dxa"/>
            <w:vAlign w:val="bottom"/>
          </w:tcPr>
          <w:p>
            <w:pPr>
              <w:spacing w:after="0"/>
              <w:rPr>
                <w:sz w:val="24"/>
                <w:szCs w:val="24"/>
                <w:color w:val="auto"/>
              </w:rPr>
            </w:pPr>
          </w:p>
        </w:tc>
        <w:tc>
          <w:tcPr>
            <w:tcW w:w="2880" w:type="dxa"/>
            <w:vAlign w:val="bottom"/>
            <w:gridSpan w:val="2"/>
          </w:tcPr>
          <w:p>
            <w:pPr>
              <w:jc w:val="center"/>
              <w:ind w:right="1880"/>
              <w:spacing w:after="0"/>
              <w:rPr>
                <w:sz w:val="20"/>
                <w:szCs w:val="20"/>
                <w:color w:val="auto"/>
              </w:rPr>
            </w:pPr>
            <w:r>
              <w:rPr>
                <w:rFonts w:ascii="Times New Roman" w:cs="Times New Roman" w:eastAsia="Times New Roman" w:hAnsi="Times New Roman"/>
                <w:sz w:val="22"/>
                <w:szCs w:val="22"/>
                <w:color w:val="auto"/>
                <w:w w:val="98"/>
              </w:rPr>
              <w:t>«sp3»</w:t>
            </w:r>
          </w:p>
        </w:tc>
        <w:tc>
          <w:tcPr>
            <w:tcW w:w="2720" w:type="dxa"/>
            <w:vAlign w:val="bottom"/>
            <w:gridSpan w:val="2"/>
          </w:tcPr>
          <w:p>
            <w:pPr>
              <w:jc w:val="center"/>
              <w:ind w:right="1880"/>
              <w:spacing w:after="0"/>
              <w:rPr>
                <w:sz w:val="20"/>
                <w:szCs w:val="20"/>
                <w:color w:val="auto"/>
              </w:rPr>
            </w:pPr>
            <w:r>
              <w:rPr>
                <w:rFonts w:ascii="Times New Roman" w:cs="Times New Roman" w:eastAsia="Times New Roman" w:hAnsi="Times New Roman"/>
                <w:sz w:val="22"/>
                <w:szCs w:val="22"/>
                <w:color w:val="auto"/>
                <w:w w:val="98"/>
              </w:rPr>
              <w:t>«vtp3»</w:t>
            </w:r>
          </w:p>
        </w:tc>
        <w:tc>
          <w:tcPr>
            <w:tcW w:w="7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«vdp3»</w:t>
            </w:r>
          </w:p>
        </w:tc>
      </w:tr>
      <w:tr>
        <w:trPr>
          <w:trHeight w:val="310"/>
        </w:trPr>
        <w:tc>
          <w:tcPr>
            <w:tcW w:w="2440" w:type="dxa"/>
            <w:vAlign w:val="bottom"/>
          </w:tcPr>
          <w:p>
            <w:pPr>
              <w:spacing w:after="0"/>
              <w:rPr>
                <w:sz w:val="24"/>
                <w:szCs w:val="24"/>
                <w:color w:val="auto"/>
              </w:rPr>
            </w:pPr>
          </w:p>
        </w:tc>
        <w:tc>
          <w:tcPr>
            <w:tcW w:w="2880" w:type="dxa"/>
            <w:vAlign w:val="bottom"/>
            <w:gridSpan w:val="2"/>
          </w:tcPr>
          <w:p>
            <w:pPr>
              <w:jc w:val="center"/>
              <w:ind w:right="1880"/>
              <w:spacing w:after="0"/>
              <w:rPr>
                <w:sz w:val="20"/>
                <w:szCs w:val="20"/>
                <w:color w:val="auto"/>
              </w:rPr>
            </w:pPr>
            <w:r>
              <w:rPr>
                <w:rFonts w:ascii="Times New Roman" w:cs="Times New Roman" w:eastAsia="Times New Roman" w:hAnsi="Times New Roman"/>
                <w:sz w:val="22"/>
                <w:szCs w:val="22"/>
                <w:color w:val="auto"/>
                <w:w w:val="98"/>
              </w:rPr>
              <w:t>«sp4»</w:t>
            </w:r>
          </w:p>
        </w:tc>
        <w:tc>
          <w:tcPr>
            <w:tcW w:w="2720" w:type="dxa"/>
            <w:vAlign w:val="bottom"/>
            <w:gridSpan w:val="2"/>
          </w:tcPr>
          <w:p>
            <w:pPr>
              <w:jc w:val="center"/>
              <w:ind w:right="1880"/>
              <w:spacing w:after="0"/>
              <w:rPr>
                <w:sz w:val="20"/>
                <w:szCs w:val="20"/>
                <w:color w:val="auto"/>
              </w:rPr>
            </w:pPr>
            <w:r>
              <w:rPr>
                <w:rFonts w:ascii="Times New Roman" w:cs="Times New Roman" w:eastAsia="Times New Roman" w:hAnsi="Times New Roman"/>
                <w:sz w:val="22"/>
                <w:szCs w:val="22"/>
                <w:color w:val="auto"/>
                <w:w w:val="98"/>
              </w:rPr>
              <w:t>«vtp4»</w:t>
            </w:r>
          </w:p>
        </w:tc>
        <w:tc>
          <w:tcPr>
            <w:tcW w:w="7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«vdp4»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36518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Your Restricted Stock Unit award is subject to the terms and conditions of this Notice, the attached Standard Terms and Conditions for Restricted Stock Unit Award – Vice President and Above (including any terms and conditions set forth in any appendices attached hereto collectively, the “Standard Terms”) and the Plan. By accepting the award, you are agreeing to the terms of the award as set forth in those documents. You should read the Plan, the Prospectus for the Plan, and the Standard Terms. The Standard Terms and the Plan are each incorporated into and made a part of this Notice by this reference. You do not have to accept your award and it is not a condition of employment to accept your award. If you do not agree to the terms of your award, you should promptly return this Notice to the Western Digital Corporation Stock Plans Administrator indicating that you do not wish to accept the award and your Restricted Stock Units will be cancelled.</w:t>
      </w:r>
    </w:p>
    <w:p>
      <w:pPr>
        <w:spacing w:after="0" w:line="18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A copy of the Plan, the Prospectus for the Plan, and the Standard Terms have been provided to you. If you need another copy of these documents, or if you would like to confirm that you have the most recent version, please contact the Corporation’s Stock Plans Administrator.</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13" w:right="339" w:bottom="1440" w:gutter="0" w:footer="0" w:header="0"/>
          <w:type w:val="continuous"/>
        </w:sectPr>
      </w:pPr>
    </w:p>
    <w:bookmarkStart w:id="111" w:name="page112"/>
    <w:bookmarkEnd w:id="111"/>
    <w:p>
      <w:pPr>
        <w:jc w:val="center"/>
        <w:spacing w:after="0" w:line="278" w:lineRule="auto"/>
        <w:rPr>
          <w:sz w:val="20"/>
          <w:szCs w:val="20"/>
          <w:color w:val="auto"/>
        </w:rPr>
      </w:pPr>
      <w:r>
        <w:rPr>
          <w:rFonts w:ascii="Times New Roman" w:cs="Times New Roman" w:eastAsia="Times New Roman" w:hAnsi="Times New Roman"/>
          <w:sz w:val="22"/>
          <w:szCs w:val="22"/>
          <w:b w:val="1"/>
          <w:bCs w:val="1"/>
          <w:color w:val="auto"/>
        </w:rPr>
        <w:t xml:space="preserve">STANDARD TERMS AND CONDITIONS FOR RESTRICTED STOCK UNIT AWARD – VICE PRESIDENT AND ABOVE </w:t>
      </w:r>
      <w:r>
        <w:rPr>
          <w:rFonts w:ascii="Times New Roman" w:cs="Times New Roman" w:eastAsia="Times New Roman" w:hAnsi="Times New Roman"/>
          <w:sz w:val="22"/>
          <w:szCs w:val="22"/>
          <w:color w:val="auto"/>
        </w:rPr>
        <w:t>Amended and Restated 2017 Performance Incentive Plan</w:t>
      </w:r>
    </w:p>
    <w:p>
      <w:pPr>
        <w:spacing w:after="0" w:line="183"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Units Subject to Amended and Restated 2017 Performance Incentive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Restricted Stock Unit Award (the “Award”) referred to in the attached Notice of Grant of Restricted Stock Units and Restricted Stock Unit Award Agreement – Vice President and Above (the “Notice”) was awarded under Western Digital Corporation’s (the “Corporation’s”) Amended and Restated 2017 Performance Incentive Plan, as amended (the “Plan”). Each Restricted Stock Unit covered by the Award (“Stock Unit”) is a non-voting unit of measurement that is deemed for bookkeeping purposes to be equivalent to one outstanding share of Common Stock (subject to adjustment as provided in Section 7.1 of the Plan). The holder of the Stock Units is referred to herein as the “Participant.” Stock Units shall be used solely as a device for the determination of the number of shares of Common Stock to eventually be delivered to the Participant if Stock Units held by such Participant vest pursuant to Section 4, Section 7 or Section 8 and shall not be treated as property or as a trust fund of any kind. Stock Units granted to the Participant shall be credited to an unfunded bookkeeping account maintained by the Corporation on behalf of the Participant (a “Stock Unit Account”).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Stock Units are subject to the terms and provisions of the Notice, these Standard Terms and Conditions for the Restricted Stock Unit Award – Vice President and Above (including any terms and conditions set forth in any appendices attached hereto) (collectively, these “Standard Terms”), and the Plan. To the extent any information in the Notice, the prospectus for the Plan, or other information provided by the Corporation conflicts with the Plan and/or these Standard Terms, the Plan or these Standard Terms, as applicable, shall control. To the extent any terms and provisions in these Standard Terms conflict with the terms and provisions of the Plan, the Plan shall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not defined herein have the meanings set forth in the Plan or in the Notice, as applicable.</w:t>
      </w:r>
    </w:p>
    <w:p>
      <w:pPr>
        <w:spacing w:after="0" w:line="221"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 Agreement</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Notice and these Standard Terms (together, the “Award Agreement”) constitute the award agreement with respect to the Award pursuant to Section 5.2 of the Plan.</w:t>
      </w:r>
    </w:p>
    <w:p>
      <w:pPr>
        <w:spacing w:after="0" w:line="158"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Deferral of Stock Units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otherwise provided in this Award Agreement, the Award shall vest and become nonforfeitable in percentage installments of the aggregate number of Stock Units as set forth in the Notice. Except as expressly provided in Sections 7 and 8 below, vesting requires continued employment or service with the Corporation or one of its Subsidiaries through each applicable vesting date as a condition to the vesting of the applicable installment of the Award and the rights and benefits under this Award Agreement. Except as expressly provided in Sections 7 and 8 below, employment or service for only a portion of the vesting period, even if a substantial portion, will not entitle the Participant to any proportionate vesting, or avoid or mitigate a termination of rights and benefits upon or following a termination of employment or services as provided in Section 8 below or under the Plan.</w:t>
      </w:r>
    </w:p>
    <w:p>
      <w:pPr>
        <w:spacing w:after="0" w:line="183"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 Equivalent Rights Distributions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any date that the Corporation pays an ordinary cash dividend on its Common Stock, the Corporation shall credit the Participant’s Stock Unit Account with an additional number of Stock Units equal to (i) the per share cash dividend paid by the Corporation on its Common Stock on such date, multiplied by</w:t>
      </w:r>
    </w:p>
    <w:p>
      <w:pPr>
        <w:ind w:firstLine="8"/>
        <w:spacing w:after="0" w:line="260" w:lineRule="auto"/>
        <w:tabs>
          <w:tab w:leader="none" w:pos="27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Stock Units remaining subject to the Award as of the related dividend payment record date, divided by (iii) the Fair Market Value of a share of Common Stock on the date of payment of such dividend. The Stock Units credited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1" w:right="339" w:bottom="1440" w:gutter="0" w:footer="0" w:header="0"/>
        </w:sectPr>
      </w:pPr>
    </w:p>
    <w:bookmarkStart w:id="112" w:name="page113"/>
    <w:bookmarkEnd w:id="112"/>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foregoing provisions of this Section 5 shall be subject to the same vesting, payment and other terms, conditions and restrictions as the original Stock Units to which they relate.</w:t>
      </w:r>
    </w:p>
    <w:p>
      <w:pPr>
        <w:spacing w:after="0" w:line="158"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Timing and Manner of Payment of Stock Units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Section 7 below and the following paragraph of this Section 6, any Stock Unit granted (or credited pursuant to Section 5) to the Participant that becomes vested (whether pursuant to Section 4, Section 7 or Section 8 hereof) shall be paid to the Participant on or within sixty (60) days following the first to occur of: (a) the date that such Stock Unit was scheduled to vest as set forth in the Notice, (b) the date of the Participant’s Separation from Service (as defined below), or (c) the Participant’s death. The Corporation shall make payment of a Stock Unit that has vested by delivering to the Participant a share of Common Stock (either by delivering one or more certificates for the shares deliverable or by entering such shares in book entry form, as determined by the Corporation in its sole discretion), subject to adjustment as provided in Section 7.1 of the Plan. The Corporation’s obligation to deliver shares of Common Stock with respect to vested Stock Units is subject to the condition precedent that the Participant (or other person entitled under the Plan to receive any shares with respect to the vested Stock Units) delivers to the Corporation any representations or other documents or assurances required pursuant to Section 8.1 of the Plan in advance of the scheduled payment date. The Participant shall have no further rights with respect to any Stock Units that are paid pursuant to this Section 6 or Section 7 hereof, or that are terminated pursuant to Section 7 or Section 8 hereof, and such Stock Units shall be removed from the Participant’s Stock Unit Account upon the date of such payment or termination. The Corporation may, in its sole discretion, settle any Stock Units credited as dividend equivalents by a cash payment equal to the fair market value of a share of Common Stock on the date of payment (as opposed to payment in the form of shares of Common Stock).</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payment is triggered by the Participant’s Separation from Service and, as of the date of such Separation from Service the Participant is a Specified Employee, then any Stock Units that would otherwise become payable on the Participant’s Separation from Service shall be paid on (or as soon as administratively practicable following) the first day of the seventh month following the month in which the Participant’s Separation from Service occurs. The determination of whether the Participant is a “Specified Employee” shall be made in accordance with the definition of “Specified Employee” as set forth in the Western Digital Corporation Deferred Compensation Plan, as amended and restated (the “Deferred Compensation Plan”), regardless of whether the Participant participates in the Deferred Compensation Plan.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this Award Agreement, the term “Separation from Service” (which generally means that the Participant ceases to be employed by the Corporation and its affiliates) is used as defined in the Deferred Compensation Plan and the determination of whether a Separation from Service has occurred shall be made in accordance with the rules set forth in the definition of “Separation from Service” in the Deferred Compensation Plan, regardless of whether the Participant participates in the Deferred Compensation Plan, except that for purposes of this Award Agreement a “Separation from Service” shall include a separation from service due to Disability (as such term is used in the Deferred Compensation Plan).</w:t>
      </w:r>
    </w:p>
    <w:p>
      <w:pPr>
        <w:spacing w:after="0" w:line="179" w:lineRule="exact"/>
        <w:rPr>
          <w:sz w:val="20"/>
          <w:szCs w:val="20"/>
          <w:color w:val="auto"/>
        </w:rPr>
      </w:pPr>
    </w:p>
    <w:p>
      <w:pPr>
        <w:ind w:left="660" w:hanging="652"/>
        <w:spacing w:after="0"/>
        <w:tabs>
          <w:tab w:leader="none" w:pos="6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Control Event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a transaction referenced in Section 7.2 of the Plan in connection with which the Corporation will not survive or will not survive as a public company in respect of its Common Stock, the Administrator may (without limiting the adjustment authority of Section 7.1 of the Plan and without limiting the flexibility of the Administrator to provide for the assumption, substitution or exchange of the Award pursuant to Section 7.2 of the Plan) provide that payment for each Stock Unit that is otherwise outstanding on the date of such event and that becomes vested may be made in the form of cash in an amount equal to the fair market value of a share of Common Stock as of the date of the closing of such transaction. However, notwithstanding anything otherwise provided in Section 7.2 of the Plan but subject to the following sentence, the time of payment of the Award may not be changed and shall be as set forth in Section 6 above. The Administrator may (notwithstanding the time of payment provisions of Sections 6 and 8 hereof) provide for the termination of the Stock Units subject to the Award in connection with the occurrence of a Change in Control Event in connection with which the Administrator has not made a provision for the substitution, assumption, exchange or other continuation of the Award; provided that (A) in such event, the portion of the Award that is outstanding and unvested immediately prior to such termination shall vest and become payable, and (B) such acceleration, termination and payment of the Award satisfies the requirements of Treas. Reg. Section 1.409A-3(j)(4)(ix) (which requirements include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0" w:right="339" w:bottom="1440" w:gutter="0" w:footer="0" w:header="0"/>
        </w:sectPr>
      </w:pPr>
    </w:p>
    <w:bookmarkStart w:id="113" w:name="page114"/>
    <w:bookmarkEnd w:id="113"/>
    <w:p>
      <w:pPr>
        <w:ind w:right="20"/>
        <w:spacing w:after="0" w:line="282" w:lineRule="auto"/>
        <w:rPr>
          <w:sz w:val="20"/>
          <w:szCs w:val="20"/>
          <w:color w:val="auto"/>
        </w:rPr>
      </w:pPr>
      <w:r>
        <w:rPr>
          <w:rFonts w:ascii="Times New Roman" w:cs="Times New Roman" w:eastAsia="Times New Roman" w:hAnsi="Times New Roman"/>
          <w:sz w:val="18"/>
          <w:szCs w:val="18"/>
          <w:color w:val="auto"/>
        </w:rPr>
        <w:t>Change in Control Event qualifying as a change in the ownership or effective control of the Corporation, or a change in the ownership of a substantial portion of the assets of the Corporation, within the meaning of Treas. Reg. Section 1.409A-3(i)(5)).</w:t>
      </w:r>
    </w:p>
    <w:p>
      <w:pPr>
        <w:spacing w:after="0" w:line="158"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w:t>
      </w:r>
    </w:p>
    <w:p>
      <w:pPr>
        <w:spacing w:after="0" w:line="229" w:lineRule="exact"/>
        <w:rPr>
          <w:sz w:val="20"/>
          <w:szCs w:val="20"/>
          <w:color w:val="auto"/>
        </w:rPr>
      </w:pPr>
    </w:p>
    <w:p>
      <w:pPr>
        <w:jc w:val="both"/>
        <w:ind w:firstLine="8"/>
        <w:spacing w:after="0" w:line="254" w:lineRule="auto"/>
        <w:tabs>
          <w:tab w:leader="none" w:pos="37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Generally</w:t>
      </w:r>
      <w:r>
        <w:rPr>
          <w:rFonts w:ascii="Times New Roman" w:cs="Times New Roman" w:eastAsia="Times New Roman" w:hAnsi="Times New Roman"/>
          <w:sz w:val="18"/>
          <w:szCs w:val="18"/>
          <w:color w:val="auto"/>
        </w:rPr>
        <w:t>. Except as expressly provided below in this Section 8, if the Participant ceases to be employed by or to provide services to the Corporation or its Subsidiaries for any reason (the last day that the Participant is employed by or provides services as a consultant or director to the Corporation or a Subsidiary prior to a period in which the Participant is not employed by, and does not have any such service relationship with, any such entity as determined by the Administrator is referred to as the Participant’s “Separation Date”), the Participant’s Stock Units shall, to the extent such Stock Units have not become vested upon the Separation Date, automatically be forfeited to the Corporation effective immediately following the Separation Date. If the Participant is entitled to any accelerated vesting pursuant to any provision below in this Section 8, any remaining unvested portion of the Participant’s Stock Units (after giving effect to such acceleration) shall automatically be forfeited to the Corporation effective immediately following the Separation Date.</w:t>
      </w:r>
    </w:p>
    <w:p>
      <w:pPr>
        <w:spacing w:after="0" w:line="191" w:lineRule="exact"/>
        <w:rPr>
          <w:rFonts w:ascii="Times New Roman" w:cs="Times New Roman" w:eastAsia="Times New Roman" w:hAnsi="Times New Roman"/>
          <w:sz w:val="18"/>
          <w:szCs w:val="18"/>
          <w:color w:val="auto"/>
        </w:rPr>
      </w:pPr>
    </w:p>
    <w:p>
      <w:pPr>
        <w:jc w:val="both"/>
        <w:ind w:firstLine="8"/>
        <w:spacing w:after="0" w:line="252" w:lineRule="auto"/>
        <w:tabs>
          <w:tab w:leader="none" w:pos="39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the Participant</w:t>
      </w:r>
      <w:r>
        <w:rPr>
          <w:rFonts w:ascii="Times New Roman" w:cs="Times New Roman" w:eastAsia="Times New Roman" w:hAnsi="Times New Roman"/>
          <w:sz w:val="18"/>
          <w:szCs w:val="18"/>
          <w:color w:val="auto"/>
        </w:rPr>
        <w:t>. In the event of the Participant’s death at a time when the Participant is employed by or providing services to the Corporation or any of its Subsidiaries, a portion of the otherwise outstanding and unvested Stock Units subject to the Award shall automatically become vested as of the date of the Participant’s death, and shall be paid to the Participant as provided in Section 6 above. In such event, the number of Stock Units that shall become vested on the date of the date of the Participant’s death equals (i) minus (ii) (but not less than zero), where (i) is the Employment Fraction (determined as set forth below) multiplied by the total number of Stock Units originally subject to the Award (subject to adjustment as provided in Section 9 hereof but before taking the crediting of dividend equivalent Stock Units pursuant to Section 5 above into account), and (ii) is the number of Stock Units otherwise paid or payable on or prior to the date of the Separation Date (before taking the acceleration contemplated by this Section 8(b) into account and before taking the crediting of dividend equivalent Stock Units pursuant to Section 5 above into account). To the extent any Stock Units accelerate in connection with the Participant’s death pursuant to the preceding sentence, the dividend equivalent Stock Units credited pursuant to Section 5 above with respect to such Stock Units shall also accelerate and become vested as of the Separation Date. For purposes of this Section 8, the “Employment Fraction” equals a fraction (not greater than one), the numerator of which is the total number of calendar days in the period beginning with the Grant Date as set forth in the Notice through and including the Participant’s Separation Date, and the denominator of which is the total number of calendar days in the period beginning with the Grant Date as set forth in the Notice through and including the last scheduled vesting date applicable to the Award as set forth in the Notice.</w:t>
      </w:r>
    </w:p>
    <w:p>
      <w:pPr>
        <w:spacing w:after="0" w:line="197" w:lineRule="exact"/>
        <w:rPr>
          <w:rFonts w:ascii="Times New Roman" w:cs="Times New Roman" w:eastAsia="Times New Roman" w:hAnsi="Times New Roman"/>
          <w:sz w:val="18"/>
          <w:szCs w:val="18"/>
          <w:color w:val="auto"/>
        </w:rPr>
      </w:pPr>
    </w:p>
    <w:p>
      <w:pPr>
        <w:jc w:val="both"/>
        <w:ind w:firstLine="8"/>
        <w:spacing w:after="0" w:line="253" w:lineRule="auto"/>
        <w:tabs>
          <w:tab w:leader="none" w:pos="40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 of the Participant</w:t>
      </w:r>
      <w:r>
        <w:rPr>
          <w:rFonts w:ascii="Times New Roman" w:cs="Times New Roman" w:eastAsia="Times New Roman" w:hAnsi="Times New Roman"/>
          <w:sz w:val="18"/>
          <w:szCs w:val="18"/>
          <w:color w:val="auto"/>
        </w:rPr>
        <w:t>. If the Participant Retires (as defined below) from the Corporation or one of its Subsidiaries, a portion of the otherwise outstanding and unvested Stock Units subject to the Award shall automatically become vested as of the date of such retirement and shall be paid to the Participant as provided in Section 6 above. In such event, the number of Stock Units that shall become vested on the date of the Participant’s Retirement equals (i) minus (ii) (but not less than zero), where (i) is the Employment Fraction (determined as set forth above in Section 8(b)) multiplied by the total number of Stock Units originally subject to the Award (subject to adjustment as provided in Section 9 hereof but before taking the crediting of dividend equivalent Stock Units pursuant to Section 5 above into account), and (ii) is the number of Stock Units otherwise paid or payable on or prior to the Separation Date (before taking the acceleration contemplated by this Section 8(c) into account and before taking the crediting of dividend equivalent Stock Units pursuant to Section 5 above into account). To the extent any Stock Units accelerate in connection with a Retirement pursuant to the foregoing provisions of this Section 8(c), the dividend equivalent Stock Units credited pursuant to Section 5 above with respect to such Stock Units shall also accelerate and become vested as of the Separation Date.</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 purposes of this Award Agreement, the Participant shall be deemed to have “Retired” (which term shall include “Retirement,” “Retire” and “Retires”) if the Participant retires from employment with the Corporation or one of its Subsidiaries for any reason other than Cause (as defined below) and other than due to the Participant’s death after satisfying all of the following requirements at the time of such retirement: (i) the Participant is at least 55 years of age,</w:t>
      </w:r>
    </w:p>
    <w:p>
      <w:pPr>
        <w:spacing w:after="0" w:line="1" w:lineRule="exact"/>
        <w:rPr>
          <w:sz w:val="20"/>
          <w:szCs w:val="20"/>
          <w:color w:val="auto"/>
        </w:rPr>
      </w:pPr>
    </w:p>
    <w:p>
      <w:pPr>
        <w:ind w:firstLine="8"/>
        <w:spacing w:after="0" w:line="260" w:lineRule="auto"/>
        <w:tabs>
          <w:tab w:leader="none" w:pos="26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has five (5) or more whole years of credited service with the Corporation or any of its Subsidiaries ending on the date of such retirement, and (iii) the Participant’s age plus years of credited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0" w:right="339" w:bottom="1440" w:gutter="0" w:footer="0" w:header="0"/>
        </w:sectPr>
      </w:pPr>
    </w:p>
    <w:bookmarkStart w:id="114" w:name="page115"/>
    <w:bookmarkEnd w:id="114"/>
    <w:p>
      <w:pPr>
        <w:jc w:val="both"/>
        <w:spacing w:after="0" w:line="258" w:lineRule="auto"/>
        <w:rPr>
          <w:sz w:val="20"/>
          <w:szCs w:val="20"/>
          <w:color w:val="auto"/>
        </w:rPr>
      </w:pPr>
      <w:r>
        <w:rPr>
          <w:rFonts w:ascii="Times New Roman" w:cs="Times New Roman" w:eastAsia="Times New Roman" w:hAnsi="Times New Roman"/>
          <w:sz w:val="18"/>
          <w:szCs w:val="18"/>
          <w:color w:val="auto"/>
        </w:rPr>
        <w:t>service with the Corporation or any of its Subsidiaries (including only whole years in the case of both age and credited service for purposes of this requirement) totals at least 70. The Administrator shall determine the Participant’s “years of credited service” under clauses (ii) and (iii) above; provided that, for such purposes, in no event shall the Participant accrue more than one year of service with respect to any period of twelve consecutive months (that is, concurrent employment by both the Corporation and one or more of its Subsidiaries, or by multiple Subsidiaries, for a month shall not be counted as more than one month of service).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clarity, Retirement is based on a termination of employment and not a termination of any other service relationship. However, if the Participant Retires and continues in another service capacity such that the Participant does not have a Separation Date in connection with his or her Retirement, the portion of the Award (if any) that accelerates in connection with such Retirement shall be deemed to correspond to the first vesting date scheduled to occur after the date of such Retirement and the portion of the Award not vested on the Participant’s Retirement shall remain eligible to vest through and until the Participant’s Separation Date (in connection with any such Separation Date the other provisions of this Section 8 shall apply as to such portion of the Award; in the event the Participant is entitled to accelerated vesting pursuant to Section 8(b), the provisions of Section 8(b) and not this Section 8(c) shall apply).</w:t>
      </w:r>
    </w:p>
    <w:p>
      <w:pPr>
        <w:spacing w:after="0" w:line="189" w:lineRule="exact"/>
        <w:rPr>
          <w:sz w:val="20"/>
          <w:szCs w:val="20"/>
          <w:color w:val="auto"/>
        </w:rPr>
      </w:pPr>
    </w:p>
    <w:p>
      <w:pPr>
        <w:jc w:val="both"/>
        <w:ind w:firstLine="8"/>
        <w:spacing w:after="0" w:line="256" w:lineRule="auto"/>
        <w:tabs>
          <w:tab w:leader="none" w:pos="43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Termination of Employment After a Change in Control Event - Not a Severance Plan Participant</w:t>
      </w:r>
      <w:r>
        <w:rPr>
          <w:rFonts w:ascii="Times New Roman" w:cs="Times New Roman" w:eastAsia="Times New Roman" w:hAnsi="Times New Roman"/>
          <w:sz w:val="18"/>
          <w:szCs w:val="18"/>
          <w:color w:val="auto"/>
        </w:rPr>
        <w:t>. This Section 8(d) is applicable if the Participant is not, at the time of the termination of the Participant’s employment, a participant in (i) the Western Digital Corporation Executive Severance Plan (or any applicable successor executive severance plan, as each is in effect at the time of such termination of employment, and only if such severance plan then otherwise applies with respect to the Participant) (“Pre-CIC Severance Plan”) and/or (ii) the Western Digital Corporation Amended and Restated Change of Control Severance Plan (or any applicable successor change of control severance plan, as each is in effect at the time of such termination of employment, and only if such severance plan then otherwise applies with respect to the Participant) (“CIC Severance Plan”).</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the Participant ceases to be employed by the Corporation or any of its Subsidiaries as a result of either a termination of employment by the Corporation or one of its Subsidiaries without “Cause” (as defined below) or the resignation of the Participant for “Good Reason” (as defined below), in either case upon or within the one (1) year period following the occurrence of a Change in Control Event, the Award (to the extent outstanding and not previously vested) shall fully vest on the Participant’s Separation Date and shall be paid to the Participant as provided in Section 6 above. If the Participant’s employment terminates in the circumstances described in the preceding sentence and the Participant also qualifies for Retirement under Section 8(c) above, this Section 8(d) shall apply.</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Award Agreement, the term “Cause” is used as defined in the CIC Severance Plan (for clarity, including if the Participant does not participate in such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Award Agreement, the term “Good Reason” shall mean any of the following without the Participant’s express written consent:</w:t>
      </w:r>
    </w:p>
    <w:p>
      <w:pPr>
        <w:spacing w:after="0" w:line="252" w:lineRule="exact"/>
        <w:rPr>
          <w:sz w:val="20"/>
          <w:szCs w:val="20"/>
          <w:color w:val="auto"/>
        </w:rPr>
      </w:pPr>
    </w:p>
    <w:p>
      <w:pPr>
        <w:ind w:left="1720" w:hanging="416"/>
        <w:spacing w:after="0"/>
        <w:tabs>
          <w:tab w:leader="none" w:pos="17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Participant’s authority, duties or responsibilities in effect immediately prior to the Change in Control</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Event;</w:t>
      </w:r>
    </w:p>
    <w:p>
      <w:pPr>
        <w:spacing w:after="0" w:line="234" w:lineRule="exact"/>
        <w:rPr>
          <w:sz w:val="20"/>
          <w:szCs w:val="20"/>
          <w:color w:val="auto"/>
        </w:rPr>
      </w:pPr>
    </w:p>
    <w:p>
      <w:pPr>
        <w:ind w:left="660" w:firstLine="644"/>
        <w:spacing w:after="0" w:line="282" w:lineRule="auto"/>
        <w:tabs>
          <w:tab w:leader="none" w:pos="17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by the Employer (as defined below) in the Participant’s base compensation in effect immediately prior to a Change in Control Event;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8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by the Corporation or the Employer of any right that the Participant has under a written severance plan of the Corporation or the Employer in which the Participant participates or by the Corporation or the Employer of any written employment agreement either of them may be a party to with the Participant; or</w:t>
      </w:r>
    </w:p>
    <w:p>
      <w:pPr>
        <w:spacing w:after="0" w:line="202" w:lineRule="exact"/>
        <w:rPr>
          <w:rFonts w:ascii="Times New Roman" w:cs="Times New Roman" w:eastAsia="Times New Roman" w:hAnsi="Times New Roman"/>
          <w:sz w:val="18"/>
          <w:szCs w:val="18"/>
          <w:color w:val="auto"/>
        </w:rPr>
      </w:pPr>
    </w:p>
    <w:p>
      <w:pPr>
        <w:ind w:left="660" w:firstLine="644"/>
        <w:spacing w:after="0" w:line="282" w:lineRule="auto"/>
        <w:tabs>
          <w:tab w:leader="none" w:pos="176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by the Employer that the Participant’s principal place of employment be relocated more than fifty (50) miles from his or her place of employment immediately prior to a Change in Control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0" w:right="339" w:bottom="1440" w:gutter="0" w:footer="0" w:header="0"/>
        </w:sectPr>
      </w:pPr>
    </w:p>
    <w:bookmarkStart w:id="115" w:name="page116"/>
    <w:bookmarkEnd w:id="115"/>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provided, however, that any such condition shall not constitute “Good Reason” unless both (i) the Participant provides written notice to the Corporation of the condition claimed to constitute Good Reason within ninety (90) days of the initial existence of such condition, and (ii) the Corporation fails to remedy such condition within thirty (30) days of receiving such written notice thereof; and provided, further, that in all events the termination of the Participant’s employment with the Corporation shall not be treated as a termination for “Good Reason” unless such termination occurs not more than one (1) year following the initial existence of the condition claimed to constitute “Good Reason.”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this Award Agreement, “Employer” shall mean the Corporation or its Subsidiary employing the Participant; provided however, that nothing contained herein shall prohibit the Corporation or another of its Subsidiaries fulfilling any obligation of the employing entity to the Participant and for such purposes will be deemed the act of the Employer.</w:t>
      </w:r>
    </w:p>
    <w:p>
      <w:pPr>
        <w:spacing w:after="0" w:line="176" w:lineRule="exact"/>
        <w:rPr>
          <w:sz w:val="20"/>
          <w:szCs w:val="20"/>
          <w:color w:val="auto"/>
        </w:rPr>
      </w:pPr>
    </w:p>
    <w:p>
      <w:pPr>
        <w:jc w:val="both"/>
        <w:ind w:firstLine="8"/>
        <w:spacing w:after="0" w:line="258" w:lineRule="auto"/>
        <w:tabs>
          <w:tab w:leader="none" w:pos="43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Plan Benefits</w:t>
      </w:r>
      <w:r>
        <w:rPr>
          <w:rFonts w:ascii="Times New Roman" w:cs="Times New Roman" w:eastAsia="Times New Roman" w:hAnsi="Times New Roman"/>
          <w:sz w:val="18"/>
          <w:szCs w:val="18"/>
          <w:color w:val="auto"/>
        </w:rPr>
        <w:t>. In the event the Participant’s employment terminates in circumstances as to which the Participant is entitled to severance benefits pursuant to a Pre-CIC Severance Plan, the Participant shall be treated for purposes of the Award as though the Participant Retired on the Participant’s Separation Date and Section 8(c) shall apply; provided, however, that if any Stock Units subject to the Award would (before taking this paragraph into consideration) also be subject to accelerated vesting pursuant to Section 8(b) or 8(c) above, the Stock Units shall be subject to accelerated vesting pursuant to the section (Section 8(b) or 8(c) above) that would otherwise apply in the circumstances.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the Participant’s employment terminates in circumstances as to which the Participant is entitled to severance benefits pursuant to a CIC Severance Plan, the extent to which the Award vests will be determined in accordance with the applicable provisions of the CIC Severance Plan. If the Stock Units subject to the Award would (before taking this paragraph into consideration) also be subject to accelerated vesting pursuant to the immediately preceding paragraph or Section 8(b) or 8(c) above, this paragraph (and not the immediately preceding paragraph or Section 8(b) or 8(c) above) shall apply; provided, however, that if the Participant does not satisfy any applicable conditions to severance benefits set forth in the applicable CIC Severance Plan, then the Participant shall remain entitled to any accelerated vesting that would otherwise apply pursuant to Section 8(b) or 8(c) above, as applicable.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clarity, any accelerated or additional vesting contemplated by this Section 8(e), whether with respect to a Pre-CIC Severance Plan or a CIC Severance Plan, is subject to the Participant satisfying any applicable conditions to severance benefits set forth in the applicable Pre-CIC Severance Plan or CIC Severance Plan (such as, without limitation, any eligibility and release requirements).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treatment of the Award in any circumstances as to which the Participant is entitled to severance benefits pursuant to a Pre-CIC Severance Plan (including, without limitation, the extent (if any) to which the Award vests or accelerates in such circumstances as well as the timing of payment of the Award), and the timing of payment of the Award in any circumstances as to which the Participant is entitled to severance benefits pursuant to a CIC Severance Plan, shall be governed by this Award Agreement and not by the Pre-CIC Severance Plan or CIC Severance Plan, as the case may be. As to the Award, this Award Agreement controls in the event of any inconsistency or conflict with a Pre-CIC Severance Plan or CIC Severance Plan, and to that extent this Award Agreement amends any applicable Pre-CIC Severance Plan or CIC Severance Plan as to the Award.</w:t>
      </w:r>
    </w:p>
    <w:p>
      <w:pPr>
        <w:spacing w:after="0" w:line="183"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Administrator may accelerate the vesting of the Stock Units in such circumstances as it, in its sole discretion, may determine; provided that the time of payment of the Stock Units as otherwise set forth herein may not be changed. In addition, upon the occurrence of certain events relating to the Corporation’s stock contemplated by Section 7.1 of the Plan, the Administrator will make adjustments if appropriate in the number of Stock Units then outstanding and the number and kind of securities that may be issued in respect of the Award. No such adjustment shall be made with respect to any ordinary cash dividend for which dividend equivalents are credited or to be credited pursuant to Section 5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0" w:right="339" w:bottom="1440" w:gutter="0" w:footer="0" w:header="0"/>
        </w:sectPr>
      </w:pPr>
    </w:p>
    <w:bookmarkStart w:id="116" w:name="page117"/>
    <w:bookmarkEnd w:id="116"/>
    <w:p>
      <w:pPr>
        <w:ind w:left="660" w:hanging="652"/>
        <w:spacing w:after="0"/>
        <w:tabs>
          <w:tab w:leader="none" w:pos="6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Taxes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or in connection with the crediting, vesting or payment of Stock Units, or any other time when tax withholding may be required with respect to the Award, the Corporation (or the Subsidiary last employing the Participant) shall have the right at its option to (a) require the Participant to pay or provide for payment in cash of the amount of any taxes that the Corporation or the Subsidiary may be required to withhold with respect to such crediting, vesting, payment or other event, or (b) deduct from any amount payable to the Participant (pursuant to the Award or otherwise) the amount of any taxes that the Corporation or the Subsidiary may be required to withhold with respect to such crediting, vesting, payment or other event. In any case where a tax is required to be withheld in connection with the delivery of shares of Common Stock under this Award Agreement, the Administrator may, in its sole discretion, direct the Corporation or the Subsidiary to reduce the number of shares to be delivered by (or otherwise reacquire) the appropriate number of whole shares, valued at their then fair market value, to satisfy such withholding obligation at the applicable withholding rates. In addition, the Administrator may, in its sole discretion but only to the extent consistent with Treas. Reg. Section 1.409A-3(j)(4)(vi), reduce the number of Stock Units remaining subject to the Award, with each such Stock Unit to have a value for such purpose equal to the then fair market value of a share of Common Stock, to satisfy such withholding obligation at the applicable withholding rates.</w:t>
      </w:r>
    </w:p>
    <w:p>
      <w:pPr>
        <w:spacing w:after="0" w:line="188" w:lineRule="exact"/>
        <w:rPr>
          <w:sz w:val="20"/>
          <w:szCs w:val="20"/>
          <w:color w:val="auto"/>
        </w:rPr>
      </w:pPr>
    </w:p>
    <w:p>
      <w:pPr>
        <w:ind w:left="640" w:hanging="632"/>
        <w:spacing w:after="0"/>
        <w:tabs>
          <w:tab w:leader="none" w:pos="64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Nontransferability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the Award, nor any interest therein or amount or shares payable in respect thereof may be sold, assigned, transferred, pledged or otherwise disposed of, anticipated, alienated, encumbered, either voluntarily or involuntarily. The transfer restrictions in the preceding sentence shall not apply to (a) transfers to the Corporation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upon the termination of a Stock Unit), or (b) transfers by will or the laws of descent and distribution.</w:t>
      </w:r>
    </w:p>
    <w:p>
      <w:pPr>
        <w:spacing w:after="0" w:line="172"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Right to Employment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Nothing contained in this Award Agreement or the Plan constitutes an employment or service commitment by the Corporation or any of its Subsidiaries, affects the Participant’s status, if he or she is an employee,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 or affects the right of the Corporation or any Subsidiary to increase or decrease the Participant’s other compensation.</w:t>
      </w:r>
    </w:p>
    <w:p>
      <w:pPr>
        <w:spacing w:after="0" w:line="179" w:lineRule="exact"/>
        <w:rPr>
          <w:sz w:val="20"/>
          <w:szCs w:val="20"/>
          <w:color w:val="auto"/>
        </w:rPr>
      </w:pPr>
    </w:p>
    <w:p>
      <w:pPr>
        <w:ind w:left="660" w:hanging="652"/>
        <w:spacing w:after="0"/>
        <w:tabs>
          <w:tab w:leader="none" w:pos="6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as a Stockholder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Plan, the Notice and these Standard Terms, the Participant shall have no rights as a stockholder of the Corporation, no dividend rights (except as expressly provided in Section 5 above with respect to dividend equivalent rights) and no voting rights with respect to Stock Units awarded to the Participant and any shares of Common Stock underlying or issuable in respect of such Stock Units until such shares of Common Stock are actually issued to and held of record by the Participant. No adjustments will be made for dividends or other rights of a holder for which the record date is prior to the date of such issuance of such shares.</w:t>
      </w:r>
    </w:p>
    <w:p>
      <w:pPr>
        <w:spacing w:after="0" w:line="179" w:lineRule="exact"/>
        <w:rPr>
          <w:sz w:val="20"/>
          <w:szCs w:val="20"/>
          <w:color w:val="auto"/>
        </w:rPr>
      </w:pPr>
    </w:p>
    <w:p>
      <w:pPr>
        <w:ind w:left="660" w:hanging="652"/>
        <w:spacing w:after="0"/>
        <w:tabs>
          <w:tab w:leader="none" w:pos="66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notice to be given under the terms of this Award Agreement shall be in writing and addressed to the Corporation at its principal office to the attention of the Secretary, and to the Participant at the address last reflected on the Corporation’s payroll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or for non-U.S. employees, the government of the country where the Participant is working and/or residing. Any such notice shall be given only when received, but if the Participant is no longer employed by the Corporation or a Subsidiary, shall be deemed to have been duly given five business days after the date mailed in accordance with the foregoing provisions of this Section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86" w:right="339" w:bottom="1440" w:gutter="0" w:footer="0" w:header="0"/>
        </w:sectPr>
      </w:pPr>
    </w:p>
    <w:bookmarkStart w:id="117" w:name="page118"/>
    <w:bookmarkEnd w:id="117"/>
    <w:p>
      <w:pPr>
        <w:ind w:left="660" w:hanging="652"/>
        <w:spacing w:after="0"/>
        <w:tabs>
          <w:tab w:leader="none" w:pos="6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Arbitration</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Any controversy arising out of or relating to this Award Agreement (including these Standard Terms) and/or the Plan, their enforcement or interpretation, or because of an alleged breach, default, or misrepresentation in connection with any of their provisions, or any other controversy arising out of or related to the Award, including, but not limited to, any state or federal statutory claims (“Covered Claims”), shall be resolved in accordance with the terms and conditions of the Western Digital Technologies, Inc. Dispute Resolution Agreement (the “DRA”). If, however, Participant has opted out of the DRA pursuant to Section 3.3 of the DRA, any Covered Claims by Corporation or Participant shall be submitted to arbitration pursuant to this Section 15. Such arbitration shall be held in Orange County, California, U.S.A., before a sole arbitrator selected from Judicial Arbitration and Mediation Services, Inc., Orange, California, or its successor (“JAMS”), or if JAMS is no longer able to supply the arbitrator, such arbitrator shall be selected from the American Arbitration Association, and shall be conducted in accordance with the provisions of the Federal Arbitration Act; provided, however, that provisional injunctive relief may, but need not, be sought by either party in a court of law to maintain the status quo while arbitration proceedings are pending, and any provisional injunctive relief granted by such court shall remain effective until the matter is finally determined by the arbitrator. Except as otherwise stated herein, this Section 15 also requires arbitration of any disputes concerning the enforceability, interpretation, and/or implementation of this Section 15 and the arbitrability of any claims brought hereunder, which shall also be decided by an arbitrator. To the fullest extent permitted by applicable law, Participant and Corporation agree to bring any Covered Claims on an individual basis only, and not on a class, collective, joint, or representative basis. If, however, the preceding sentence be determined invalid or unenforceable with respect to any particular Covered Claim, than that Covered Claim will not proceed in arbitration but rather will be resolved in a court of competent jurisdiction. If that occurs, however, this Section 15 will still be fully enforceable as to all other Covered Claims, which must be resolved in arbitration on an individual basis. Any arbitrable claims in arbitration will be resolved first and the parties agree to seek a stay of any non-arbitrable claims until the full completion of the arbitral process. Any claim that the requirement in this Section 15 that Covered Claims be arbitrated on an individual basis only is invalid, unenforceable, unconscionable, void or voidable may be determined only by a court of competent jurisdiction and not by an Arbitrator. Final resolution of any dispute through arbitration may include any and all remedies that may be obtained in a court. Statutes of limitation for Covered Claims submitted to arbitration under this Section 15 shall be the same as they would be if those claims were brought in court.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The Corporation shall be responsible for payment of the forum costs of any arbitration hereunder, including the arbitrator’s fee. Each party shall bear its own attorney’s fees and costs (other than forum costs associated with the arbitration) incurred by it or him or her in connection with the resolution of the dispute. If, however, any party prevails on a statutory claim, which affords the prevailing party attorneys’ fees and costs, then the arbitrator may award reasonable fees and costs to the prevailing party. The arbitrator may not award attorneys’ fees to a party that would not otherwise be entitled to such an award under the applicable statute. The parties acknowledge and agree that they are hereby waiving any rights to trial by jury in any action, proceeding or counterclaim brought by either of the parties against the other in connection with any matter whatsoever arising out of or in any way connected with any Covered Claim(s), either by virtue of Participant’s acceptance without opting out of the DRA or, if Participant did opt out of the DRA, by virtue of the provisions of this Section 15.</w:t>
      </w:r>
    </w:p>
    <w:p>
      <w:pPr>
        <w:spacing w:after="0" w:line="198" w:lineRule="exact"/>
        <w:rPr>
          <w:sz w:val="20"/>
          <w:szCs w:val="20"/>
          <w:color w:val="auto"/>
        </w:rPr>
      </w:pPr>
    </w:p>
    <w:p>
      <w:pPr>
        <w:ind w:left="660" w:hanging="652"/>
        <w:spacing w:after="0"/>
        <w:tabs>
          <w:tab w:leader="none" w:pos="66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Award Agreement, including these Standard Terms, shall be interpreted and construed in accordance with the laws of the State of Delaware (without regard to conflict of law principles thereunder) and applicable United States federal law.</w:t>
      </w:r>
    </w:p>
    <w:p>
      <w:pPr>
        <w:spacing w:after="0" w:line="158" w:lineRule="exact"/>
        <w:rPr>
          <w:sz w:val="20"/>
          <w:szCs w:val="20"/>
          <w:color w:val="auto"/>
        </w:rPr>
      </w:pPr>
    </w:p>
    <w:p>
      <w:pPr>
        <w:ind w:left="660" w:hanging="652"/>
        <w:spacing w:after="0"/>
        <w:tabs>
          <w:tab w:leader="none" w:pos="66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otherwise provided by Section 15, if the arbitrator selected in accordance with Section 15 above or a court of competent jurisdiction determines that any portion of this Award Agreement (including these Standard Terms) or the Plan is in violation of any statute or public policy, then only the portions of this Award Agreement or the Plan, as applicable, which are found to violate such statute or public policy shall be stricken, and all portions of this Award Agreement and the Plan which are not found to violate any statute or public policy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86" w:right="339" w:bottom="1440" w:gutter="0" w:footer="0" w:header="0"/>
        </w:sectPr>
      </w:pPr>
    </w:p>
    <w:bookmarkStart w:id="118" w:name="page119"/>
    <w:bookmarkEnd w:id="118"/>
    <w:p>
      <w:pPr>
        <w:jc w:val="both"/>
        <w:spacing w:after="0" w:line="266" w:lineRule="auto"/>
        <w:rPr>
          <w:sz w:val="20"/>
          <w:szCs w:val="20"/>
          <w:color w:val="auto"/>
        </w:rPr>
      </w:pPr>
      <w:r>
        <w:rPr>
          <w:rFonts w:ascii="Times New Roman" w:cs="Times New Roman" w:eastAsia="Times New Roman" w:hAnsi="Times New Roman"/>
          <w:sz w:val="18"/>
          <w:szCs w:val="18"/>
          <w:color w:val="auto"/>
        </w:rPr>
        <w:t>continue in full force and effect. Furthermore, except as otherwise provided by Section 15, it is the parties’ intent that any order striking any portion of this Award Agreement and/or the Plan should modify the stricken terms as narrowly as possible to give as much effect as possible to the intentions of the parties hereunder.</w:t>
      </w:r>
    </w:p>
    <w:p>
      <w:pPr>
        <w:spacing w:after="0" w:line="172"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Award Agreement (including these Standard Terms) and the Plan together constitute the entire agreement and supersede all prior understandings and agreements, written or oral, of the parties hereto with respect to the subject matter hereof. However, this Award Agreement shall not supersede or in any way affect the DRA, which shall remain in full force and effect, unless Participant opted out of the DRA pursuant to the provisions therein. The Plan and this Award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 Provisions of the Plan that confer discretionary authority on the Board or the Administrator do not and shall not be deemed to create any rights in the Participant unless such rights are expressly set forth herein or are otherwise in the sole discretion of the Board or the Administrator so conferred by appropriate action of the Board or the Administrator under the Plan after the Grant Date.</w:t>
      </w:r>
    </w:p>
    <w:p>
      <w:pPr>
        <w:spacing w:after="0" w:line="184" w:lineRule="exact"/>
        <w:rPr>
          <w:sz w:val="20"/>
          <w:szCs w:val="20"/>
          <w:color w:val="auto"/>
        </w:rPr>
      </w:pPr>
    </w:p>
    <w:p>
      <w:pPr>
        <w:ind w:left="660" w:hanging="652"/>
        <w:spacing w:after="0"/>
        <w:tabs>
          <w:tab w:leader="none" w:pos="66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Headings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section headings of this Award Agreement are for convenience of reference only and shall not be deemed to alter or affect any provision hereof.</w:t>
      </w:r>
    </w:p>
    <w:p>
      <w:pPr>
        <w:spacing w:after="0" w:line="221" w:lineRule="exact"/>
        <w:rPr>
          <w:sz w:val="20"/>
          <w:szCs w:val="20"/>
          <w:color w:val="auto"/>
        </w:rPr>
      </w:pPr>
    </w:p>
    <w:p>
      <w:pPr>
        <w:ind w:left="660" w:hanging="652"/>
        <w:spacing w:after="0"/>
        <w:tabs>
          <w:tab w:leader="none" w:pos="66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Appendix</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Award shall be subject to any additional terms and conditions for non-U.S. employees set forth in Appendix A attached hereto (“Appendix A”) and any terms and conditions for the Participant’s country set forth in Appendix B attached hereto (“Appendix B”). Moreover, if the Participant relocates to one of the countries included in Appendix B, the terms and conditions for such country will apply to the Participant to the extent the Corporation determines that the application of such terms and conditions is necessary or advisable for legal or administrative reasons. Appendix A and Appendix B constitute part of the Award Agreement.</w:t>
      </w:r>
    </w:p>
    <w:p>
      <w:pPr>
        <w:spacing w:after="0" w:line="179" w:lineRule="exact"/>
        <w:rPr>
          <w:sz w:val="20"/>
          <w:szCs w:val="20"/>
          <w:color w:val="auto"/>
        </w:rPr>
      </w:pPr>
    </w:p>
    <w:p>
      <w:pPr>
        <w:ind w:left="660" w:hanging="652"/>
        <w:spacing w:after="0"/>
        <w:tabs>
          <w:tab w:leader="none" w:pos="66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Imposition of Other Requirements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reserves the right to impose other requirements on the Participant’s participation in the Plan, on the Stock Units and on any shares of Common Stock acquired under the Plan, to the extent the Corporation determines it is necessary or advisable for legal or administrative reasons, and to require Participant to sign any additional agreements or undertakings that may be necessary to accomplish the foregoing.</w:t>
      </w:r>
    </w:p>
    <w:p>
      <w:pPr>
        <w:spacing w:after="0" w:line="172" w:lineRule="exact"/>
        <w:rPr>
          <w:sz w:val="20"/>
          <w:szCs w:val="20"/>
          <w:color w:val="auto"/>
        </w:rPr>
      </w:pPr>
    </w:p>
    <w:p>
      <w:pPr>
        <w:ind w:left="660" w:hanging="652"/>
        <w:spacing w:after="0"/>
        <w:tabs>
          <w:tab w:leader="none" w:pos="6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Construction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 is intended that the terms of the Award will not result in the imposition of any tax liability pursuant to Section 409A of the Code. This Award Agreement shall be construed and interpreted consistent with that intent.</w:t>
      </w:r>
    </w:p>
    <w:p>
      <w:pPr>
        <w:spacing w:after="0" w:line="158" w:lineRule="exact"/>
        <w:rPr>
          <w:sz w:val="20"/>
          <w:szCs w:val="20"/>
          <w:color w:val="auto"/>
        </w:rPr>
      </w:pPr>
    </w:p>
    <w:p>
      <w:pPr>
        <w:ind w:left="660" w:hanging="652"/>
        <w:spacing w:after="0"/>
        <w:tabs>
          <w:tab w:leader="none" w:pos="66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Stock Units, as well as any payment (whether in cash, shares of Common Stock or other property) made pursuant to the Award with respect to the Stock Units, are subject to the terms of the Corporation’s Compensation Recovery Policy (as well as any successor compensation recoupment, clawback or similar policy adopted by the Corporation or as provided by applicable law), as each may be in effect from time to time, any of which could require repayment or forfeiture of the Stock Units or any shares of Common Stock or other cash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t>property received with respect to the Stock Units (including any value received from a disposition of the shares acquired upon payment of the Stock Units).</w:t>
      </w:r>
    </w:p>
    <w:p>
      <w:pPr>
        <w:spacing w:after="0" w:line="221"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Advice Regarding Grant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Participant is hereby advised to consult with his or her own tax, legal and/or investment advisors with respect to any advice the Participant may determine is needed or appropriate with respect to the Stock Units (including, without limitation, to determine the foreign, state, local, estate and/or gift tax consequences with respect to the Award). Neither the Corporation nor any of its officers, directors, affiliates or advisors makes any representation (except for the terms and conditions expressly set forth in this Award Agreement) or recommendation with respect to the Award. Except for the withholding rights set forth in Section 10 above, the Participant is solely responsible for any and all tax liability that may arise with respect to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0"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TERMS AND CONDITIONS OF STOCK UNIT AWARD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NON-U.S. EMPLOYEES</w:t>
      </w:r>
    </w:p>
    <w:p>
      <w:pPr>
        <w:spacing w:after="0" w:line="230" w:lineRule="exact"/>
        <w:rPr>
          <w:sz w:val="20"/>
          <w:szCs w:val="20"/>
          <w:color w:val="auto"/>
        </w:rPr>
      </w:pPr>
    </w:p>
    <w:p>
      <w:pPr>
        <w:ind w:left="1780" w:hanging="638"/>
        <w:spacing w:after="0"/>
        <w:tabs>
          <w:tab w:leader="none" w:pos="178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of Plan Participation for Non-U.S. Participants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Participant understands that this Appendix A contains additional terms and conditions that, together with the Plan and the Award Agreement, govern the Participant’s participation in the Plan if the Participant is working or resident in a country other than the United States. The Participant further understands that the Participant’s participation in the Plan also will be subject to any terms and conditions for the Participant’s country set forth in Appendix B attached hereto. </w:t>
      </w:r>
      <w:r>
        <w:rPr>
          <w:rFonts w:ascii="Times New Roman" w:cs="Times New Roman" w:eastAsia="Times New Roman" w:hAnsi="Times New Roman"/>
          <w:sz w:val="18"/>
          <w:szCs w:val="18"/>
          <w:i w:val="1"/>
          <w:iCs w:val="1"/>
          <w:color w:val="auto"/>
        </w:rPr>
        <w:t>Capitalized terms used but not defined in this Appendix A shall have the same meanings assigned to them in the Plan and/or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Award Agreement.</w:t>
      </w:r>
    </w:p>
    <w:p>
      <w:pPr>
        <w:spacing w:after="0" w:line="206" w:lineRule="exact"/>
        <w:rPr>
          <w:sz w:val="20"/>
          <w:szCs w:val="20"/>
          <w:color w:val="auto"/>
        </w:rPr>
      </w:pPr>
    </w:p>
    <w:p>
      <w:pPr>
        <w:ind w:left="1780" w:hanging="638"/>
        <w:spacing w:after="0"/>
        <w:tabs>
          <w:tab w:leader="none" w:pos="178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 supplements Section 10 of the Standard Terms:</w:t>
      </w:r>
    </w:p>
    <w:p>
      <w:pPr>
        <w:spacing w:after="0" w:line="2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Participant acknowledges that, regardless of any action taken by the Corporation or, if different, the Participant’s employer (“Employer”), the ultimate liability for all income tax, social insurance, payroll tax, fringe benefits tax, payment on account or other tax-related items related to the Participant’s participation in the Plan and this Award and legally applicable to the Participant (“Tax-Related Items”) is and remains the Participant’s responsibility and may exceed the amount, if any, actually withheld by the Corporation or the Employer. The Participant further acknowledges that the Corporation and/or the Employer (a) make no representations or undertakings regarding the treatment of any Tax-Related Items in connection with any aspect of the Stock Units, including, but not limited to, the grant, vesting or settlement of the Stock Units, the subsequent sale of shares of Common Stock acquired pursuant to such settlement and the receipt of any dividends and/or any dividend equivalents; and (b) do not commit to and are under no obligation to structure the terms of the grant or any aspect of the Stock Units to reduce or eliminate the Participant’s liability for Tax-Related Items or achieve any particular tax result. If the Participant is or becomes subject to Tax-Related Items in more than one jurisdiction, the Participant acknowledges that the Corporation and/or the Employer (or former employer, as applicable) may be required to withhold or account for Tax-Related Items in more than one jurisdiction.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Participant agrees, prior to any relevant taxable or tax withholding event, as applicable, to make adequate arrangements satisfactory to the Corporation and/or the Employer to satisfy all Tax-Related Items. In this regard, the Participant authorizes the Corporation and/or the Employer, or their respective agents, at the Corporation’s discretion, to satisfy the obligations with regard to all Tax-Related Items by one or a combination of the methods set forth in Section 8.5 of the Plan and Section 10 of the Standard Terms. In addition, the Participant authorizes withholding from proceeds of the sale of shares of Common Stock acquired upon settlement of the Stock Units either through a voluntary sale or through a mandatory sale arranged by the Corporation (on the Participant’s behalf pursuant to this authorization without further consent). If the Participant is subject to Section 16 of the Exchange Act, then withholding for Tax-Related Items shall be satisfied in accordance with Section 8.5 of the Plan, Section 10 of the Standard Terms, and the withholding methodology approved by the Administrator for officers subject to Section 16 of the Exchange Act.</w:t>
      </w:r>
    </w:p>
    <w:p>
      <w:pPr>
        <w:spacing w:after="0" w:line="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Depending on the withholding method, the Corporation and/or the Employer may withhold or account for Tax-Related Items by considering applicable minimum withholding amounts or other applicable withholding rates, including maximum applicable rates in the Participant's jurisdiction(s), in which case the Participant may receive a refund of any over-withheld amount in cash and will have no entitlement to the equivalent in Common Stock. If the Tax-Related Items are satisfied by withholding in shares of Common Stock, for tax purposes, the Participant is deemed to have been issued the full number of shares subject to the vested Stock Units, notwithstanding that a number of the Shares are held back solely for the purpose of paying the Tax-Related Items.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Participant further agrees to pay to the Corporation or the Employer, any amount of Tax-Related Items that the Corporation or the Employer may be required to withhold or account for as a result of the Participant’s participation in the Plan that cannot be satisfied by the means previously described.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86" w:right="339" w:bottom="1440" w:gutter="0" w:footer="0" w:header="0"/>
        </w:sectPr>
      </w:pPr>
    </w:p>
    <w:bookmarkStart w:id="121" w:name="page122"/>
    <w:bookmarkEnd w:id="121"/>
    <w:p>
      <w:pPr>
        <w:ind w:right="20"/>
        <w:spacing w:after="0" w:line="282" w:lineRule="auto"/>
        <w:rPr>
          <w:sz w:val="20"/>
          <w:szCs w:val="20"/>
          <w:color w:val="auto"/>
        </w:rPr>
      </w:pPr>
      <w:r>
        <w:rPr>
          <w:rFonts w:ascii="Times New Roman" w:cs="Times New Roman" w:eastAsia="Times New Roman" w:hAnsi="Times New Roman"/>
          <w:sz w:val="18"/>
          <w:szCs w:val="18"/>
          <w:color w:val="auto"/>
        </w:rPr>
        <w:t>Corporation may refuse to issue or deliver the shares of Common Stock or the proceeds from the sale of shares if the Participant fails to comply with the Participant’s obligations in connection with the Tax-Related Items.</w:t>
      </w:r>
    </w:p>
    <w:p>
      <w:pPr>
        <w:spacing w:after="0" w:line="158" w:lineRule="exact"/>
        <w:rPr>
          <w:sz w:val="20"/>
          <w:szCs w:val="20"/>
          <w:color w:val="auto"/>
        </w:rPr>
      </w:pPr>
    </w:p>
    <w:p>
      <w:pPr>
        <w:ind w:left="1780" w:hanging="638"/>
        <w:spacing w:after="0"/>
        <w:tabs>
          <w:tab w:leader="none" w:pos="178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Grant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accepting the Stock Units and any shares of Common Stock, the Participant acknowledges, understands and agrees that:</w:t>
      </w:r>
    </w:p>
    <w:p>
      <w:pPr>
        <w:spacing w:after="0" w:line="225" w:lineRule="exact"/>
        <w:rPr>
          <w:sz w:val="20"/>
          <w:szCs w:val="20"/>
          <w:color w:val="auto"/>
        </w:rPr>
      </w:pPr>
    </w:p>
    <w:p>
      <w:pPr>
        <w:ind w:right="20" w:firstLine="1466"/>
        <w:spacing w:after="0" w:line="282" w:lineRule="auto"/>
        <w:tabs>
          <w:tab w:leader="none" w:pos="171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Corporation, it is discretionary in nature, and may be amended, suspended or terminated by the Corporation at any time, to the extent permitted by the Plan;</w:t>
      </w:r>
    </w:p>
    <w:p>
      <w:pPr>
        <w:spacing w:after="0" w:line="161" w:lineRule="exact"/>
        <w:rPr>
          <w:rFonts w:ascii="Times New Roman" w:cs="Times New Roman" w:eastAsia="Times New Roman" w:hAnsi="Times New Roman"/>
          <w:sz w:val="18"/>
          <w:szCs w:val="18"/>
          <w:color w:val="auto"/>
        </w:rPr>
      </w:pPr>
    </w:p>
    <w:p>
      <w:pPr>
        <w:ind w:firstLine="1466"/>
        <w:spacing w:after="0" w:line="282" w:lineRule="auto"/>
        <w:tabs>
          <w:tab w:leader="none" w:pos="172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Stock Units is exceptional, voluntary and occasional and does not create any contractual or other right to receive future grants of Stock Units, or benefits in lieu of Stock Units, even if Stock Units have been granted in the past;</w:t>
      </w:r>
    </w:p>
    <w:p>
      <w:pPr>
        <w:spacing w:after="0" w:line="161" w:lineRule="exact"/>
        <w:rPr>
          <w:rFonts w:ascii="Times New Roman" w:cs="Times New Roman" w:eastAsia="Times New Roman" w:hAnsi="Times New Roman"/>
          <w:sz w:val="18"/>
          <w:szCs w:val="18"/>
          <w:color w:val="auto"/>
        </w:rPr>
      </w:pPr>
    </w:p>
    <w:p>
      <w:pPr>
        <w:ind w:left="1720" w:hanging="254"/>
        <w:spacing w:after="0"/>
        <w:tabs>
          <w:tab w:leader="none" w:pos="17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Stock Units or other grants, if any, will be at the sole discretion of the Corporation;</w:t>
      </w:r>
    </w:p>
    <w:p>
      <w:pPr>
        <w:spacing w:after="0" w:line="225" w:lineRule="exact"/>
        <w:rPr>
          <w:rFonts w:ascii="Times New Roman" w:cs="Times New Roman" w:eastAsia="Times New Roman" w:hAnsi="Times New Roman"/>
          <w:sz w:val="18"/>
          <w:szCs w:val="18"/>
          <w:color w:val="auto"/>
        </w:rPr>
      </w:pPr>
    </w:p>
    <w:p>
      <w:pPr>
        <w:ind w:left="1720" w:hanging="254"/>
        <w:spacing w:after="0"/>
        <w:tabs>
          <w:tab w:leader="none" w:pos="17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is voluntary participating in the Plan;</w:t>
      </w:r>
    </w:p>
    <w:p>
      <w:pPr>
        <w:spacing w:after="0" w:line="225" w:lineRule="exact"/>
        <w:rPr>
          <w:rFonts w:ascii="Times New Roman" w:cs="Times New Roman" w:eastAsia="Times New Roman" w:hAnsi="Times New Roman"/>
          <w:sz w:val="18"/>
          <w:szCs w:val="18"/>
          <w:color w:val="auto"/>
        </w:rPr>
      </w:pPr>
    </w:p>
    <w:p>
      <w:pPr>
        <w:ind w:firstLine="1466"/>
        <w:spacing w:after="0" w:line="282" w:lineRule="auto"/>
        <w:tabs>
          <w:tab w:leader="none" w:pos="170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Units and any shares of Common Stock acquired under the Plan, and the income and value of the same, are not intended to replace any pension rights or compensation;</w:t>
      </w:r>
    </w:p>
    <w:p>
      <w:pPr>
        <w:spacing w:after="0" w:line="161" w:lineRule="exact"/>
        <w:rPr>
          <w:rFonts w:ascii="Times New Roman" w:cs="Times New Roman" w:eastAsia="Times New Roman" w:hAnsi="Times New Roman"/>
          <w:sz w:val="18"/>
          <w:szCs w:val="18"/>
          <w:color w:val="auto"/>
        </w:rPr>
      </w:pPr>
    </w:p>
    <w:p>
      <w:pPr>
        <w:jc w:val="both"/>
        <w:ind w:firstLine="1466"/>
        <w:spacing w:after="0" w:line="258" w:lineRule="auto"/>
        <w:tabs>
          <w:tab w:leader="none" w:pos="168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Units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Corporation or the Employer or any Subsidiary;</w:t>
      </w:r>
    </w:p>
    <w:p>
      <w:pPr>
        <w:spacing w:after="0" w:line="210" w:lineRule="exact"/>
        <w:rPr>
          <w:rFonts w:ascii="Times New Roman" w:cs="Times New Roman" w:eastAsia="Times New Roman" w:hAnsi="Times New Roman"/>
          <w:sz w:val="18"/>
          <w:szCs w:val="18"/>
          <w:color w:val="auto"/>
        </w:rPr>
      </w:pPr>
    </w:p>
    <w:p>
      <w:pPr>
        <w:ind w:left="1740" w:hanging="274"/>
        <w:spacing w:after="0"/>
        <w:tabs>
          <w:tab w:leader="none" w:pos="17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of Common Stock underlying the Stock Units is unknown, indeterminable, and cannot be predicted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certainty;</w:t>
      </w:r>
    </w:p>
    <w:p>
      <w:pPr>
        <w:spacing w:after="0" w:line="206" w:lineRule="exact"/>
        <w:rPr>
          <w:rFonts w:ascii="Times New Roman" w:cs="Times New Roman" w:eastAsia="Times New Roman" w:hAnsi="Times New Roman"/>
          <w:sz w:val="18"/>
          <w:szCs w:val="18"/>
          <w:color w:val="auto"/>
        </w:rPr>
      </w:pPr>
    </w:p>
    <w:p>
      <w:pPr>
        <w:jc w:val="both"/>
        <w:ind w:firstLine="1466"/>
        <w:spacing w:after="0" w:line="266" w:lineRule="auto"/>
        <w:tabs>
          <w:tab w:leader="none" w:pos="172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with the Corporation, the Stock Units and the shares of Common Stock acquired under the Plan, and the income and value of same, are not granted as consideration for, or in connection with, the service the Participant may provide as a director of any Subsidiary;</w:t>
      </w:r>
    </w:p>
    <w:p>
      <w:pPr>
        <w:spacing w:after="0" w:line="175" w:lineRule="exact"/>
        <w:rPr>
          <w:rFonts w:ascii="Times New Roman" w:cs="Times New Roman" w:eastAsia="Times New Roman" w:hAnsi="Times New Roman"/>
          <w:sz w:val="18"/>
          <w:szCs w:val="18"/>
          <w:color w:val="auto"/>
        </w:rPr>
      </w:pPr>
    </w:p>
    <w:p>
      <w:pPr>
        <w:jc w:val="both"/>
        <w:ind w:firstLine="1466"/>
        <w:spacing w:after="0" w:line="266" w:lineRule="auto"/>
        <w:tabs>
          <w:tab w:leader="none" w:pos="167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Stock Units resulting from the termination of the Participant’s employment (for any reason whatsoever, whether or not later found to be invalid or in breach of employment laws in the jurisdiction where the Participant is employed or providing services, or the terms of the Participant’s employment or service agreement, if any);</w:t>
      </w:r>
    </w:p>
    <w:p>
      <w:pPr>
        <w:spacing w:after="0" w:line="175" w:lineRule="exact"/>
        <w:rPr>
          <w:rFonts w:ascii="Times New Roman" w:cs="Times New Roman" w:eastAsia="Times New Roman" w:hAnsi="Times New Roman"/>
          <w:sz w:val="18"/>
          <w:szCs w:val="18"/>
          <w:color w:val="auto"/>
        </w:rPr>
      </w:pPr>
    </w:p>
    <w:p>
      <w:pPr>
        <w:jc w:val="both"/>
        <w:ind w:firstLine="1466"/>
        <w:spacing w:after="0" w:line="266" w:lineRule="auto"/>
        <w:tabs>
          <w:tab w:leader="none" w:pos="169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Corporation in its discretion, the Stock Units and the benefits evidenced by the Award Agreement do not create any entitlement to have the Stock Units or any such benefits transferred to, or assumed by, another company nor to be exchanged, cashed out or substituted for, in connection with any corporate transaction affecting the shares; and</w:t>
      </w:r>
    </w:p>
    <w:p>
      <w:pPr>
        <w:spacing w:after="0" w:line="175" w:lineRule="exact"/>
        <w:rPr>
          <w:rFonts w:ascii="Times New Roman" w:cs="Times New Roman" w:eastAsia="Times New Roman" w:hAnsi="Times New Roman"/>
          <w:sz w:val="18"/>
          <w:szCs w:val="18"/>
          <w:color w:val="auto"/>
        </w:rPr>
      </w:pPr>
    </w:p>
    <w:p>
      <w:pPr>
        <w:jc w:val="both"/>
        <w:ind w:firstLine="1466"/>
        <w:spacing w:after="0" w:line="266" w:lineRule="auto"/>
        <w:tabs>
          <w:tab w:leader="none" w:pos="173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Corporation, the Employer nor any Subsidiary shall be liable for any foreign exchange rate fluctuation between the Participant’s local currency and the U.S. dollar that may affect the value of the Stock Units or of any amounts due to the Participant pursuant to the vesting of the Stock Units or the subsequent sale of any shares of Common Stock acquired upon vesting.</w:t>
      </w:r>
    </w:p>
    <w:p>
      <w:pPr>
        <w:spacing w:after="0" w:line="172" w:lineRule="exact"/>
        <w:rPr>
          <w:sz w:val="20"/>
          <w:szCs w:val="20"/>
          <w:color w:val="auto"/>
        </w:rPr>
      </w:pPr>
    </w:p>
    <w:p>
      <w:pPr>
        <w:ind w:left="1780" w:hanging="638"/>
        <w:spacing w:after="0"/>
        <w:tabs>
          <w:tab w:leader="none" w:pos="178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Data Privacy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By accepting the Stock Units via the Corporation’s acceptance procedure, the Participant is declaring that he or she agrees with the data processing practices described herein and consents to the collection, processing and use of Personal Data (as defined below) by the Corporation and the transfer of Personal Data to the recipients mentioned herein, including recipients located in countries which do not adduce an adequate</w:t>
      </w:r>
    </w:p>
    <w:p>
      <w:pPr>
        <w:sectPr>
          <w:pgSz w:w="11900" w:h="16838" w:orient="portrait"/>
          <w:cols w:equalWidth="0" w:num="1">
            <w:col w:w="11240"/>
          </w:cols>
          <w:pgMar w:left="320" w:top="13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0" w:right="33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i w:val="1"/>
          <w:iCs w:val="1"/>
          <w:color w:val="auto"/>
        </w:rPr>
        <w:t>level of protection from a European (or other non-U.S.) data protection law perspective, for the purposes described herein.</w:t>
      </w:r>
    </w:p>
    <w:p>
      <w:pPr>
        <w:spacing w:after="0" w:line="225" w:lineRule="exact"/>
        <w:rPr>
          <w:sz w:val="20"/>
          <w:szCs w:val="20"/>
          <w:color w:val="auto"/>
        </w:rPr>
      </w:pPr>
    </w:p>
    <w:p>
      <w:pPr>
        <w:jc w:val="both"/>
        <w:ind w:firstLine="1466"/>
        <w:spacing w:after="0" w:line="259" w:lineRule="auto"/>
        <w:tabs>
          <w:tab w:leader="none" w:pos="174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Declaration of Consent</w:t>
      </w:r>
      <w:r>
        <w:rPr>
          <w:rFonts w:ascii="Times New Roman" w:cs="Times New Roman" w:eastAsia="Times New Roman" w:hAnsi="Times New Roman"/>
          <w:sz w:val="18"/>
          <w:szCs w:val="18"/>
          <w:b w:val="1"/>
          <w:bCs w:val="1"/>
          <w:i w:val="1"/>
          <w:iCs w:val="1"/>
          <w:color w:val="auto"/>
        </w:rPr>
        <w:t>. The Participant understands that he or she needs to review the following information about the processing of the Participant’s personal data by or on behalf of the Corporation, the Employer and/or any Subsidiary as described in this Award Agreement and any other Stock Unit grant materials (the “Personal Data”) and declare his or her consent. As regards the processing of the Participant’s Personal Data in connection with the Plan and this Award Agreement, the Participant understands that the Corporation is the controller of the Participant’s Personal Data.</w:t>
      </w:r>
    </w:p>
    <w:p>
      <w:pPr>
        <w:spacing w:after="0" w:line="179" w:lineRule="exact"/>
        <w:rPr>
          <w:rFonts w:ascii="Times New Roman" w:cs="Times New Roman" w:eastAsia="Times New Roman" w:hAnsi="Times New Roman"/>
          <w:sz w:val="18"/>
          <w:szCs w:val="18"/>
          <w:b w:val="1"/>
          <w:bCs w:val="1"/>
          <w:color w:val="auto"/>
        </w:rPr>
      </w:pPr>
    </w:p>
    <w:p>
      <w:pPr>
        <w:jc w:val="both"/>
        <w:ind w:firstLine="1466"/>
        <w:spacing w:after="0" w:line="256" w:lineRule="auto"/>
        <w:tabs>
          <w:tab w:leader="none" w:pos="1723"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Data Processing and Legal Basis</w:t>
      </w:r>
      <w:r>
        <w:rPr>
          <w:rFonts w:ascii="Times New Roman" w:cs="Times New Roman" w:eastAsia="Times New Roman" w:hAnsi="Times New Roman"/>
          <w:sz w:val="18"/>
          <w:szCs w:val="18"/>
          <w:b w:val="1"/>
          <w:bCs w:val="1"/>
          <w:i w:val="1"/>
          <w:iCs w:val="1"/>
          <w:color w:val="auto"/>
        </w:rPr>
        <w:t>. The Corporation collects, uses and otherwise processes Personal Data about the Participant for the purposes of allocating shares of Common Stock and implementing, administering and managing the Plan. The Participant understands that this Personal Data may include, without limitation, the Participant’s name, home address and telephone number, email address, date of birth, social insurance number, passport number or other identification number (e.g., resident registration number), salary, nationality, job title, any shares of stock or directorships held in the Corporation or its Subsidiaries, details of all Stock Units or any other entitlement to shares of stock or equivalent benefits awarded, canceled, exercised, vested, unvested or outstanding in the Participant’s favor. The legal basis for the processing of the Participant’s Personal Data will be the Participant’s consent.</w:t>
      </w:r>
    </w:p>
    <w:p>
      <w:pPr>
        <w:spacing w:after="0" w:line="182" w:lineRule="exact"/>
        <w:rPr>
          <w:rFonts w:ascii="Times New Roman" w:cs="Times New Roman" w:eastAsia="Times New Roman" w:hAnsi="Times New Roman"/>
          <w:sz w:val="18"/>
          <w:szCs w:val="18"/>
          <w:b w:val="1"/>
          <w:bCs w:val="1"/>
          <w:color w:val="auto"/>
        </w:rPr>
      </w:pPr>
    </w:p>
    <w:p>
      <w:pPr>
        <w:jc w:val="both"/>
        <w:ind w:firstLine="1466"/>
        <w:spacing w:after="0" w:line="255" w:lineRule="auto"/>
        <w:tabs>
          <w:tab w:leader="none" w:pos="1729"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Stock Plan Administration Service Providers</w:t>
      </w:r>
      <w:r>
        <w:rPr>
          <w:rFonts w:ascii="Times New Roman" w:cs="Times New Roman" w:eastAsia="Times New Roman" w:hAnsi="Times New Roman"/>
          <w:sz w:val="18"/>
          <w:szCs w:val="18"/>
          <w:b w:val="1"/>
          <w:bCs w:val="1"/>
          <w:i w:val="1"/>
          <w:iCs w:val="1"/>
          <w:color w:val="auto"/>
        </w:rPr>
        <w:t>. The Participant understands that the Corporation transfers the Participant’s Personal Data, or parts thereof, to E*TRADE Financial Corporation Services, Inc. (and its affiliated companies), an independent service provider based in the United States or IBI Capital for Israeli employees, each of which assists the Corporation with the implementation, administration and management of the Plan. In the future, the Corporation may select a different service provider and share the Participant’s Personal Data with such different service provider that serves the Corporation in a similar manner. The Participant understands and acknowledges that the Corporation’s service provider will open an account for the Participant to receive and trade Shares acquired under the Plan and that the Participant will be asked to agree on separate terms and data processing practices with the service provider, which is a condition of the Participant’s ability to participate in the Plan.</w:t>
      </w:r>
    </w:p>
    <w:p>
      <w:pPr>
        <w:spacing w:after="0" w:line="184" w:lineRule="exact"/>
        <w:rPr>
          <w:rFonts w:ascii="Times New Roman" w:cs="Times New Roman" w:eastAsia="Times New Roman" w:hAnsi="Times New Roman"/>
          <w:sz w:val="18"/>
          <w:szCs w:val="18"/>
          <w:b w:val="1"/>
          <w:bCs w:val="1"/>
          <w:color w:val="auto"/>
        </w:rPr>
      </w:pPr>
    </w:p>
    <w:p>
      <w:pPr>
        <w:jc w:val="both"/>
        <w:ind w:firstLine="1466"/>
        <w:spacing w:after="0" w:line="254" w:lineRule="auto"/>
        <w:tabs>
          <w:tab w:leader="none" w:pos="1736"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International Data Transfers.</w:t>
      </w:r>
      <w:r>
        <w:rPr>
          <w:rFonts w:ascii="Times New Roman" w:cs="Times New Roman" w:eastAsia="Times New Roman" w:hAnsi="Times New Roman"/>
          <w:sz w:val="18"/>
          <w:szCs w:val="18"/>
          <w:b w:val="1"/>
          <w:bCs w:val="1"/>
          <w:i w:val="1"/>
          <w:iCs w:val="1"/>
          <w:color w:val="auto"/>
        </w:rPr>
        <w:t xml:space="preserve"> The Participant understands that the Corporation and, as of the date hereof, any third parties assisting in the implementation, administration and management of the Plan, such as the Corporation’s service providers, are based in the United States. If the Participant is located outside the United States, the Participant understands and acknowledges that the Participant’s country has enacted data privacy laws that are different from the laws of the United States. Transfers of personal data from the EEA or the United Kingdom to the United States can be made on the basis of Standard Contractual Clauses approved by the European Commission, United Kingdom or other appropriate safeguards permissible under the applicable law. If the Participant is located in the EU, EEA or the United Kingdom, the Corporation may receive, process and transfer the Participant’s Personal Data onward to third-party service providers solely on the basis of appropriate data transfer agreements or other appropriate safeguards permissible under applicable law. If applicable, the Participant understands that the Participant can ask for a copy of the appropriate data processing agreements underlying the transfer of the Participant’s Personal Data by contacting the Participant’s local human resources representative. The Corporation’s legal basis for the transfer of the Participant’s Personal Data is the Participant’s consent.</w:t>
      </w:r>
    </w:p>
    <w:p>
      <w:pPr>
        <w:spacing w:after="0" w:line="185" w:lineRule="exact"/>
        <w:rPr>
          <w:rFonts w:ascii="Times New Roman" w:cs="Times New Roman" w:eastAsia="Times New Roman" w:hAnsi="Times New Roman"/>
          <w:sz w:val="18"/>
          <w:szCs w:val="18"/>
          <w:b w:val="1"/>
          <w:bCs w:val="1"/>
          <w:color w:val="auto"/>
        </w:rPr>
      </w:pPr>
    </w:p>
    <w:p>
      <w:pPr>
        <w:jc w:val="both"/>
        <w:ind w:firstLine="1466"/>
        <w:spacing w:after="0" w:line="257" w:lineRule="auto"/>
        <w:tabs>
          <w:tab w:leader="none" w:pos="1716"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Data Retention.</w:t>
      </w:r>
      <w:r>
        <w:rPr>
          <w:rFonts w:ascii="Times New Roman" w:cs="Times New Roman" w:eastAsia="Times New Roman" w:hAnsi="Times New Roman"/>
          <w:sz w:val="18"/>
          <w:szCs w:val="18"/>
          <w:b w:val="1"/>
          <w:bCs w:val="1"/>
          <w:i w:val="1"/>
          <w:iCs w:val="1"/>
          <w:color w:val="auto"/>
        </w:rPr>
        <w:t xml:space="preserve"> The Participant understands that the Corporation will use the Participant’s Personal Data only as long as is necessary to implement, administer and manage the Participant’s participation in the Plan, or to comply with legal or regulatory obligations, including under tax and securities laws. In the latter case, the Participant understands and acknowledges that the Corporation’s legal basis for the processing of the Participant’s Personal Data would be compliance with the relevant laws or regulations or the pursuit by the Corporation of respective legitimate interests not outweighed by the Participant’s interests, rights or freedoms. When the Corporation no longer needs the Participant’s Personal Data for any of the above purposes, the Participant understands the Corporation will remove it from its systems.</w:t>
      </w:r>
    </w:p>
    <w:p>
      <w:pPr>
        <w:spacing w:after="0" w:line="182" w:lineRule="exact"/>
        <w:rPr>
          <w:rFonts w:ascii="Times New Roman" w:cs="Times New Roman" w:eastAsia="Times New Roman" w:hAnsi="Times New Roman"/>
          <w:sz w:val="18"/>
          <w:szCs w:val="18"/>
          <w:b w:val="1"/>
          <w:bCs w:val="1"/>
          <w:color w:val="auto"/>
        </w:rPr>
      </w:pPr>
    </w:p>
    <w:p>
      <w:pPr>
        <w:ind w:firstLine="1466"/>
        <w:spacing w:after="0" w:line="286" w:lineRule="auto"/>
        <w:tabs>
          <w:tab w:leader="none" w:pos="1737"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Voluntariness and Consequences of Denial/Withdrawal of Consent</w:t>
      </w:r>
      <w:r>
        <w:rPr>
          <w:rFonts w:ascii="Times New Roman" w:cs="Times New Roman" w:eastAsia="Times New Roman" w:hAnsi="Times New Roman"/>
          <w:sz w:val="18"/>
          <w:szCs w:val="18"/>
          <w:b w:val="1"/>
          <w:bCs w:val="1"/>
          <w:i w:val="1"/>
          <w:iCs w:val="1"/>
          <w:color w:val="auto"/>
        </w:rPr>
        <w:t>. The Participant understands that the Participant’s participation in the Plan and the Participant’s grant of consent is purely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86" w:right="339" w:bottom="1440" w:gutter="0" w:footer="0" w:header="0"/>
        </w:sectPr>
      </w:pPr>
    </w:p>
    <w:bookmarkStart w:id="123" w:name="page124"/>
    <w:bookmarkEnd w:id="123"/>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voluntary. The Participant may deny or later withdraw the Participant’s consent at any time, with future effect and for any or no reason. If the Participant denies or later withdraws the Participant’s consent, the Corporation can no longer offer the Participant participation in the Plan or offer other awards to the Participant or administer or maintain such awards and the Participant would no longer be able to participate in the Plan. The Participant further understands that denial or withdrawal of the Participant’s consent would not affect the Participant’s status or salary as an employee or the Participant’s career and that the Participant would merely forfeit the opportunities associated with the Plan.</w:t>
      </w:r>
    </w:p>
    <w:p>
      <w:pPr>
        <w:spacing w:after="0" w:line="179" w:lineRule="exact"/>
        <w:rPr>
          <w:sz w:val="20"/>
          <w:szCs w:val="20"/>
          <w:color w:val="auto"/>
        </w:rPr>
      </w:pPr>
    </w:p>
    <w:p>
      <w:pPr>
        <w:jc w:val="both"/>
        <w:ind w:firstLine="1466"/>
        <w:spacing w:after="0" w:line="253" w:lineRule="auto"/>
        <w:tabs>
          <w:tab w:leader="none" w:pos="174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Data Subject Rights.</w:t>
      </w:r>
      <w:r>
        <w:rPr>
          <w:rFonts w:ascii="Times New Roman" w:cs="Times New Roman" w:eastAsia="Times New Roman" w:hAnsi="Times New Roman"/>
          <w:sz w:val="18"/>
          <w:szCs w:val="18"/>
          <w:b w:val="1"/>
          <w:bCs w:val="1"/>
          <w:i w:val="1"/>
          <w:iCs w:val="1"/>
          <w:color w:val="auto"/>
        </w:rPr>
        <w:t xml:space="preserve"> 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Corporation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the Participant’s objection, does not prove to be compelling, or processed in non-compliance with applicable legal requirements, (iv) request the Corporation to restrict the processing of the Participant’s Personal Data in certain situations where the Participant feels its processing is inappropriate, (v) object, in certain circumstances, to the processing of Personal Data for legitimate interests, and to (vi) request portability of the Participant’s Personal Data that the Participant has actively or passively provided to the Corporation (which does not include data derived or inferred from the collected data), where the processing of such Personal Data is based on consent or the Participant’s employment or service contract and is carried out by automated means. In case of concerns, the Participant understands that the Participant may also have the right to lodge a complaint with the competent local data protection authority. Further, to receive clarification of, or to exercise any of, the Participant’s rights the Participant understands that the Participant should contact the Participant’s local human resources representative.</w:t>
      </w:r>
    </w:p>
    <w:p>
      <w:pPr>
        <w:spacing w:after="0" w:line="185" w:lineRule="exact"/>
        <w:rPr>
          <w:rFonts w:ascii="Times New Roman" w:cs="Times New Roman" w:eastAsia="Times New Roman" w:hAnsi="Times New Roman"/>
          <w:sz w:val="18"/>
          <w:szCs w:val="18"/>
          <w:b w:val="1"/>
          <w:bCs w:val="1"/>
          <w:color w:val="auto"/>
        </w:rPr>
      </w:pPr>
    </w:p>
    <w:p>
      <w:pPr>
        <w:jc w:val="both"/>
        <w:ind w:firstLine="1466"/>
        <w:spacing w:after="0" w:line="256" w:lineRule="auto"/>
        <w:tabs>
          <w:tab w:leader="none" w:pos="1723"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Alternate Basis and Additional Consents.</w:t>
      </w:r>
      <w:r>
        <w:rPr>
          <w:rFonts w:ascii="Times New Roman" w:cs="Times New Roman" w:eastAsia="Times New Roman" w:hAnsi="Times New Roman"/>
          <w:sz w:val="18"/>
          <w:szCs w:val="18"/>
          <w:b w:val="1"/>
          <w:bCs w:val="1"/>
          <w:i w:val="1"/>
          <w:iCs w:val="1"/>
          <w:color w:val="auto"/>
        </w:rPr>
        <w:t xml:space="preserve"> Finally, the Participant understands that the Corporation may rely on a different basis for the processing or transfer of Personal Data in the future and/or request that the Participant provide another data privacy consent. If applicable, the Participant agrees that upon request of the Corporation or the Employer, the Participant will provide an executed acknowledgement or data privacy consent form (or any other agreements or consents) that the Corporation and/or the Employer may deem necessary to obtain from the Participant for the purpose of administering the Participant’s participation in the Plan in compliance with the data privacy laws in the Participant’s country, either now or in the future. The Participant understands and agrees that he or she will not be able to participate in the Plan if he or she fails to provide any such consent or agreement requested by the Corporation and/or the Employer.</w:t>
      </w:r>
    </w:p>
    <w:p>
      <w:pPr>
        <w:spacing w:after="0" w:line="200" w:lineRule="exact"/>
        <w:rPr>
          <w:sz w:val="20"/>
          <w:szCs w:val="20"/>
          <w:color w:val="auto"/>
        </w:rPr>
      </w:pPr>
    </w:p>
    <w:p>
      <w:pPr>
        <w:spacing w:after="0" w:line="226" w:lineRule="exact"/>
        <w:rPr>
          <w:sz w:val="20"/>
          <w:szCs w:val="20"/>
          <w:color w:val="auto"/>
        </w:rPr>
      </w:pPr>
    </w:p>
    <w:p>
      <w:pPr>
        <w:ind w:left="1780" w:hanging="638"/>
        <w:spacing w:after="0"/>
        <w:tabs>
          <w:tab w:leader="none" w:pos="178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Delivery and Acceptance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Participant agrees that the Corporation may decide, in its sole discretion, to deliver by email or other electronic means any documents relating to the Plan or the Stock Units. Further, the Participant agrees to participate in the Plan through an on-line or electronic system established and maintained by the Corporation or by a third party designated by the Corporation.</w:t>
      </w:r>
    </w:p>
    <w:p>
      <w:pPr>
        <w:spacing w:after="0" w:line="200" w:lineRule="exact"/>
        <w:rPr>
          <w:sz w:val="20"/>
          <w:szCs w:val="20"/>
          <w:color w:val="auto"/>
        </w:rPr>
      </w:pPr>
    </w:p>
    <w:p>
      <w:pPr>
        <w:spacing w:after="0" w:line="215" w:lineRule="exact"/>
        <w:rPr>
          <w:sz w:val="20"/>
          <w:szCs w:val="20"/>
          <w:color w:val="auto"/>
        </w:rPr>
      </w:pPr>
    </w:p>
    <w:p>
      <w:pPr>
        <w:ind w:left="1780" w:hanging="638"/>
        <w:spacing w:after="0"/>
        <w:tabs>
          <w:tab w:leader="none" w:pos="178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Insider Trading/ Market Abuse Laws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By participating in the Plan, the Participant agrees to comply with the Corporation’s policy on insider trading (to the extent that it is applicable to the Participant). Depending on the Participant’s country or the designated broker's country or country where the Common Stock is listed, the Participant may be subject to insider trading restrictions and/or market abuse laws, which may affect the Participant’s ability to accept, acquire, sell, attempt to sell or otherwise dispose of Common Stock, rights to Common Stock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Stock Units) or rights linked to the value of Common Stock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phantom awards, futures) during such times as the Participant is considered to have “inside information” regarding the Corporation (as defined by the laws or regulations in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86" w:right="339" w:bottom="1440" w:gutter="0" w:footer="0" w:header="0"/>
        </w:sectPr>
      </w:pPr>
    </w:p>
    <w:bookmarkStart w:id="124" w:name="page125"/>
    <w:bookmarkEnd w:id="124"/>
    <w:p>
      <w:pPr>
        <w:jc w:val="both"/>
        <w:spacing w:after="0" w:line="258" w:lineRule="auto"/>
        <w:rPr>
          <w:sz w:val="20"/>
          <w:szCs w:val="20"/>
          <w:color w:val="auto"/>
        </w:rPr>
      </w:pPr>
      <w:r>
        <w:rPr>
          <w:rFonts w:ascii="Times New Roman" w:cs="Times New Roman" w:eastAsia="Times New Roman" w:hAnsi="Times New Roman"/>
          <w:sz w:val="18"/>
          <w:szCs w:val="18"/>
          <w:color w:val="auto"/>
        </w:rPr>
        <w:t>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any applicable Corporation insider trading policy. The Participant is responsible for ensuring compliance with any applicable restrictions and should consult his or her personal legal advisor on this matter.</w:t>
      </w:r>
    </w:p>
    <w:p>
      <w:pPr>
        <w:spacing w:after="0" w:line="206" w:lineRule="exact"/>
        <w:rPr>
          <w:sz w:val="20"/>
          <w:szCs w:val="20"/>
          <w:color w:val="auto"/>
        </w:rPr>
      </w:pPr>
    </w:p>
    <w:p>
      <w:pPr>
        <w:ind w:left="1780" w:hanging="638"/>
        <w:spacing w:after="0"/>
        <w:tabs>
          <w:tab w:leader="none" w:pos="178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 Tax and/or Foreign Asset/Account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 equivalents paid with respect to the Stock Units or dividends paid on shares of Common Stock acquired under the Plan) in a brokerage/bank account or legal entity outside the Participant’s country. The Participant may be required to report such accounts, assets, the balances therein, the value thereof and/or the transactions related thereto to the tax or other authorities in the Participant’s country. The Participant also may be required to repatriate sale proceeds or other funds received as a result of the Participant’s participation in the Plan to the Participant’s country through a designated bank or broker within a certain time after receipt. The Participant acknowledges that it is the Participant’s responsibility to be compliant with such regulations, and the Participant should consult his or her personal legal advisor for any details.</w:t>
      </w:r>
    </w:p>
    <w:p>
      <w:pPr>
        <w:spacing w:after="0" w:line="215" w:lineRule="exact"/>
        <w:rPr>
          <w:sz w:val="20"/>
          <w:szCs w:val="20"/>
          <w:color w:val="auto"/>
        </w:rPr>
      </w:pPr>
    </w:p>
    <w:p>
      <w:pPr>
        <w:ind w:left="1780" w:hanging="638"/>
        <w:spacing w:after="0"/>
        <w:tabs>
          <w:tab w:leader="none" w:pos="178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Language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Participant acknowledges that he or she is sufficiently proficient in English, or has consulted with an advisor who is sufficiently proficient in English so as to allow the Participant to understand the terms and conditions of this Award Agreement. Furthermore, if the Award Agreement or any other document related to the Plan has been translated into a language other than English and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0"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V. Goeckeler, certify that:</w:t>
      </w:r>
    </w:p>
    <w:p>
      <w:pPr>
        <w:spacing w:after="0" w:line="104" w:lineRule="exact"/>
        <w:rPr>
          <w:sz w:val="20"/>
          <w:szCs w:val="20"/>
          <w:color w:val="auto"/>
        </w:rPr>
      </w:pPr>
    </w:p>
    <w:p>
      <w:pPr>
        <w:ind w:left="520" w:hanging="188"/>
        <w:spacing w:after="0"/>
        <w:tabs>
          <w:tab w:leader="none" w:pos="5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Western Digital Corporation;</w:t>
      </w:r>
    </w:p>
    <w:p>
      <w:pPr>
        <w:spacing w:after="0" w:line="90"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right="220" w:firstLine="332"/>
        <w:spacing w:after="0" w:line="266" w:lineRule="auto"/>
        <w:tabs>
          <w:tab w:leader="none" w:pos="50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right="200" w:firstLine="656"/>
        <w:spacing w:after="0" w:line="266" w:lineRule="auto"/>
        <w:tabs>
          <w:tab w:leader="none" w:pos="818"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40" w:firstLine="656"/>
        <w:spacing w:after="0" w:line="266" w:lineRule="auto"/>
        <w:tabs>
          <w:tab w:leader="none" w:pos="828"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720" w:firstLine="656"/>
        <w:spacing w:after="0" w:line="282" w:lineRule="auto"/>
        <w:tabs>
          <w:tab w:leader="none" w:pos="818"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right="200" w:firstLine="656"/>
        <w:spacing w:after="0" w:line="266" w:lineRule="auto"/>
        <w:tabs>
          <w:tab w:leader="none" w:pos="828"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right="100" w:firstLine="656"/>
        <w:spacing w:after="0" w:line="282" w:lineRule="auto"/>
        <w:tabs>
          <w:tab w:leader="none" w:pos="818"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60" w:firstLine="656"/>
        <w:spacing w:after="0" w:line="282" w:lineRule="auto"/>
        <w:tabs>
          <w:tab w:leader="none" w:pos="828"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435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David V. Goeckeler</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9, 2021</w:t>
      </w:r>
    </w:p>
    <w:p>
      <w:pPr>
        <w:sectPr>
          <w:pgSz w:w="11900" w:h="16838" w:orient="portrait"/>
          <w:cols w:equalWidth="0" w:num="1">
            <w:col w:w="11240"/>
          </w:cols>
          <w:pgMar w:left="320" w:top="887"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K. Eulau, certify that:</w:t>
      </w:r>
    </w:p>
    <w:p>
      <w:pPr>
        <w:spacing w:after="0" w:line="104" w:lineRule="exact"/>
        <w:rPr>
          <w:sz w:val="20"/>
          <w:szCs w:val="20"/>
          <w:color w:val="auto"/>
        </w:rPr>
      </w:pPr>
    </w:p>
    <w:p>
      <w:pPr>
        <w:ind w:left="520" w:hanging="188"/>
        <w:spacing w:after="0"/>
        <w:tabs>
          <w:tab w:leader="none" w:pos="5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Western Digital Corporation;</w:t>
      </w:r>
    </w:p>
    <w:p>
      <w:pPr>
        <w:spacing w:after="0" w:line="90"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right="220" w:firstLine="332"/>
        <w:spacing w:after="0" w:line="266" w:lineRule="auto"/>
        <w:tabs>
          <w:tab w:leader="none" w:pos="50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right="200" w:firstLine="656"/>
        <w:spacing w:after="0" w:line="266" w:lineRule="auto"/>
        <w:tabs>
          <w:tab w:leader="none" w:pos="818"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40" w:firstLine="656"/>
        <w:spacing w:after="0" w:line="266" w:lineRule="auto"/>
        <w:tabs>
          <w:tab w:leader="none" w:pos="828"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720" w:firstLine="656"/>
        <w:spacing w:after="0" w:line="282" w:lineRule="auto"/>
        <w:tabs>
          <w:tab w:leader="none" w:pos="818"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right="200" w:firstLine="656"/>
        <w:spacing w:after="0" w:line="266" w:lineRule="auto"/>
        <w:tabs>
          <w:tab w:leader="none" w:pos="828"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right="100" w:firstLine="656"/>
        <w:spacing w:after="0" w:line="282" w:lineRule="auto"/>
        <w:tabs>
          <w:tab w:leader="none" w:pos="818"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60" w:firstLine="656"/>
        <w:spacing w:after="0" w:line="282" w:lineRule="auto"/>
        <w:tabs>
          <w:tab w:leader="none" w:pos="828"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/s/ 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6"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Robert K. Eulau</w:t>
      </w:r>
    </w:p>
    <w:p>
      <w:pPr>
        <w:spacing w:after="0" w:line="1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9, 2021</w:t>
      </w:r>
    </w:p>
    <w:p>
      <w:pPr>
        <w:sectPr>
          <w:pgSz w:w="11900" w:h="16838" w:orient="portrait"/>
          <w:cols w:equalWidth="0" w:num="1">
            <w:col w:w="11240"/>
          </w:cols>
          <w:pgMar w:left="320" w:top="887" w:right="339" w:bottom="1440" w:gutter="0" w:footer="0" w:header="0"/>
        </w:sectPr>
      </w:pPr>
    </w:p>
    <w:bookmarkStart w:id="127" w:name="page128"/>
    <w:bookmarkEnd w:id="127"/>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85" w:lineRule="exact"/>
        <w:rPr>
          <w:sz w:val="20"/>
          <w:szCs w:val="20"/>
          <w:color w:val="auto"/>
        </w:rPr>
      </w:pPr>
    </w:p>
    <w:p>
      <w:pPr>
        <w:ind w:right="360" w:firstLine="332"/>
        <w:spacing w:after="0" w:line="282" w:lineRule="auto"/>
        <w:tabs>
          <w:tab w:leader="none" w:pos="53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January 1, 2021 (the “Report”) fully complies with the requirements of Section 13(a) or Section 15(d), as applicable, of the Securities Exchange Act of 1934, as amended; and</w:t>
      </w:r>
    </w:p>
    <w:p>
      <w:pPr>
        <w:spacing w:after="0" w:line="26"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435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David V. Goeckeler</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9, 2021</w:t>
      </w:r>
    </w:p>
    <w:p>
      <w:pPr>
        <w:sectPr>
          <w:pgSz w:w="11900" w:h="16838" w:orient="portrait"/>
          <w:cols w:equalWidth="0" w:num="1">
            <w:col w:w="11240"/>
          </w:cols>
          <w:pgMar w:left="320" w:top="887" w:right="339" w:bottom="1440" w:gutter="0" w:footer="0" w:header="0"/>
        </w:sectPr>
      </w:pPr>
    </w:p>
    <w:bookmarkStart w:id="128" w:name="page129"/>
    <w:bookmarkEnd w:id="128"/>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85" w:lineRule="exact"/>
        <w:rPr>
          <w:sz w:val="20"/>
          <w:szCs w:val="20"/>
          <w:color w:val="auto"/>
        </w:rPr>
      </w:pPr>
    </w:p>
    <w:p>
      <w:pPr>
        <w:ind w:right="360" w:firstLine="332"/>
        <w:spacing w:after="0" w:line="282" w:lineRule="auto"/>
        <w:tabs>
          <w:tab w:leader="none" w:pos="53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January 1, 2021 (the “Report”) fully complies with the requirements of Section 13(a) or Section 15(d), as applicable, of the Securities Exchange Act of 1934, as amended; and</w:t>
      </w:r>
    </w:p>
    <w:p>
      <w:pPr>
        <w:spacing w:after="0" w:line="26"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/s/ 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0861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Robert K. Eulau</w:t>
      </w:r>
    </w:p>
    <w:p>
      <w:pPr>
        <w:spacing w:after="0" w:line="11"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jc w:val="center"/>
        <w:ind w:left="63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9, 2021</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0F59DC"/>
    <w:multiLevelType w:val="hybridMultilevel"/>
    <w:lvl w:ilvl="0">
      <w:lvlJc w:val="left"/>
      <w:lvlText w:val="☒"/>
      <w:numFmt w:val="bullet"/>
      <w:start w:val="1"/>
    </w:lvl>
  </w:abstractNum>
  <w:abstractNum w:abstractNumId="1">
    <w:nsid w:val="7FB7E0AA"/>
    <w:multiLevelType w:val="hybridMultilevel"/>
    <w:lvl w:ilvl="0">
      <w:lvlJc w:val="left"/>
      <w:lvlText w:val="☐"/>
      <w:numFmt w:val="bullet"/>
      <w:start w:val="1"/>
    </w:lvl>
  </w:abstractNum>
  <w:abstractNum w:abstractNumId="2">
    <w:nsid w:val="6EB5BD4"/>
    <w:multiLevelType w:val="hybridMultilevel"/>
    <w:lvl w:ilvl="0">
      <w:lvlJc w:val="left"/>
      <w:lvlText w:val="•"/>
      <w:numFmt w:val="bullet"/>
      <w:start w:val="1"/>
    </w:lvl>
  </w:abstractNum>
  <w:abstractNum w:abstractNumId="3">
    <w:nsid w:val="6F6DD9AC"/>
    <w:multiLevelType w:val="hybridMultilevel"/>
    <w:lvl w:ilvl="0">
      <w:lvlJc w:val="left"/>
      <w:lvlText w:val="•"/>
      <w:numFmt w:val="bullet"/>
      <w:start w:val="1"/>
    </w:lvl>
  </w:abstractNum>
  <w:abstractNum w:abstractNumId="4">
    <w:nsid w:val="94211F2"/>
    <w:multiLevelType w:val="hybridMultilevel"/>
    <w:lvl w:ilvl="0">
      <w:lvlJc w:val="left"/>
      <w:lvlText w:val="(%1)"/>
      <w:numFmt w:val="decimal"/>
      <w:start w:val="1"/>
    </w:lvl>
  </w:abstractNum>
  <w:abstractNum w:abstractNumId="5">
    <w:nsid w:val="885E1B"/>
    <w:multiLevelType w:val="hybridMultilevel"/>
    <w:lvl w:ilvl="0">
      <w:lvlJc w:val="left"/>
      <w:lvlText w:val="(%1)"/>
      <w:numFmt w:val="decimal"/>
      <w:start w:val="1"/>
    </w:lvl>
  </w:abstractNum>
  <w:abstractNum w:abstractNumId="6">
    <w:nsid w:val="76272110"/>
    <w:multiLevelType w:val="hybridMultilevel"/>
    <w:lvl w:ilvl="0">
      <w:lvlJc w:val="left"/>
      <w:lvlText w:val="(%1)"/>
      <w:numFmt w:val="decimal"/>
      <w:start w:val="1"/>
    </w:lvl>
  </w:abstractNum>
  <w:abstractNum w:abstractNumId="7">
    <w:nsid w:val="4C04A8AF"/>
    <w:multiLevelType w:val="hybridMultilevel"/>
    <w:lvl w:ilvl="0">
      <w:lvlJc w:val="left"/>
      <w:lvlText w:val="(%1)"/>
      <w:numFmt w:val="lowerRoman"/>
      <w:start w:val="2"/>
    </w:lvl>
  </w:abstractNum>
  <w:abstractNum w:abstractNumId="8">
    <w:nsid w:val="1716703B"/>
    <w:multiLevelType w:val="hybridMultilevel"/>
    <w:lvl w:ilvl="0">
      <w:lvlJc w:val="left"/>
      <w:lvlText w:val="(%1)"/>
      <w:numFmt w:val="lowerRoman"/>
      <w:start w:val="4"/>
    </w:lvl>
  </w:abstractNum>
  <w:abstractNum w:abstractNumId="9">
    <w:nsid w:val="14E17E33"/>
    <w:multiLevelType w:val="hybridMultilevel"/>
    <w:lvl w:ilvl="0">
      <w:lvlJc w:val="left"/>
      <w:lvlText w:val="†"/>
      <w:numFmt w:val="bullet"/>
      <w:start w:val="1"/>
    </w:lvl>
    <w:lvl w:ilvl="1">
      <w:lvlJc w:val="left"/>
      <w:lvlText w:val="%2"/>
      <w:numFmt w:val="decimal"/>
      <w:start w:val="104"/>
    </w:lvl>
  </w:abstractNum>
  <w:abstractNum w:abstractNumId="10">
    <w:nsid w:val="3222E7CD"/>
    <w:multiLevelType w:val="hybridMultilevel"/>
    <w:lvl w:ilvl="0">
      <w:lvlJc w:val="left"/>
      <w:lvlText w:val="*"/>
      <w:numFmt w:val="bullet"/>
      <w:start w:val="1"/>
    </w:lvl>
  </w:abstractNum>
  <w:abstractNum w:abstractNumId="11">
    <w:nsid w:val="74DE0EE3"/>
    <w:multiLevelType w:val="hybridMultilevel"/>
    <w:lvl w:ilvl="0">
      <w:lvlJc w:val="left"/>
      <w:lvlText w:val="%1."/>
      <w:numFmt w:val="decimal"/>
      <w:start w:val="1"/>
    </w:lvl>
  </w:abstractNum>
  <w:abstractNum w:abstractNumId="12">
    <w:nsid w:val="68EBC550"/>
    <w:multiLevelType w:val="hybridMultilevel"/>
    <w:lvl w:ilvl="0">
      <w:lvlJc w:val="left"/>
      <w:lvlText w:val="%1."/>
      <w:numFmt w:val="decimal"/>
      <w:start w:val="2"/>
    </w:lvl>
  </w:abstractNum>
  <w:abstractNum w:abstractNumId="13">
    <w:nsid w:val="2DF6D648"/>
    <w:multiLevelType w:val="hybridMultilevel"/>
    <w:lvl w:ilvl="0">
      <w:lvlJc w:val="left"/>
      <w:lvlText w:val="%1."/>
      <w:numFmt w:val="decimal"/>
      <w:start w:val="3"/>
    </w:lvl>
  </w:abstractNum>
  <w:abstractNum w:abstractNumId="14">
    <w:nsid w:val="46B7D447"/>
    <w:multiLevelType w:val="hybridMultilevel"/>
    <w:lvl w:ilvl="0">
      <w:lvlJc w:val="left"/>
      <w:lvlText w:val="(%1)"/>
      <w:numFmt w:val="lowerLetter"/>
      <w:start w:val="1"/>
    </w:lvl>
  </w:abstractNum>
  <w:abstractNum w:abstractNumId="15">
    <w:nsid w:val="4A2AC315"/>
    <w:multiLevelType w:val="hybridMultilevel"/>
    <w:lvl w:ilvl="0">
      <w:lvlJc w:val="left"/>
      <w:lvlText w:val="(%1)"/>
      <w:numFmt w:val="lowerLetter"/>
      <w:start w:val="4"/>
    </w:lvl>
  </w:abstractNum>
  <w:abstractNum w:abstractNumId="16">
    <w:nsid w:val="39EE015C"/>
    <w:multiLevelType w:val="hybridMultilevel"/>
    <w:lvl w:ilvl="0">
      <w:lvlJc w:val="left"/>
      <w:lvlText w:val="%1."/>
      <w:numFmt w:val="decimal"/>
      <w:start w:val="4"/>
    </w:lvl>
  </w:abstractNum>
  <w:abstractNum w:abstractNumId="17">
    <w:nsid w:val="57FC4FBB"/>
    <w:multiLevelType w:val="hybridMultilevel"/>
    <w:lvl w:ilvl="0">
      <w:lvlJc w:val="left"/>
      <w:lvlText w:val="(%1)"/>
      <w:numFmt w:val="decimal"/>
      <w:start w:val="1"/>
    </w:lvl>
  </w:abstractNum>
  <w:abstractNum w:abstractNumId="18">
    <w:nsid w:val="CC1016F"/>
    <w:multiLevelType w:val="hybridMultilevel"/>
    <w:lvl w:ilvl="0">
      <w:lvlJc w:val="left"/>
      <w:lvlText w:val="(%1)"/>
      <w:numFmt w:val="lowerRoman"/>
      <w:start w:val="2"/>
    </w:lvl>
  </w:abstractNum>
  <w:abstractNum w:abstractNumId="19">
    <w:nsid w:val="43F18422"/>
    <w:multiLevelType w:val="hybridMultilevel"/>
    <w:lvl w:ilvl="0">
      <w:lvlJc w:val="left"/>
      <w:lvlText w:val="(%1)"/>
      <w:numFmt w:val="decimal"/>
      <w:start w:val="1"/>
    </w:lvl>
  </w:abstractNum>
  <w:abstractNum w:abstractNumId="20">
    <w:nsid w:val="60EF0119"/>
    <w:multiLevelType w:val="hybridMultilevel"/>
    <w:lvl w:ilvl="0">
      <w:lvlJc w:val="left"/>
      <w:lvlText w:val="(%1)"/>
      <w:numFmt w:val="lowerLetter"/>
      <w:start w:val="1"/>
    </w:lvl>
  </w:abstractNum>
  <w:abstractNum w:abstractNumId="21">
    <w:nsid w:val="26F324BA"/>
    <w:multiLevelType w:val="hybridMultilevel"/>
    <w:lvl w:ilvl="0">
      <w:lvlJc w:val="left"/>
      <w:lvlText w:val="(%1)"/>
      <w:numFmt w:val="lowerLetter"/>
      <w:start w:val="3"/>
    </w:lvl>
  </w:abstractNum>
  <w:abstractNum w:abstractNumId="22">
    <w:nsid w:val="7F01579B"/>
    <w:multiLevelType w:val="hybridMultilevel"/>
    <w:lvl w:ilvl="0">
      <w:lvlJc w:val="left"/>
      <w:lvlText w:val="%1."/>
      <w:numFmt w:val="decimal"/>
      <w:start w:val="5"/>
    </w:lvl>
  </w:abstractNum>
  <w:abstractNum w:abstractNumId="23">
    <w:nsid w:val="49DA307D"/>
    <w:multiLevelType w:val="hybridMultilevel"/>
    <w:lvl w:ilvl="0">
      <w:lvlJc w:val="left"/>
      <w:lvlText w:val="•"/>
      <w:numFmt w:val="bullet"/>
      <w:start w:val="1"/>
    </w:lvl>
  </w:abstractNum>
  <w:abstractNum w:abstractNumId="24">
    <w:nsid w:val="7055A5F5"/>
    <w:multiLevelType w:val="hybridMultilevel"/>
    <w:lvl w:ilvl="0">
      <w:lvlJc w:val="left"/>
      <w:lvlText w:val="•"/>
      <w:numFmt w:val="bullet"/>
      <w:start w:val="1"/>
    </w:lvl>
  </w:abstractNum>
  <w:abstractNum w:abstractNumId="25">
    <w:nsid w:val="5FB8370B"/>
    <w:multiLevelType w:val="hybridMultilevel"/>
    <w:lvl w:ilvl="0">
      <w:lvlJc w:val="left"/>
      <w:lvlText w:val="(%1)"/>
      <w:numFmt w:val="lowerLetter"/>
      <w:start w:val="1"/>
    </w:lvl>
  </w:abstractNum>
  <w:abstractNum w:abstractNumId="26">
    <w:nsid w:val="50801EE1"/>
    <w:multiLevelType w:val="hybridMultilevel"/>
    <w:lvl w:ilvl="0">
      <w:lvlJc w:val="left"/>
      <w:lvlText w:val="%1."/>
      <w:numFmt w:val="decimal"/>
      <w:start w:val="6"/>
    </w:lvl>
  </w:abstractNum>
  <w:abstractNum w:abstractNumId="27">
    <w:nsid w:val="488AC1A"/>
    <w:multiLevelType w:val="hybridMultilevel"/>
    <w:lvl w:ilvl="0">
      <w:lvlJc w:val="left"/>
      <w:lvlText w:val="%1."/>
      <w:numFmt w:val="decimal"/>
      <w:start w:val="7"/>
    </w:lvl>
  </w:abstractNum>
  <w:abstractNum w:abstractNumId="28">
    <w:nsid w:val="5FB8011C"/>
    <w:multiLevelType w:val="hybridMultilevel"/>
    <w:lvl w:ilvl="0">
      <w:lvlJc w:val="left"/>
      <w:lvlText w:val="(%1)"/>
      <w:numFmt w:val="decimal"/>
      <w:start w:val="4"/>
    </w:lvl>
  </w:abstractNum>
  <w:abstractNum w:abstractNumId="29">
    <w:nsid w:val="6AA78F7F"/>
    <w:multiLevelType w:val="hybridMultilevel"/>
    <w:lvl w:ilvl="0">
      <w:lvlJc w:val="left"/>
      <w:lvlText w:val="(%1)"/>
      <w:numFmt w:val="lowerLetter"/>
      <w:start w:val="1"/>
    </w:lvl>
  </w:abstractNum>
  <w:abstractNum w:abstractNumId="30">
    <w:nsid w:val="7672BD23"/>
    <w:multiLevelType w:val="hybridMultilevel"/>
    <w:lvl w:ilvl="0">
      <w:lvlJc w:val="left"/>
      <w:lvlText w:val="(%1)"/>
      <w:numFmt w:val="lowerLetter"/>
      <w:start w:val="3"/>
    </w:lvl>
  </w:abstractNum>
  <w:abstractNum w:abstractNumId="31">
    <w:nsid w:val="6FC75AF8"/>
    <w:multiLevelType w:val="hybridMultilevel"/>
    <w:lvl w:ilvl="0">
      <w:lvlJc w:val="left"/>
      <w:lvlText w:val="%1."/>
      <w:numFmt w:val="decimal"/>
      <w:start w:val="8"/>
    </w:lvl>
  </w:abstractNum>
  <w:abstractNum w:abstractNumId="32">
    <w:nsid w:val="6A5F7029"/>
    <w:multiLevelType w:val="hybridMultilevel"/>
    <w:lvl w:ilvl="0">
      <w:lvlJc w:val="left"/>
      <w:lvlText w:val="(%1)"/>
      <w:numFmt w:val="lowerLetter"/>
      <w:start w:val="1"/>
    </w:lvl>
  </w:abstractNum>
  <w:abstractNum w:abstractNumId="33">
    <w:nsid w:val="7D5E18F8"/>
    <w:multiLevelType w:val="hybridMultilevel"/>
    <w:lvl w:ilvl="0">
      <w:lvlJc w:val="left"/>
      <w:lvlText w:val="(%1)"/>
      <w:numFmt w:val="lowerLetter"/>
      <w:start w:val="1"/>
    </w:lvl>
  </w:abstractNum>
  <w:abstractNum w:abstractNumId="34">
    <w:nsid w:val="5F3534A4"/>
    <w:multiLevelType w:val="hybridMultilevel"/>
    <w:lvl w:ilvl="0">
      <w:lvlJc w:val="left"/>
      <w:lvlText w:val="(%1)"/>
      <w:numFmt w:val="lowerLetter"/>
      <w:start w:val="2"/>
    </w:lvl>
  </w:abstractNum>
  <w:abstractNum w:abstractNumId="35">
    <w:nsid w:val="73A1821B"/>
    <w:multiLevelType w:val="hybridMultilevel"/>
    <w:lvl w:ilvl="0">
      <w:lvlJc w:val="left"/>
      <w:lvlText w:val="%1."/>
      <w:numFmt w:val="decimal"/>
      <w:start w:val="1"/>
    </w:lvl>
  </w:abstractNum>
  <w:abstractNum w:abstractNumId="36">
    <w:nsid w:val="7DE67713"/>
    <w:multiLevelType w:val="hybridMultilevel"/>
    <w:lvl w:ilvl="0">
      <w:lvlJc w:val="left"/>
      <w:lvlText w:val="%1."/>
      <w:numFmt w:val="decimal"/>
      <w:start w:val="2"/>
    </w:lvl>
  </w:abstractNum>
  <w:abstractNum w:abstractNumId="37">
    <w:nsid w:val="555C55B5"/>
    <w:multiLevelType w:val="hybridMultilevel"/>
    <w:lvl w:ilvl="0">
      <w:lvlJc w:val="left"/>
      <w:lvlText w:val="%1."/>
      <w:numFmt w:val="decimal"/>
      <w:start w:val="3"/>
    </w:lvl>
  </w:abstractNum>
  <w:abstractNum w:abstractNumId="38">
    <w:nsid w:val="3FA62ACA"/>
    <w:multiLevelType w:val="hybridMultilevel"/>
    <w:lvl w:ilvl="0">
      <w:lvlJc w:val="left"/>
      <w:lvlText w:val="%1."/>
      <w:numFmt w:val="decimal"/>
      <w:start w:val="4"/>
    </w:lvl>
  </w:abstractNum>
  <w:abstractNum w:abstractNumId="39">
    <w:nsid w:val="14FCE74E"/>
    <w:multiLevelType w:val="hybridMultilevel"/>
    <w:lvl w:ilvl="0">
      <w:lvlJc w:val="left"/>
      <w:lvlText w:val="%1."/>
      <w:numFmt w:val="decimal"/>
      <w:start w:val="5"/>
    </w:lvl>
  </w:abstractNum>
  <w:abstractNum w:abstractNumId="40">
    <w:nsid w:val="6A3DD3E8"/>
    <w:multiLevelType w:val="hybridMultilevel"/>
    <w:lvl w:ilvl="0">
      <w:lvlJc w:val="left"/>
      <w:lvlText w:val="(%1)"/>
      <w:numFmt w:val="lowerRoman"/>
      <w:start w:val="2"/>
    </w:lvl>
  </w:abstractNum>
  <w:abstractNum w:abstractNumId="41">
    <w:nsid w:val="71C91298"/>
    <w:multiLevelType w:val="hybridMultilevel"/>
    <w:lvl w:ilvl="0">
      <w:lvlJc w:val="left"/>
      <w:lvlText w:val="%1."/>
      <w:numFmt w:val="decimal"/>
      <w:start w:val="6"/>
    </w:lvl>
  </w:abstractNum>
  <w:abstractNum w:abstractNumId="42">
    <w:nsid w:val="9DAF632"/>
    <w:multiLevelType w:val="hybridMultilevel"/>
    <w:lvl w:ilvl="0">
      <w:lvlJc w:val="left"/>
      <w:lvlText w:val="%1."/>
      <w:numFmt w:val="decimal"/>
      <w:start w:val="7"/>
    </w:lvl>
  </w:abstractNum>
  <w:abstractNum w:abstractNumId="43">
    <w:nsid w:val="53299938"/>
    <w:multiLevelType w:val="hybridMultilevel"/>
    <w:lvl w:ilvl="0">
      <w:lvlJc w:val="left"/>
      <w:lvlText w:val="%1."/>
      <w:numFmt w:val="decimal"/>
      <w:start w:val="8"/>
    </w:lvl>
  </w:abstractNum>
  <w:abstractNum w:abstractNumId="44">
    <w:nsid w:val="1FBFE8E0"/>
    <w:multiLevelType w:val="hybridMultilevel"/>
    <w:lvl w:ilvl="0">
      <w:lvlJc w:val="left"/>
      <w:lvlText w:val="(%1)"/>
      <w:numFmt w:val="lowerLetter"/>
      <w:start w:val="1"/>
    </w:lvl>
  </w:abstractNum>
  <w:abstractNum w:abstractNumId="45">
    <w:nsid w:val="5092CA79"/>
    <w:multiLevelType w:val="hybridMultilevel"/>
    <w:lvl w:ilvl="0">
      <w:lvlJc w:val="left"/>
      <w:lvlText w:val="(%1)"/>
      <w:numFmt w:val="lowerRoman"/>
      <w:start w:val="2"/>
    </w:lvl>
  </w:abstractNum>
  <w:abstractNum w:abstractNumId="46">
    <w:nsid w:val="1D545C4D"/>
    <w:multiLevelType w:val="hybridMultilevel"/>
    <w:lvl w:ilvl="0">
      <w:lvlJc w:val="left"/>
      <w:lvlText w:val="(%1)"/>
      <w:numFmt w:val="lowerLetter"/>
      <w:start w:val="4"/>
    </w:lvl>
  </w:abstractNum>
  <w:abstractNum w:abstractNumId="47">
    <w:nsid w:val="59ADEA3D"/>
    <w:multiLevelType w:val="hybridMultilevel"/>
    <w:lvl w:ilvl="0">
      <w:lvlJc w:val="left"/>
      <w:lvlText w:val="%1."/>
      <w:numFmt w:val="decimal"/>
      <w:start w:val="9"/>
    </w:lvl>
  </w:abstractNum>
  <w:abstractNum w:abstractNumId="48">
    <w:nsid w:val="288F1A34"/>
    <w:multiLevelType w:val="hybridMultilevel"/>
    <w:lvl w:ilvl="0">
      <w:lvlJc w:val="left"/>
      <w:lvlText w:val="%1."/>
      <w:numFmt w:val="decimal"/>
      <w:start w:val="10"/>
    </w:lvl>
  </w:abstractNum>
  <w:abstractNum w:abstractNumId="49">
    <w:nsid w:val="2A155DBC"/>
    <w:multiLevelType w:val="hybridMultilevel"/>
    <w:lvl w:ilvl="0">
      <w:lvlJc w:val="left"/>
      <w:lvlText w:val="%1."/>
      <w:numFmt w:val="decimal"/>
      <w:start w:val="11"/>
    </w:lvl>
  </w:abstractNum>
  <w:abstractNum w:abstractNumId="50">
    <w:nsid w:val="1D9F6E5F"/>
    <w:multiLevelType w:val="hybridMultilevel"/>
    <w:lvl w:ilvl="0">
      <w:lvlJc w:val="left"/>
      <w:lvlText w:val="%1."/>
      <w:numFmt w:val="decimal"/>
      <w:start w:val="12"/>
    </w:lvl>
  </w:abstractNum>
  <w:abstractNum w:abstractNumId="51">
    <w:nsid w:val="97E1B4E"/>
    <w:multiLevelType w:val="hybridMultilevel"/>
    <w:lvl w:ilvl="0">
      <w:lvlJc w:val="left"/>
      <w:lvlText w:val="%1."/>
      <w:numFmt w:val="decimal"/>
      <w:start w:val="13"/>
    </w:lvl>
  </w:abstractNum>
  <w:abstractNum w:abstractNumId="52">
    <w:nsid w:val="51088277"/>
    <w:multiLevelType w:val="hybridMultilevel"/>
    <w:lvl w:ilvl="0">
      <w:lvlJc w:val="left"/>
      <w:lvlText w:val="%1."/>
      <w:numFmt w:val="decimal"/>
      <w:start w:val="14"/>
    </w:lvl>
  </w:abstractNum>
  <w:abstractNum w:abstractNumId="53">
    <w:nsid w:val="1CA0C5FA"/>
    <w:multiLevelType w:val="hybridMultilevel"/>
    <w:lvl w:ilvl="0">
      <w:lvlJc w:val="left"/>
      <w:lvlText w:val="%1."/>
      <w:numFmt w:val="decimal"/>
      <w:start w:val="15"/>
    </w:lvl>
  </w:abstractNum>
  <w:abstractNum w:abstractNumId="54">
    <w:nsid w:val="53584BCB"/>
    <w:multiLevelType w:val="hybridMultilevel"/>
    <w:lvl w:ilvl="0">
      <w:lvlJc w:val="left"/>
      <w:lvlText w:val="%1."/>
      <w:numFmt w:val="decimal"/>
      <w:start w:val="16"/>
    </w:lvl>
  </w:abstractNum>
  <w:abstractNum w:abstractNumId="55">
    <w:nsid w:val="415E286C"/>
    <w:multiLevelType w:val="hybridMultilevel"/>
    <w:lvl w:ilvl="0">
      <w:lvlJc w:val="left"/>
      <w:lvlText w:val="%1."/>
      <w:numFmt w:val="decimal"/>
      <w:start w:val="17"/>
    </w:lvl>
  </w:abstractNum>
  <w:abstractNum w:abstractNumId="56">
    <w:nsid w:val="7C58FD05"/>
    <w:multiLevelType w:val="hybridMultilevel"/>
    <w:lvl w:ilvl="0">
      <w:lvlJc w:val="left"/>
      <w:lvlText w:val="%1."/>
      <w:numFmt w:val="decimal"/>
      <w:start w:val="18"/>
    </w:lvl>
  </w:abstractNum>
  <w:abstractNum w:abstractNumId="57">
    <w:nsid w:val="23D86AAC"/>
    <w:multiLevelType w:val="hybridMultilevel"/>
    <w:lvl w:ilvl="0">
      <w:lvlJc w:val="left"/>
      <w:lvlText w:val="%1."/>
      <w:numFmt w:val="decimal"/>
      <w:start w:val="19"/>
    </w:lvl>
  </w:abstractNum>
  <w:abstractNum w:abstractNumId="58">
    <w:nsid w:val="45E6D486"/>
    <w:multiLevelType w:val="hybridMultilevel"/>
    <w:lvl w:ilvl="0">
      <w:lvlJc w:val="left"/>
      <w:lvlText w:val="%1."/>
      <w:numFmt w:val="decimal"/>
      <w:start w:val="20"/>
    </w:lvl>
  </w:abstractNum>
  <w:abstractNum w:abstractNumId="59">
    <w:nsid w:val="5C10FE21"/>
    <w:multiLevelType w:val="hybridMultilevel"/>
    <w:lvl w:ilvl="0">
      <w:lvlJc w:val="left"/>
      <w:lvlText w:val="%1."/>
      <w:numFmt w:val="decimal"/>
      <w:start w:val="21"/>
    </w:lvl>
  </w:abstractNum>
  <w:abstractNum w:abstractNumId="60">
    <w:nsid w:val="E7FFA2B"/>
    <w:multiLevelType w:val="hybridMultilevel"/>
    <w:lvl w:ilvl="0">
      <w:lvlJc w:val="left"/>
      <w:lvlText w:val="%1."/>
      <w:numFmt w:val="decimal"/>
      <w:start w:val="22"/>
    </w:lvl>
  </w:abstractNum>
  <w:abstractNum w:abstractNumId="61">
    <w:nsid w:val="3C5991AA"/>
    <w:multiLevelType w:val="hybridMultilevel"/>
    <w:lvl w:ilvl="0">
      <w:lvlJc w:val="left"/>
      <w:lvlText w:val="%1."/>
      <w:numFmt w:val="decimal"/>
      <w:start w:val="23"/>
    </w:lvl>
  </w:abstractNum>
  <w:abstractNum w:abstractNumId="62">
    <w:nsid w:val="4BD8591A"/>
    <w:multiLevelType w:val="hybridMultilevel"/>
    <w:lvl w:ilvl="0">
      <w:lvlJc w:val="left"/>
      <w:lvlText w:val="%1."/>
      <w:numFmt w:val="decimal"/>
      <w:start w:val="24"/>
    </w:lvl>
  </w:abstractNum>
  <w:abstractNum w:abstractNumId="63">
    <w:nsid w:val="78DF6A55"/>
    <w:multiLevelType w:val="hybridMultilevel"/>
    <w:lvl w:ilvl="0">
      <w:lvlJc w:val="left"/>
      <w:lvlText w:val="%1."/>
      <w:numFmt w:val="decimal"/>
      <w:start w:val="25"/>
    </w:lvl>
  </w:abstractNum>
  <w:abstractNum w:abstractNumId="64">
    <w:nsid w:val="39B7AAA2"/>
    <w:multiLevelType w:val="hybridMultilevel"/>
    <w:lvl w:ilvl="0">
      <w:lvlJc w:val="left"/>
      <w:lvlText w:val="(%1)"/>
      <w:numFmt w:val="lowerLetter"/>
      <w:start w:val="1"/>
    </w:lvl>
  </w:abstractNum>
  <w:abstractNum w:abstractNumId="65">
    <w:nsid w:val="2B0D8DBE"/>
    <w:multiLevelType w:val="hybridMultilevel"/>
    <w:lvl w:ilvl="0">
      <w:lvlJc w:val="left"/>
      <w:lvlText w:val="(%1)"/>
      <w:numFmt w:val="lowerLetter"/>
      <w:start w:val="3"/>
    </w:lvl>
  </w:abstractNum>
  <w:abstractNum w:abstractNumId="66">
    <w:nsid w:val="6C80EC70"/>
    <w:multiLevelType w:val="hybridMultilevel"/>
    <w:lvl w:ilvl="0">
      <w:lvlJc w:val="left"/>
      <w:lvlText w:val="(%1)"/>
      <w:numFmt w:val="lowerLetter"/>
      <w:start w:val="5"/>
    </w:lvl>
  </w:abstractNum>
  <w:abstractNum w:abstractNumId="67">
    <w:nsid w:val="379E21B5"/>
    <w:multiLevelType w:val="hybridMultilevel"/>
    <w:lvl w:ilvl="0">
      <w:lvlJc w:val="left"/>
      <w:lvlText w:val="%1."/>
      <w:numFmt w:val="decimal"/>
      <w:start w:val="1"/>
    </w:lvl>
  </w:abstractNum>
  <w:abstractNum w:abstractNumId="68">
    <w:nsid w:val="69E373"/>
    <w:multiLevelType w:val="hybridMultilevel"/>
    <w:lvl w:ilvl="0">
      <w:lvlJc w:val="left"/>
      <w:lvlText w:val="%1."/>
      <w:numFmt w:val="decimal"/>
      <w:start w:val="2"/>
    </w:lvl>
  </w:abstractNum>
  <w:abstractNum w:abstractNumId="69">
    <w:nsid w:val="2C27173B"/>
    <w:multiLevelType w:val="hybridMultilevel"/>
    <w:lvl w:ilvl="0">
      <w:lvlJc w:val="left"/>
      <w:lvlText w:val="%1."/>
      <w:numFmt w:val="decimal"/>
      <w:start w:val="3"/>
    </w:lvl>
  </w:abstractNum>
  <w:abstractNum w:abstractNumId="70">
    <w:nsid w:val="4C9B0904"/>
    <w:multiLevelType w:val="hybridMultilevel"/>
    <w:lvl w:ilvl="0">
      <w:lvlJc w:val="left"/>
      <w:lvlText w:val="%1"/>
      <w:numFmt w:val="decimal"/>
      <w:start w:val="1"/>
    </w:lvl>
    <w:lvl w:ilvl="1">
      <w:lvlJc w:val="left"/>
      <w:lvlText w:val="(%2)"/>
      <w:numFmt w:val="lowerLetter"/>
      <w:start w:val="1"/>
    </w:lvl>
  </w:abstractNum>
  <w:abstractNum w:abstractNumId="71">
    <w:nsid w:val="6AA7B75C"/>
    <w:multiLevelType w:val="hybridMultilevel"/>
    <w:lvl w:ilvl="0">
      <w:lvlJc w:val="left"/>
      <w:lvlText w:val="%1."/>
      <w:numFmt w:val="decimal"/>
      <w:start w:val="4"/>
    </w:lvl>
    <w:lvl w:ilvl="1">
      <w:lvlJc w:val="left"/>
      <w:lvlText w:val="%2"/>
      <w:numFmt w:val="lowerLetter"/>
      <w:start w:val="1"/>
    </w:lvl>
  </w:abstractNum>
  <w:abstractNum w:abstractNumId="72">
    <w:nsid w:val="1DF029D3"/>
    <w:multiLevelType w:val="hybridMultilevel"/>
    <w:lvl w:ilvl="0">
      <w:lvlJc w:val="left"/>
      <w:lvlText w:val="(%1)"/>
      <w:numFmt w:val="lowerLetter"/>
      <w:start w:val="1"/>
    </w:lvl>
  </w:abstractNum>
  <w:abstractNum w:abstractNumId="73">
    <w:nsid w:val="5675FF36"/>
    <w:multiLevelType w:val="hybridMultilevel"/>
    <w:lvl w:ilvl="0">
      <w:lvlJc w:val="left"/>
      <w:lvlText w:val="(%1)"/>
      <w:numFmt w:val="lowerLetter"/>
      <w:start w:val="7"/>
    </w:lvl>
  </w:abstractNum>
  <w:abstractNum w:abstractNumId="74">
    <w:nsid w:val="3DD15094"/>
    <w:multiLevelType w:val="hybridMultilevel"/>
    <w:lvl w:ilvl="0">
      <w:lvlJc w:val="left"/>
      <w:lvlText w:val="%1."/>
      <w:numFmt w:val="decimal"/>
      <w:start w:val="5"/>
    </w:lvl>
  </w:abstractNum>
  <w:abstractNum w:abstractNumId="75">
    <w:nsid w:val="3DB012B3"/>
    <w:multiLevelType w:val="hybridMultilevel"/>
    <w:lvl w:ilvl="0">
      <w:lvlJc w:val="left"/>
      <w:lvlText w:val="%1."/>
      <w:numFmt w:val="decimal"/>
      <w:start w:val="6"/>
    </w:lvl>
  </w:abstractNum>
  <w:abstractNum w:abstractNumId="76">
    <w:nsid w:val="2708C9AF"/>
    <w:multiLevelType w:val="hybridMultilevel"/>
    <w:lvl w:ilvl="0">
      <w:lvlJc w:val="left"/>
      <w:lvlText w:val="%1."/>
      <w:numFmt w:val="decimal"/>
      <w:start w:val="7"/>
    </w:lvl>
  </w:abstractNum>
  <w:abstractNum w:abstractNumId="77">
    <w:nsid w:val="5B25ACE2"/>
    <w:multiLevelType w:val="hybridMultilevel"/>
    <w:lvl w:ilvl="0">
      <w:lvlJc w:val="left"/>
      <w:lvlText w:val="%1."/>
      <w:numFmt w:val="decimal"/>
      <w:start w:val="8"/>
    </w:lvl>
  </w:abstractNum>
  <w:abstractNum w:abstractNumId="78">
    <w:nsid w:val="175DFCF0"/>
    <w:multiLevelType w:val="hybridMultilevel"/>
    <w:lvl w:ilvl="0">
      <w:lvlJc w:val="left"/>
      <w:lvlText w:val="%1."/>
      <w:numFmt w:val="decimal"/>
      <w:start w:val="1"/>
    </w:lvl>
  </w:abstractNum>
  <w:abstractNum w:abstractNumId="79">
    <w:nsid w:val="4F97E3E4"/>
    <w:multiLevelType w:val="hybridMultilevel"/>
    <w:lvl w:ilvl="0">
      <w:lvlJc w:val="left"/>
      <w:lvlText w:val="%1."/>
      <w:numFmt w:val="decimal"/>
      <w:start w:val="2"/>
    </w:lvl>
  </w:abstractNum>
  <w:abstractNum w:abstractNumId="80">
    <w:nsid w:val="53B0A9E"/>
    <w:multiLevelType w:val="hybridMultilevel"/>
    <w:lvl w:ilvl="0">
      <w:lvlJc w:val="left"/>
      <w:lvlText w:val="%1."/>
      <w:numFmt w:val="decimal"/>
      <w:start w:val="3"/>
    </w:lvl>
  </w:abstractNum>
  <w:abstractNum w:abstractNumId="81">
    <w:nsid w:val="34FD6B4F"/>
    <w:multiLevelType w:val="hybridMultilevel"/>
    <w:lvl w:ilvl="0">
      <w:lvlJc w:val="left"/>
      <w:lvlText w:val="%1."/>
      <w:numFmt w:val="decimal"/>
      <w:start w:val="4"/>
    </w:lvl>
  </w:abstractNum>
  <w:abstractNum w:abstractNumId="82">
    <w:nsid w:val="5915FF32"/>
    <w:multiLevelType w:val="hybridMultilevel"/>
    <w:lvl w:ilvl="0">
      <w:lvlJc w:val="left"/>
      <w:lvlText w:val="%1."/>
      <w:numFmt w:val="decimal"/>
      <w:start w:val="5"/>
    </w:lvl>
  </w:abstractNum>
  <w:abstractNum w:abstractNumId="83">
    <w:nsid w:val="56438D15"/>
    <w:multiLevelType w:val="hybridMultilevel"/>
    <w:lvl w:ilvl="0">
      <w:lvlJc w:val="left"/>
      <w:lvlText w:val="(%1)"/>
      <w:numFmt w:val="lowerRoman"/>
      <w:start w:val="2"/>
    </w:lvl>
  </w:abstractNum>
  <w:abstractNum w:abstractNumId="84">
    <w:nsid w:val="519E3149"/>
    <w:multiLevelType w:val="hybridMultilevel"/>
    <w:lvl w:ilvl="0">
      <w:lvlJc w:val="left"/>
      <w:lvlText w:val="%1."/>
      <w:numFmt w:val="decimal"/>
      <w:start w:val="6"/>
    </w:lvl>
  </w:abstractNum>
  <w:abstractNum w:abstractNumId="85">
    <w:nsid w:val="2C6E4AFD"/>
    <w:multiLevelType w:val="hybridMultilevel"/>
    <w:lvl w:ilvl="0">
      <w:lvlJc w:val="left"/>
      <w:lvlText w:val="%1."/>
      <w:numFmt w:val="decimal"/>
      <w:start w:val="7"/>
    </w:lvl>
  </w:abstractNum>
  <w:abstractNum w:abstractNumId="86">
    <w:nsid w:val="17A1B582"/>
    <w:multiLevelType w:val="hybridMultilevel"/>
    <w:lvl w:ilvl="0">
      <w:lvlJc w:val="left"/>
      <w:lvlText w:val="%1."/>
      <w:numFmt w:val="decimal"/>
      <w:start w:val="8"/>
    </w:lvl>
  </w:abstractNum>
  <w:abstractNum w:abstractNumId="87">
    <w:nsid w:val="4DF72E4E"/>
    <w:multiLevelType w:val="hybridMultilevel"/>
    <w:lvl w:ilvl="0">
      <w:lvlJc w:val="left"/>
      <w:lvlText w:val="(%1)"/>
      <w:numFmt w:val="lowerLetter"/>
      <w:start w:val="1"/>
    </w:lvl>
  </w:abstractNum>
  <w:abstractNum w:abstractNumId="88">
    <w:nsid w:val="5046B5A9"/>
    <w:multiLevelType w:val="hybridMultilevel"/>
    <w:lvl w:ilvl="0">
      <w:lvlJc w:val="left"/>
      <w:lvlText w:val="(%1)"/>
      <w:numFmt w:val="lowerRoman"/>
      <w:start w:val="2"/>
    </w:lvl>
  </w:abstractNum>
  <w:abstractNum w:abstractNumId="89">
    <w:nsid w:val="5D888A08"/>
    <w:multiLevelType w:val="hybridMultilevel"/>
    <w:lvl w:ilvl="0">
      <w:lvlJc w:val="left"/>
      <w:lvlText w:val="(%1)"/>
      <w:numFmt w:val="lowerLetter"/>
      <w:start w:val="4"/>
    </w:lvl>
  </w:abstractNum>
  <w:abstractNum w:abstractNumId="90">
    <w:nsid w:val="2A082C70"/>
    <w:multiLevelType w:val="hybridMultilevel"/>
    <w:lvl w:ilvl="0">
      <w:lvlJc w:val="left"/>
      <w:lvlText w:val="%1."/>
      <w:numFmt w:val="decimal"/>
      <w:start w:val="9"/>
    </w:lvl>
  </w:abstractNum>
  <w:abstractNum w:abstractNumId="91">
    <w:nsid w:val="5EC6AFD4"/>
    <w:multiLevelType w:val="hybridMultilevel"/>
    <w:lvl w:ilvl="0">
      <w:lvlJc w:val="left"/>
      <w:lvlText w:val="%1."/>
      <w:numFmt w:val="decimal"/>
      <w:start w:val="10"/>
    </w:lvl>
  </w:abstractNum>
  <w:abstractNum w:abstractNumId="92">
    <w:nsid w:val="19E21BB2"/>
    <w:multiLevelType w:val="hybridMultilevel"/>
    <w:lvl w:ilvl="0">
      <w:lvlJc w:val="left"/>
      <w:lvlText w:val="%1."/>
      <w:numFmt w:val="decimal"/>
      <w:start w:val="11"/>
    </w:lvl>
  </w:abstractNum>
  <w:abstractNum w:abstractNumId="93">
    <w:nsid w:val="75E0858A"/>
    <w:multiLevelType w:val="hybridMultilevel"/>
    <w:lvl w:ilvl="0">
      <w:lvlJc w:val="left"/>
      <w:lvlText w:val="%1."/>
      <w:numFmt w:val="decimal"/>
      <w:start w:val="12"/>
    </w:lvl>
  </w:abstractNum>
  <w:abstractNum w:abstractNumId="94">
    <w:nsid w:val="57A61A29"/>
    <w:multiLevelType w:val="hybridMultilevel"/>
    <w:lvl w:ilvl="0">
      <w:lvlJc w:val="left"/>
      <w:lvlText w:val="%1."/>
      <w:numFmt w:val="decimal"/>
      <w:start w:val="13"/>
    </w:lvl>
  </w:abstractNum>
  <w:abstractNum w:abstractNumId="95">
    <w:nsid w:val="5399C654"/>
    <w:multiLevelType w:val="hybridMultilevel"/>
    <w:lvl w:ilvl="0">
      <w:lvlJc w:val="left"/>
      <w:lvlText w:val="%1."/>
      <w:numFmt w:val="decimal"/>
      <w:start w:val="14"/>
    </w:lvl>
  </w:abstractNum>
  <w:abstractNum w:abstractNumId="96">
    <w:nsid w:val="20EE1348"/>
    <w:multiLevelType w:val="hybridMultilevel"/>
    <w:lvl w:ilvl="0">
      <w:lvlJc w:val="left"/>
      <w:lvlText w:val="%1."/>
      <w:numFmt w:val="decimal"/>
      <w:start w:val="15"/>
    </w:lvl>
  </w:abstractNum>
  <w:abstractNum w:abstractNumId="97">
    <w:nsid w:val="4427069A"/>
    <w:multiLevelType w:val="hybridMultilevel"/>
    <w:lvl w:ilvl="0">
      <w:lvlJc w:val="left"/>
      <w:lvlText w:val="%1."/>
      <w:numFmt w:val="decimal"/>
      <w:start w:val="16"/>
    </w:lvl>
  </w:abstractNum>
  <w:abstractNum w:abstractNumId="98">
    <w:nsid w:val="B37E80A"/>
    <w:multiLevelType w:val="hybridMultilevel"/>
    <w:lvl w:ilvl="0">
      <w:lvlJc w:val="left"/>
      <w:lvlText w:val="%1."/>
      <w:numFmt w:val="decimal"/>
      <w:start w:val="17"/>
    </w:lvl>
  </w:abstractNum>
  <w:abstractNum w:abstractNumId="99">
    <w:nsid w:val="2157F6BC"/>
    <w:multiLevelType w:val="hybridMultilevel"/>
    <w:lvl w:ilvl="0">
      <w:lvlJc w:val="left"/>
      <w:lvlText w:val="%1."/>
      <w:numFmt w:val="decimal"/>
      <w:start w:val="18"/>
    </w:lvl>
  </w:abstractNum>
  <w:abstractNum w:abstractNumId="100">
    <w:nsid w:val="704E1DD5"/>
    <w:multiLevelType w:val="hybridMultilevel"/>
    <w:lvl w:ilvl="0">
      <w:lvlJc w:val="left"/>
      <w:lvlText w:val="%1."/>
      <w:numFmt w:val="decimal"/>
      <w:start w:val="19"/>
    </w:lvl>
  </w:abstractNum>
  <w:abstractNum w:abstractNumId="101">
    <w:nsid w:val="57D2F10E"/>
    <w:multiLevelType w:val="hybridMultilevel"/>
    <w:lvl w:ilvl="0">
      <w:lvlJc w:val="left"/>
      <w:lvlText w:val="%1."/>
      <w:numFmt w:val="decimal"/>
      <w:start w:val="20"/>
    </w:lvl>
  </w:abstractNum>
  <w:abstractNum w:abstractNumId="102">
    <w:nsid w:val="BFFAE18"/>
    <w:multiLevelType w:val="hybridMultilevel"/>
    <w:lvl w:ilvl="0">
      <w:lvlJc w:val="left"/>
      <w:lvlText w:val="%1."/>
      <w:numFmt w:val="decimal"/>
      <w:start w:val="21"/>
    </w:lvl>
  </w:abstractNum>
  <w:abstractNum w:abstractNumId="103">
    <w:nsid w:val="E3E47A8"/>
    <w:multiLevelType w:val="hybridMultilevel"/>
    <w:lvl w:ilvl="0">
      <w:lvlJc w:val="left"/>
      <w:lvlText w:val="%1."/>
      <w:numFmt w:val="decimal"/>
      <w:start w:val="22"/>
    </w:lvl>
  </w:abstractNum>
  <w:abstractNum w:abstractNumId="104">
    <w:nsid w:val="2E48F044"/>
    <w:multiLevelType w:val="hybridMultilevel"/>
    <w:lvl w:ilvl="0">
      <w:lvlJc w:val="left"/>
      <w:lvlText w:val="%1."/>
      <w:numFmt w:val="decimal"/>
      <w:start w:val="23"/>
    </w:lvl>
  </w:abstractNum>
  <w:abstractNum w:abstractNumId="105">
    <w:nsid w:val="49D0FEAC"/>
    <w:multiLevelType w:val="hybridMultilevel"/>
    <w:lvl w:ilvl="0">
      <w:lvlJc w:val="left"/>
      <w:lvlText w:val="%1."/>
      <w:numFmt w:val="decimal"/>
      <w:start w:val="24"/>
    </w:lvl>
  </w:abstractNum>
  <w:abstractNum w:abstractNumId="106">
    <w:nsid w:val="4BEE5A5B"/>
    <w:multiLevelType w:val="hybridMultilevel"/>
    <w:lvl w:ilvl="0">
      <w:lvlJc w:val="left"/>
      <w:lvlText w:val="%1."/>
      <w:numFmt w:val="decimal"/>
      <w:start w:val="25"/>
    </w:lvl>
  </w:abstractNum>
  <w:abstractNum w:abstractNumId="107">
    <w:nsid w:val="5551B9F3"/>
    <w:multiLevelType w:val="hybridMultilevel"/>
    <w:lvl w:ilvl="0">
      <w:lvlJc w:val="left"/>
      <w:lvlText w:val="(%1)"/>
      <w:numFmt w:val="lowerLetter"/>
      <w:start w:val="1"/>
    </w:lvl>
  </w:abstractNum>
  <w:abstractNum w:abstractNumId="108">
    <w:nsid w:val="24F6AB8E"/>
    <w:multiLevelType w:val="hybridMultilevel"/>
    <w:lvl w:ilvl="0">
      <w:lvlJc w:val="left"/>
      <w:lvlText w:val="(%1)"/>
      <w:numFmt w:val="lowerLetter"/>
      <w:start w:val="3"/>
    </w:lvl>
  </w:abstractNum>
  <w:abstractNum w:abstractNumId="109">
    <w:nsid w:val="634C574C"/>
    <w:multiLevelType w:val="hybridMultilevel"/>
    <w:lvl w:ilvl="0">
      <w:lvlJc w:val="left"/>
      <w:lvlText w:val="(%1)"/>
      <w:numFmt w:val="lowerLetter"/>
      <w:start w:val="5"/>
    </w:lvl>
  </w:abstractNum>
  <w:abstractNum w:abstractNumId="110">
    <w:nsid w:val="24E99DD7"/>
    <w:multiLevelType w:val="hybridMultilevel"/>
    <w:lvl w:ilvl="0">
      <w:lvlJc w:val="left"/>
      <w:lvlText w:val="%1."/>
      <w:numFmt w:val="decimal"/>
      <w:start w:val="1"/>
    </w:lvl>
  </w:abstractNum>
  <w:abstractNum w:abstractNumId="111">
    <w:nsid w:val="2A31B62D"/>
    <w:multiLevelType w:val="hybridMultilevel"/>
    <w:lvl w:ilvl="0">
      <w:lvlJc w:val="left"/>
      <w:lvlText w:val="%1."/>
      <w:numFmt w:val="decimal"/>
      <w:start w:val="2"/>
    </w:lvl>
  </w:abstractNum>
  <w:abstractNum w:abstractNumId="112">
    <w:nsid w:val="1849C29B"/>
    <w:multiLevelType w:val="hybridMultilevel"/>
    <w:lvl w:ilvl="0">
      <w:lvlJc w:val="left"/>
      <w:lvlText w:val="%1."/>
      <w:numFmt w:val="decimal"/>
      <w:start w:val="3"/>
    </w:lvl>
  </w:abstractNum>
  <w:abstractNum w:abstractNumId="113">
    <w:nsid w:val="7DFF9D09"/>
    <w:multiLevelType w:val="hybridMultilevel"/>
    <w:lvl w:ilvl="0">
      <w:lvlJc w:val="left"/>
      <w:lvlText w:val="%1"/>
      <w:numFmt w:val="decimal"/>
      <w:start w:val="1"/>
    </w:lvl>
    <w:lvl w:ilvl="1">
      <w:lvlJc w:val="left"/>
      <w:lvlText w:val="(%2)"/>
      <w:numFmt w:val="lowerLetter"/>
      <w:start w:val="1"/>
    </w:lvl>
  </w:abstractNum>
  <w:abstractNum w:abstractNumId="114">
    <w:nsid w:val="754342"/>
    <w:multiLevelType w:val="hybridMultilevel"/>
    <w:lvl w:ilvl="0">
      <w:lvlJc w:val="left"/>
      <w:lvlText w:val="%1."/>
      <w:numFmt w:val="decimal"/>
      <w:start w:val="4"/>
    </w:lvl>
    <w:lvl w:ilvl="1">
      <w:lvlJc w:val="left"/>
      <w:lvlText w:val="%2"/>
      <w:numFmt w:val="lowerLetter"/>
      <w:start w:val="1"/>
    </w:lvl>
  </w:abstractNum>
  <w:abstractNum w:abstractNumId="115">
    <w:nsid w:val="69E7F3E5"/>
    <w:multiLevelType w:val="hybridMultilevel"/>
    <w:lvl w:ilvl="0">
      <w:lvlJc w:val="left"/>
      <w:lvlText w:val="(%1)"/>
      <w:numFmt w:val="lowerLetter"/>
      <w:start w:val="1"/>
    </w:lvl>
  </w:abstractNum>
  <w:abstractNum w:abstractNumId="116">
    <w:nsid w:val="2A6DE806"/>
    <w:multiLevelType w:val="hybridMultilevel"/>
    <w:lvl w:ilvl="0">
      <w:lvlJc w:val="left"/>
      <w:lvlText w:val="(%1)"/>
      <w:numFmt w:val="lowerLetter"/>
      <w:start w:val="7"/>
    </w:lvl>
  </w:abstractNum>
  <w:abstractNum w:abstractNumId="117">
    <w:nsid w:val="1816F8C4"/>
    <w:multiLevelType w:val="hybridMultilevel"/>
    <w:lvl w:ilvl="0">
      <w:lvlJc w:val="left"/>
      <w:lvlText w:val="%1."/>
      <w:numFmt w:val="decimal"/>
      <w:start w:val="5"/>
    </w:lvl>
  </w:abstractNum>
  <w:abstractNum w:abstractNumId="118">
    <w:nsid w:val="37DF2233"/>
    <w:multiLevelType w:val="hybridMultilevel"/>
    <w:lvl w:ilvl="0">
      <w:lvlJc w:val="left"/>
      <w:lvlText w:val="%1."/>
      <w:numFmt w:val="decimal"/>
      <w:start w:val="6"/>
    </w:lvl>
  </w:abstractNum>
  <w:abstractNum w:abstractNumId="119">
    <w:nsid w:val="7AB49DAF"/>
    <w:multiLevelType w:val="hybridMultilevel"/>
    <w:lvl w:ilvl="0">
      <w:lvlJc w:val="left"/>
      <w:lvlText w:val="%1."/>
      <w:numFmt w:val="decimal"/>
      <w:start w:val="7"/>
    </w:lvl>
  </w:abstractNum>
  <w:abstractNum w:abstractNumId="120">
    <w:nsid w:val="759F82CD"/>
    <w:multiLevelType w:val="hybridMultilevel"/>
    <w:lvl w:ilvl="0">
      <w:lvlJc w:val="left"/>
      <w:lvlText w:val="%1."/>
      <w:numFmt w:val="decimal"/>
      <w:start w:val="8"/>
    </w:lvl>
  </w:abstractNum>
  <w:abstractNum w:abstractNumId="121">
    <w:nsid w:val="61E74EA3"/>
    <w:multiLevelType w:val="hybridMultilevel"/>
    <w:lvl w:ilvl="0">
      <w:lvlJc w:val="left"/>
      <w:lvlText w:val="%1."/>
      <w:numFmt w:val="decimal"/>
      <w:start w:val="1"/>
    </w:lvl>
  </w:abstractNum>
  <w:abstractNum w:abstractNumId="122">
    <w:nsid w:val="597B4D84"/>
    <w:multiLevelType w:val="hybridMultilevel"/>
    <w:lvl w:ilvl="0">
      <w:lvlJc w:val="left"/>
      <w:lvlText w:val="%1."/>
      <w:numFmt w:val="decimal"/>
      <w:start w:val="2"/>
    </w:lvl>
  </w:abstractNum>
  <w:abstractNum w:abstractNumId="123">
    <w:nsid w:val="F819E7F"/>
    <w:multiLevelType w:val="hybridMultilevel"/>
    <w:lvl w:ilvl="0">
      <w:lvlJc w:val="left"/>
      <w:lvlText w:val="%1."/>
      <w:numFmt w:val="decimal"/>
      <w:start w:val="3"/>
    </w:lvl>
  </w:abstractNum>
  <w:abstractNum w:abstractNumId="124">
    <w:nsid w:val="57C7D42D"/>
    <w:multiLevelType w:val="hybridMultilevel"/>
    <w:lvl w:ilvl="0">
      <w:lvlJc w:val="left"/>
      <w:lvlText w:val="%1."/>
      <w:numFmt w:val="decimal"/>
      <w:start w:val="4"/>
    </w:lvl>
  </w:abstractNum>
  <w:abstractNum w:abstractNumId="125">
    <w:nsid w:val="312167AD"/>
    <w:multiLevelType w:val="hybridMultilevel"/>
    <w:lvl w:ilvl="0">
      <w:lvlJc w:val="left"/>
      <w:lvlText w:val="%1."/>
      <w:numFmt w:val="decimal"/>
      <w:start w:val="5"/>
    </w:lvl>
  </w:abstractNum>
  <w:abstractNum w:abstractNumId="126">
    <w:nsid w:val="631B64D4"/>
    <w:multiLevelType w:val="hybridMultilevel"/>
    <w:lvl w:ilvl="0">
      <w:lvlJc w:val="left"/>
      <w:lvlText w:val="(%1)"/>
      <w:numFmt w:val="lowerRoman"/>
      <w:start w:val="2"/>
    </w:lvl>
  </w:abstractNum>
  <w:abstractNum w:abstractNumId="127">
    <w:nsid w:val="78B5E776"/>
    <w:multiLevelType w:val="hybridMultilevel"/>
    <w:lvl w:ilvl="0">
      <w:lvlJc w:val="left"/>
      <w:lvlText w:val="%1."/>
      <w:numFmt w:val="decimal"/>
      <w:start w:val="6"/>
    </w:lvl>
  </w:abstractNum>
  <w:abstractNum w:abstractNumId="128">
    <w:nsid w:val="75486E47"/>
    <w:multiLevelType w:val="hybridMultilevel"/>
    <w:lvl w:ilvl="0">
      <w:lvlJc w:val="left"/>
      <w:lvlText w:val="%1."/>
      <w:numFmt w:val="decimal"/>
      <w:start w:val="7"/>
    </w:lvl>
  </w:abstractNum>
  <w:abstractNum w:abstractNumId="129">
    <w:nsid w:val="6E534CDE"/>
    <w:multiLevelType w:val="hybridMultilevel"/>
    <w:lvl w:ilvl="0">
      <w:lvlJc w:val="left"/>
      <w:lvlText w:val="%1."/>
      <w:numFmt w:val="decimal"/>
      <w:start w:val="8"/>
    </w:lvl>
  </w:abstractNum>
  <w:abstractNum w:abstractNumId="130">
    <w:nsid w:val="1A0DDE32"/>
    <w:multiLevelType w:val="hybridMultilevel"/>
    <w:lvl w:ilvl="0">
      <w:lvlJc w:val="left"/>
      <w:lvlText w:val="(%1)"/>
      <w:numFmt w:val="lowerLetter"/>
      <w:start w:val="1"/>
    </w:lvl>
  </w:abstractNum>
  <w:abstractNum w:abstractNumId="131">
    <w:nsid w:val="65968C1C"/>
    <w:multiLevelType w:val="hybridMultilevel"/>
    <w:lvl w:ilvl="0">
      <w:lvlJc w:val="left"/>
      <w:lvlText w:val="(%1)"/>
      <w:numFmt w:val="lowerRoman"/>
      <w:start w:val="2"/>
    </w:lvl>
  </w:abstractNum>
  <w:abstractNum w:abstractNumId="132">
    <w:nsid w:val="46263DEC"/>
    <w:multiLevelType w:val="hybridMultilevel"/>
    <w:lvl w:ilvl="0">
      <w:lvlJc w:val="left"/>
      <w:lvlText w:val="(%1)"/>
      <w:numFmt w:val="lowerLetter"/>
      <w:start w:val="4"/>
    </w:lvl>
  </w:abstractNum>
  <w:abstractNum w:abstractNumId="133">
    <w:nsid w:val="260D8C4A"/>
    <w:multiLevelType w:val="hybridMultilevel"/>
    <w:lvl w:ilvl="0">
      <w:lvlJc w:val="left"/>
      <w:lvlText w:val="(%1)"/>
      <w:numFmt w:val="lowerRoman"/>
      <w:start w:val="1"/>
    </w:lvl>
  </w:abstractNum>
  <w:abstractNum w:abstractNumId="134">
    <w:nsid w:val="73D4D3C4"/>
    <w:multiLevelType w:val="hybridMultilevel"/>
    <w:lvl w:ilvl="0">
      <w:lvlJc w:val="left"/>
      <w:lvlText w:val="(%1)"/>
      <w:numFmt w:val="lowerRoman"/>
      <w:start w:val="2"/>
    </w:lvl>
  </w:abstractNum>
  <w:abstractNum w:abstractNumId="135">
    <w:nsid w:val="746F2E30"/>
    <w:multiLevelType w:val="hybridMultilevel"/>
    <w:lvl w:ilvl="0">
      <w:lvlJc w:val="left"/>
      <w:lvlText w:val="(%1)"/>
      <w:numFmt w:val="lowerLetter"/>
      <w:start w:val="5"/>
    </w:lvl>
  </w:abstractNum>
  <w:abstractNum w:abstractNumId="136">
    <w:nsid w:val="6FDE8AF6"/>
    <w:multiLevelType w:val="hybridMultilevel"/>
    <w:lvl w:ilvl="0">
      <w:lvlJc w:val="left"/>
      <w:lvlText w:val="%1."/>
      <w:numFmt w:val="decimal"/>
      <w:start w:val="9"/>
    </w:lvl>
  </w:abstractNum>
  <w:abstractNum w:abstractNumId="137">
    <w:nsid w:val="3FC32E20"/>
    <w:multiLevelType w:val="hybridMultilevel"/>
    <w:lvl w:ilvl="0">
      <w:lvlJc w:val="left"/>
      <w:lvlText w:val="%1."/>
      <w:numFmt w:val="decimal"/>
      <w:start w:val="10"/>
    </w:lvl>
  </w:abstractNum>
  <w:abstractNum w:abstractNumId="138">
    <w:nsid w:val="49C0E823"/>
    <w:multiLevelType w:val="hybridMultilevel"/>
    <w:lvl w:ilvl="0">
      <w:lvlJc w:val="left"/>
      <w:lvlText w:val="%1."/>
      <w:numFmt w:val="decimal"/>
      <w:start w:val="11"/>
    </w:lvl>
  </w:abstractNum>
  <w:abstractNum w:abstractNumId="139">
    <w:nsid w:val="14D53685"/>
    <w:multiLevelType w:val="hybridMultilevel"/>
    <w:lvl w:ilvl="0">
      <w:lvlJc w:val="left"/>
      <w:lvlText w:val="%1."/>
      <w:numFmt w:val="decimal"/>
      <w:start w:val="12"/>
    </w:lvl>
  </w:abstractNum>
  <w:abstractNum w:abstractNumId="140">
    <w:nsid w:val="230F856C"/>
    <w:multiLevelType w:val="hybridMultilevel"/>
    <w:lvl w:ilvl="0">
      <w:lvlJc w:val="left"/>
      <w:lvlText w:val="%1."/>
      <w:numFmt w:val="decimal"/>
      <w:start w:val="13"/>
    </w:lvl>
  </w:abstractNum>
  <w:abstractNum w:abstractNumId="141">
    <w:nsid w:val="6EAA85FB"/>
    <w:multiLevelType w:val="hybridMultilevel"/>
    <w:lvl w:ilvl="0">
      <w:lvlJc w:val="left"/>
      <w:lvlText w:val="%1."/>
      <w:numFmt w:val="decimal"/>
      <w:start w:val="14"/>
    </w:lvl>
  </w:abstractNum>
  <w:abstractNum w:abstractNumId="142">
    <w:nsid w:val="3F06ECB2"/>
    <w:multiLevelType w:val="hybridMultilevel"/>
    <w:lvl w:ilvl="0">
      <w:lvlJc w:val="left"/>
      <w:lvlText w:val="%1."/>
      <w:numFmt w:val="decimal"/>
      <w:start w:val="15"/>
    </w:lvl>
  </w:abstractNum>
  <w:abstractNum w:abstractNumId="143">
    <w:nsid w:val="3B594807"/>
    <w:multiLevelType w:val="hybridMultilevel"/>
    <w:lvl w:ilvl="0">
      <w:lvlJc w:val="left"/>
      <w:lvlText w:val="%1."/>
      <w:numFmt w:val="decimal"/>
      <w:start w:val="16"/>
    </w:lvl>
  </w:abstractNum>
  <w:abstractNum w:abstractNumId="144">
    <w:nsid w:val="6CAA2304"/>
    <w:multiLevelType w:val="hybridMultilevel"/>
    <w:lvl w:ilvl="0">
      <w:lvlJc w:val="left"/>
      <w:lvlText w:val="%1."/>
      <w:numFmt w:val="decimal"/>
      <w:start w:val="17"/>
    </w:lvl>
  </w:abstractNum>
  <w:abstractNum w:abstractNumId="145">
    <w:nsid w:val="3F7C2FF4"/>
    <w:multiLevelType w:val="hybridMultilevel"/>
    <w:lvl w:ilvl="0">
      <w:lvlJc w:val="left"/>
      <w:lvlText w:val="%1."/>
      <w:numFmt w:val="decimal"/>
      <w:start w:val="18"/>
    </w:lvl>
  </w:abstractNum>
  <w:abstractNum w:abstractNumId="146">
    <w:nsid w:val="25413BEC"/>
    <w:multiLevelType w:val="hybridMultilevel"/>
    <w:lvl w:ilvl="0">
      <w:lvlJc w:val="left"/>
      <w:lvlText w:val="%1."/>
      <w:numFmt w:val="decimal"/>
      <w:start w:val="19"/>
    </w:lvl>
  </w:abstractNum>
  <w:abstractNum w:abstractNumId="147">
    <w:nsid w:val="17180B0B"/>
    <w:multiLevelType w:val="hybridMultilevel"/>
    <w:lvl w:ilvl="0">
      <w:lvlJc w:val="left"/>
      <w:lvlText w:val="%1."/>
      <w:numFmt w:val="decimal"/>
      <w:start w:val="20"/>
    </w:lvl>
  </w:abstractNum>
  <w:abstractNum w:abstractNumId="148">
    <w:nsid w:val="579328B9"/>
    <w:multiLevelType w:val="hybridMultilevel"/>
    <w:lvl w:ilvl="0">
      <w:lvlJc w:val="left"/>
      <w:lvlText w:val="%1."/>
      <w:numFmt w:val="decimal"/>
      <w:start w:val="21"/>
    </w:lvl>
  </w:abstractNum>
  <w:abstractNum w:abstractNumId="149">
    <w:nsid w:val="5D205E20"/>
    <w:multiLevelType w:val="hybridMultilevel"/>
    <w:lvl w:ilvl="0">
      <w:lvlJc w:val="left"/>
      <w:lvlText w:val="%1."/>
      <w:numFmt w:val="decimal"/>
      <w:start w:val="22"/>
    </w:lvl>
  </w:abstractNum>
  <w:abstractNum w:abstractNumId="150">
    <w:nsid w:val="11CCA8BA"/>
    <w:multiLevelType w:val="hybridMultilevel"/>
    <w:lvl w:ilvl="0">
      <w:lvlJc w:val="left"/>
      <w:lvlText w:val="%1."/>
      <w:numFmt w:val="decimal"/>
      <w:start w:val="23"/>
    </w:lvl>
  </w:abstractNum>
  <w:abstractNum w:abstractNumId="151">
    <w:nsid w:val="4D32AB86"/>
    <w:multiLevelType w:val="hybridMultilevel"/>
    <w:lvl w:ilvl="0">
      <w:lvlJc w:val="left"/>
      <w:lvlText w:val="%1."/>
      <w:numFmt w:val="decimal"/>
      <w:start w:val="24"/>
    </w:lvl>
  </w:abstractNum>
  <w:abstractNum w:abstractNumId="152">
    <w:nsid w:val="3F07ACC3"/>
    <w:multiLevelType w:val="hybridMultilevel"/>
    <w:lvl w:ilvl="0">
      <w:lvlJc w:val="left"/>
      <w:lvlText w:val="%1."/>
      <w:numFmt w:val="decimal"/>
      <w:start w:val="1"/>
    </w:lvl>
  </w:abstractNum>
  <w:abstractNum w:abstractNumId="153">
    <w:nsid w:val="6B47F63E"/>
    <w:multiLevelType w:val="hybridMultilevel"/>
    <w:lvl w:ilvl="0">
      <w:lvlJc w:val="left"/>
      <w:lvlText w:val="%1."/>
      <w:numFmt w:val="decimal"/>
      <w:start w:val="2"/>
    </w:lvl>
  </w:abstractNum>
  <w:abstractNum w:abstractNumId="154">
    <w:nsid w:val="5CB44A05"/>
    <w:multiLevelType w:val="hybridMultilevel"/>
    <w:lvl w:ilvl="0">
      <w:lvlJc w:val="left"/>
      <w:lvlText w:val="%1."/>
      <w:numFmt w:val="decimal"/>
      <w:start w:val="3"/>
    </w:lvl>
  </w:abstractNum>
  <w:abstractNum w:abstractNumId="155">
    <w:nsid w:val="16CF80F1"/>
    <w:multiLevelType w:val="hybridMultilevel"/>
    <w:lvl w:ilvl="0">
      <w:lvlJc w:val="left"/>
      <w:lvlText w:val="(%1)"/>
      <w:numFmt w:val="lowerLetter"/>
      <w:start w:val="1"/>
    </w:lvl>
  </w:abstractNum>
  <w:abstractNum w:abstractNumId="156">
    <w:nsid w:val="1C695DEC"/>
    <w:multiLevelType w:val="hybridMultilevel"/>
    <w:lvl w:ilvl="0">
      <w:lvlJc w:val="left"/>
      <w:lvlText w:val="%1."/>
      <w:numFmt w:val="decimal"/>
      <w:start w:val="4"/>
    </w:lvl>
  </w:abstractNum>
  <w:abstractNum w:abstractNumId="157">
    <w:nsid w:val="3FCFAED9"/>
    <w:multiLevelType w:val="hybridMultilevel"/>
    <w:lvl w:ilvl="0">
      <w:lvlJc w:val="left"/>
      <w:lvlText w:val="(%1)"/>
      <w:numFmt w:val="lowerLetter"/>
      <w:start w:val="1"/>
    </w:lvl>
  </w:abstractNum>
  <w:abstractNum w:abstractNumId="158">
    <w:nsid w:val="F856867"/>
    <w:multiLevelType w:val="hybridMultilevel"/>
    <w:lvl w:ilvl="0">
      <w:lvlJc w:val="left"/>
      <w:lvlText w:val="(%1)"/>
      <w:numFmt w:val="lowerLetter"/>
      <w:start w:val="7"/>
    </w:lvl>
  </w:abstractNum>
  <w:abstractNum w:abstractNumId="159">
    <w:nsid w:val="11B1CC33"/>
    <w:multiLevelType w:val="hybridMultilevel"/>
    <w:lvl w:ilvl="0">
      <w:lvlJc w:val="left"/>
      <w:lvlText w:val="%1."/>
      <w:numFmt w:val="decimal"/>
      <w:start w:val="5"/>
    </w:lvl>
  </w:abstractNum>
  <w:abstractNum w:abstractNumId="160">
    <w:nsid w:val="2E22FBB7"/>
    <w:multiLevelType w:val="hybridMultilevel"/>
    <w:lvl w:ilvl="0">
      <w:lvlJc w:val="left"/>
      <w:lvlText w:val="%1."/>
      <w:numFmt w:val="decimal"/>
      <w:start w:val="6"/>
    </w:lvl>
  </w:abstractNum>
  <w:abstractNum w:abstractNumId="161">
    <w:nsid w:val="29934699"/>
    <w:multiLevelType w:val="hybridMultilevel"/>
    <w:lvl w:ilvl="0">
      <w:lvlJc w:val="left"/>
      <w:lvlText w:val="%1."/>
      <w:numFmt w:val="decimal"/>
      <w:start w:val="7"/>
    </w:lvl>
  </w:abstractNum>
  <w:abstractNum w:abstractNumId="162">
    <w:nsid w:val="77485850"/>
    <w:multiLevelType w:val="hybridMultilevel"/>
    <w:lvl w:ilvl="0">
      <w:lvlJc w:val="left"/>
      <w:lvlText w:val="%1."/>
      <w:numFmt w:val="decimal"/>
      <w:start w:val="8"/>
    </w:lvl>
  </w:abstractNum>
  <w:abstractNum w:abstractNumId="163">
    <w:nsid w:val="744939A3"/>
    <w:multiLevelType w:val="hybridMultilevel"/>
    <w:lvl w:ilvl="0">
      <w:lvlJc w:val="left"/>
      <w:lvlText w:val="%1."/>
      <w:numFmt w:val="decimal"/>
      <w:start w:val="1"/>
    </w:lvl>
    <w:lvl w:ilvl="1">
      <w:lvlJc w:val="left"/>
      <w:lvlText w:val="%2."/>
      <w:numFmt w:val="lowerLetter"/>
      <w:start w:val="1"/>
    </w:lvl>
  </w:abstractNum>
  <w:abstractNum w:abstractNumId="164">
    <w:nsid w:val="4FA0D2E3"/>
    <w:multiLevelType w:val="hybridMultilevel"/>
    <w:lvl w:ilvl="0">
      <w:lvlJc w:val="left"/>
      <w:lvlText w:val="%1."/>
      <w:numFmt w:val="decimal"/>
      <w:start w:val="1"/>
    </w:lvl>
    <w:lvl w:ilvl="1">
      <w:lvlJc w:val="left"/>
      <w:lvlText w:val="%2."/>
      <w:numFmt w:val="lowerLetter"/>
      <w:start w:val="1"/>
    </w:lvl>
  </w:abstractNum>
  <w:abstractNum w:abstractNumId="165">
    <w:nsid w:val="6B1D2C14"/>
    <w:multiLevelType w:val="hybridMultilevel"/>
    <w:lvl w:ilvl="0">
      <w:lvlJc w:val="left"/>
      <w:lvlText w:val="(%1)"/>
      <w:numFmt w:val="lowerRoman"/>
      <w:start w:val="1"/>
    </w:lvl>
  </w:abstractNum>
  <w:abstractNum w:abstractNumId="166">
    <w:nsid w:val="68B867D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jpeg"/><Relationship Id="rId80" Type="http://schemas.openxmlformats.org/officeDocument/2006/relationships/image" Target="media/image71.png"/><Relationship Id="rId81" Type="http://schemas.openxmlformats.org/officeDocument/2006/relationships/image" Target="media/image72.jpeg"/><Relationship Id="rId82" Type="http://schemas.openxmlformats.org/officeDocument/2006/relationships/image" Target="media/image73.jpe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71" Type="http://schemas.openxmlformats.org/officeDocument/2006/relationships/hyperlink" Target="http://www.sec.gov/Archives/edgar/data/106040/000095013706001502/a17011exv3w1.htm" TargetMode="External"/><Relationship Id="rId72" Type="http://schemas.openxmlformats.org/officeDocument/2006/relationships/hyperlink" Target="http://www.sec.gov/Archives/edgar/data/106040/000119312518153458/d577779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2021-02-09T15:31:54Z</dcterms:created>
  <dcterms:modified xsi:type="dcterms:W3CDTF">2021-02-09T15:31:54Z</dcterms:modified>
</cp:coreProperties>
</file>