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108585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(Mark One)</w:t>
      </w:r>
    </w:p>
    <w:p>
      <w:pPr>
        <w:spacing w:after="0" w:line="16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October 4, 2019</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4"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320675</wp:posOffset>
            </wp:positionV>
            <wp:extent cx="296735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00" w:lineRule="exact"/>
        <w:rPr>
          <w:sz w:val="24"/>
          <w:szCs w:val="24"/>
          <w:color w:val="auto"/>
        </w:rPr>
      </w:pPr>
    </w:p>
    <w:p>
      <w:pPr>
        <w:spacing w:after="0" w:line="222" w:lineRule="exact"/>
        <w:rPr>
          <w:sz w:val="24"/>
          <w:szCs w:val="24"/>
          <w:color w:val="auto"/>
        </w:rPr>
      </w:pPr>
    </w:p>
    <w:p>
      <w:pPr>
        <w:ind w:left="23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33-0956711</w:t>
      </w:r>
    </w:p>
    <w:p>
      <w:pPr>
        <w:spacing w:after="0" w:line="95" w:lineRule="exact"/>
        <w:rPr>
          <w:sz w:val="24"/>
          <w:szCs w:val="24"/>
          <w:color w:val="auto"/>
        </w:rPr>
      </w:pPr>
    </w:p>
    <w:p>
      <w:pPr>
        <w:sectPr>
          <w:pgSz w:w="11900" w:h="16838" w:orient="portrait"/>
          <w:cols w:equalWidth="0" w:num="2">
            <w:col w:w="8560" w:space="720"/>
            <w:col w:w="2120"/>
          </w:cols>
          <w:pgMar w:left="240" w:top="274" w:right="259" w:bottom="1440" w:gutter="0" w:footer="0" w:header="0"/>
          <w:type w:val="continuous"/>
        </w:sectPr>
      </w:pPr>
    </w:p>
    <w:p>
      <w:pPr>
        <w:ind w:left="1920"/>
        <w:spacing w:after="0"/>
        <w:rPr>
          <w:sz w:val="20"/>
          <w:szCs w:val="20"/>
          <w:color w:val="auto"/>
        </w:rPr>
      </w:pPr>
      <w:r>
        <w:rPr>
          <w:rFonts w:ascii="Arial" w:cs="Arial" w:eastAsia="Arial" w:hAnsi="Arial"/>
          <w:sz w:val="11"/>
          <w:szCs w:val="11"/>
          <w:i w:val="1"/>
          <w:iCs w:val="1"/>
          <w:color w:val="auto"/>
        </w:rPr>
        <w:t>(State or other jurisdiction of</w:t>
      </w:r>
    </w:p>
    <w:p>
      <w:pPr>
        <w:spacing w:after="0" w:line="19" w:lineRule="exact"/>
        <w:rPr>
          <w:sz w:val="24"/>
          <w:szCs w:val="24"/>
          <w:color w:val="auto"/>
        </w:rPr>
      </w:pPr>
    </w:p>
    <w:p>
      <w:pPr>
        <w:ind w:left="1880"/>
        <w:spacing w:after="0"/>
        <w:rPr>
          <w:sz w:val="20"/>
          <w:szCs w:val="20"/>
          <w:color w:val="auto"/>
        </w:rPr>
      </w:pPr>
      <w:r>
        <w:rPr>
          <w:rFonts w:ascii="Arial" w:cs="Arial" w:eastAsia="Arial" w:hAnsi="Arial"/>
          <w:sz w:val="11"/>
          <w:szCs w:val="1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1"/>
          <w:szCs w:val="11"/>
          <w:i w:val="1"/>
          <w:iCs w:val="1"/>
          <w:color w:val="auto"/>
        </w:rPr>
        <w:t>(I.R.S. Employer Identification No.)</w:t>
      </w:r>
    </w:p>
    <w:p>
      <w:pPr>
        <w:spacing w:after="0" w:line="210" w:lineRule="exact"/>
        <w:rPr>
          <w:sz w:val="24"/>
          <w:szCs w:val="24"/>
          <w:color w:val="auto"/>
        </w:rPr>
      </w:pPr>
    </w:p>
    <w:p>
      <w:pPr>
        <w:sectPr>
          <w:pgSz w:w="11900" w:h="16838" w:orient="portrait"/>
          <w:cols w:equalWidth="0" w:num="2">
            <w:col w:w="8040" w:space="720"/>
            <w:col w:w="2640"/>
          </w:cols>
          <w:pgMar w:left="240" w:top="274" w:right="259" w:bottom="1440" w:gutter="0" w:footer="0" w:header="0"/>
          <w:type w:val="continuous"/>
        </w:sectPr>
      </w:pPr>
    </w:p>
    <w:p>
      <w:pPr>
        <w:spacing w:after="0" w:line="33" w:lineRule="exact"/>
        <w:rPr>
          <w:sz w:val="24"/>
          <w:szCs w:val="24"/>
          <w:color w:val="auto"/>
        </w:rPr>
      </w:pPr>
    </w:p>
    <w:p>
      <w:pPr>
        <w:ind w:left="980"/>
        <w:spacing w:after="0"/>
        <w:rPr>
          <w:sz w:val="20"/>
          <w:szCs w:val="20"/>
          <w:color w:val="auto"/>
        </w:rPr>
      </w:pPr>
      <w:r>
        <w:rPr>
          <w:rFonts w:ascii="Arial" w:cs="Arial" w:eastAsia="Arial" w:hAnsi="Arial"/>
          <w:sz w:val="13"/>
          <w:szCs w:val="13"/>
          <w:b w:val="1"/>
          <w:bCs w:val="1"/>
          <w:color w:val="auto"/>
        </w:rPr>
        <w:t>5601 Great Oaks Parkway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San Jose,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California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95119</w:t>
      </w:r>
    </w:p>
    <w:p>
      <w:pPr>
        <w:spacing w:after="0" w:line="73" w:lineRule="exact"/>
        <w:rPr>
          <w:sz w:val="24"/>
          <w:szCs w:val="24"/>
          <w:color w:val="auto"/>
        </w:rPr>
      </w:pPr>
    </w:p>
    <w:p>
      <w:pPr>
        <w:sectPr>
          <w:pgSz w:w="11900" w:h="16838" w:orient="portrait"/>
          <w:cols w:equalWidth="0" w:num="4">
            <w:col w:w="2600" w:space="400"/>
            <w:col w:w="560" w:space="260"/>
            <w:col w:w="4940" w:space="720"/>
            <w:col w:w="1920"/>
          </w:cols>
          <w:pgMar w:left="240" w:top="274" w:right="259" w:bottom="1440" w:gutter="0" w:footer="0" w:header="0"/>
          <w:type w:val="continuous"/>
        </w:sectPr>
      </w:pPr>
    </w:p>
    <w:p>
      <w:pPr>
        <w:ind w:left="1660"/>
        <w:spacing w:after="0"/>
        <w:rPr>
          <w:sz w:val="20"/>
          <w:szCs w:val="20"/>
          <w:color w:val="auto"/>
        </w:rPr>
      </w:pPr>
      <w:r>
        <w:rPr>
          <w:rFonts w:ascii="Arial" w:cs="Arial" w:eastAsia="Arial" w:hAnsi="Arial"/>
          <w:sz w:val="11"/>
          <w:szCs w:val="11"/>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i w:val="1"/>
          <w:iCs w:val="1"/>
          <w:color w:val="auto"/>
        </w:rPr>
        <w:t>(Zip Code)</w:t>
      </w:r>
    </w:p>
    <w:p>
      <w:pPr>
        <w:spacing w:after="0" w:line="200" w:lineRule="exact"/>
        <w:rPr>
          <w:sz w:val="24"/>
          <w:szCs w:val="24"/>
          <w:color w:val="auto"/>
        </w:rPr>
      </w:pPr>
    </w:p>
    <w:p>
      <w:pPr>
        <w:sectPr>
          <w:pgSz w:w="11900" w:h="16838" w:orient="portrait"/>
          <w:cols w:equalWidth="0" w:num="2">
            <w:col w:w="8660" w:space="720"/>
            <w:col w:w="2020"/>
          </w:cols>
          <w:pgMar w:left="240" w:top="274" w:right="259" w:bottom="1440" w:gutter="0" w:footer="0" w:header="0"/>
          <w:type w:val="continuous"/>
        </w:sectPr>
      </w:pPr>
    </w:p>
    <w:p>
      <w:pPr>
        <w:spacing w:after="0" w:line="7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08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317"/>
        </w:trPr>
        <w:tc>
          <w:tcPr>
            <w:tcW w:w="158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38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8"/>
        </w:trPr>
        <w:tc>
          <w:tcPr>
            <w:tcW w:w="5080" w:type="dxa"/>
            <w:vAlign w:val="bottom"/>
            <w:gridSpan w:val="3"/>
          </w:tcPr>
          <w:p>
            <w:pPr>
              <w:jc w:val="center"/>
              <w:ind w:right="720"/>
              <w:spacing w:after="0"/>
              <w:rPr>
                <w:sz w:val="20"/>
                <w:szCs w:val="20"/>
                <w:color w:val="auto"/>
              </w:rPr>
            </w:pPr>
            <w:r>
              <w:rPr>
                <w:rFonts w:ascii="Arial" w:cs="Arial" w:eastAsia="Arial" w:hAnsi="Arial"/>
                <w:sz w:val="14"/>
                <w:szCs w:val="14"/>
                <w:color w:val="auto"/>
                <w:w w:val="91"/>
              </w:rPr>
              <w:t>Common Stock, $.01 Par Value Per Share</w:t>
            </w:r>
          </w:p>
        </w:tc>
        <w:tc>
          <w:tcPr>
            <w:tcW w:w="2660" w:type="dxa"/>
            <w:vAlign w:val="bottom"/>
            <w:gridSpan w:val="2"/>
          </w:tcPr>
          <w:p>
            <w:pPr>
              <w:jc w:val="center"/>
              <w:ind w:right="1380"/>
              <w:spacing w:after="0"/>
              <w:rPr>
                <w:sz w:val="20"/>
                <w:szCs w:val="20"/>
                <w:color w:val="auto"/>
              </w:rPr>
            </w:pPr>
            <w:r>
              <w:rPr>
                <w:rFonts w:ascii="Arial" w:cs="Arial" w:eastAsia="Arial" w:hAnsi="Arial"/>
                <w:sz w:val="14"/>
                <w:szCs w:val="14"/>
                <w:color w:val="auto"/>
                <w:w w:val="95"/>
              </w:rPr>
              <w:t>WDC</w:t>
            </w:r>
          </w:p>
        </w:tc>
        <w:tc>
          <w:tcPr>
            <w:tcW w:w="302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350520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4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74" w:right="259" w:bottom="1440" w:gutter="0" w:footer="0" w:header="0"/>
          <w:type w:val="continuous"/>
        </w:sectPr>
      </w:pPr>
    </w:p>
    <w:bookmarkStart w:id="1" w:name="page2"/>
    <w:bookmarkEnd w:id="1"/>
    <w:p>
      <w:pPr>
        <w:ind w:left="500"/>
        <w:spacing w:after="0"/>
        <w:rPr>
          <w:sz w:val="20"/>
          <w:szCs w:val="20"/>
          <w:color w:val="auto"/>
        </w:rPr>
      </w:pPr>
      <w:r>
        <w:rPr>
          <w:rFonts w:ascii="Arial" w:cs="Arial" w:eastAsia="Arial" w:hAnsi="Arial"/>
          <w:sz w:val="13"/>
          <w:szCs w:val="13"/>
          <w:color w:val="auto"/>
        </w:rPr>
        <w:t>Large accelerated filer</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Arial" w:cs="Arial" w:eastAsia="Arial" w:hAnsi="Arial"/>
          <w:sz w:val="13"/>
          <w:szCs w:val="13"/>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Emerging growth company</w:t>
      </w:r>
    </w:p>
    <w:p>
      <w:pPr>
        <w:spacing w:after="0" w:line="39" w:lineRule="exact"/>
        <w:rPr>
          <w:sz w:val="20"/>
          <w:szCs w:val="20"/>
          <w:color w:val="auto"/>
        </w:rPr>
      </w:pPr>
    </w:p>
    <w:p>
      <w:pPr>
        <w:sectPr>
          <w:pgSz w:w="11900" w:h="16838" w:orient="portrait"/>
          <w:cols w:equalWidth="0" w:num="5">
            <w:col w:w="2240" w:space="720"/>
            <w:col w:w="1420" w:space="720"/>
            <w:col w:w="1380" w:space="720"/>
            <w:col w:w="1580" w:space="720"/>
            <w:col w:w="1560"/>
          </w:cols>
          <w:pgMar w:left="240" w:top="526" w:right="599" w:bottom="1440" w:gutter="0" w:footer="0" w:header="0"/>
        </w:sectPr>
      </w:pPr>
    </w:p>
    <w:p>
      <w:pPr>
        <w:ind w:left="10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4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640" w:space="720"/>
            <w:col w:w="1560" w:space="720"/>
            <w:col w:w="1560" w:space="720"/>
            <w:col w:w="1580" w:space="720"/>
            <w:col w:w="840"/>
          </w:cols>
          <w:pgMar w:left="240" w:top="526" w:right="599" w:bottom="1440" w:gutter="0" w:footer="0" w:header="0"/>
          <w:type w:val="continuous"/>
        </w:sectPr>
      </w:pPr>
    </w:p>
    <w:p>
      <w:pPr>
        <w:spacing w:after="0" w:line="255" w:lineRule="exact"/>
        <w:rPr>
          <w:sz w:val="20"/>
          <w:szCs w:val="20"/>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0"/>
          <w:szCs w:val="20"/>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the close of business on November 1, 2019, 297,404,535 shares of common stock, par value $0.01 per share, were outstanding.</w:t>
      </w:r>
    </w:p>
    <w:p>
      <w:pPr>
        <w:sectPr>
          <w:pgSz w:w="11900" w:h="16838" w:orient="portrait"/>
          <w:cols w:equalWidth="0" w:num="1">
            <w:col w:w="11060"/>
          </w:cols>
          <w:pgMar w:left="240" w:top="526" w:right="5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0" w:type="dxa"/>
            <w:vAlign w:val="bottom"/>
            <w:gridSpan w:val="6"/>
          </w:tcPr>
          <w:p>
            <w:pPr>
              <w:ind w:left="3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PART I. FINANCIAL INFORMATION</w:t>
            </w: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94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Statements (unaudited)</w:t>
            </w: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940" w:type="dxa"/>
            <w:vAlign w:val="bottom"/>
          </w:tcPr>
          <w:p>
            <w:pPr>
              <w:ind w:left="540"/>
              <w:spacing w:after="0" w:line="202" w:lineRule="exact"/>
              <w:rPr>
                <w:sz w:val="20"/>
                <w:szCs w:val="20"/>
                <w:color w:val="auto"/>
              </w:rPr>
            </w:pPr>
            <w:r>
              <w:rPr>
                <w:rFonts w:ascii="Arial" w:cs="Arial" w:eastAsia="Arial" w:hAnsi="Arial"/>
                <w:sz w:val="18"/>
                <w:szCs w:val="18"/>
                <w:color w:val="auto"/>
              </w:rPr>
              <w:t>Condensed Consolidated Balance Sheets — As of October 4, 2019 and June 28, 2019</w:t>
            </w:r>
          </w:p>
        </w:tc>
        <w:tc>
          <w:tcPr>
            <w:tcW w:w="880" w:type="dxa"/>
            <w:vAlign w:val="bottom"/>
            <w:gridSpan w:val="4"/>
          </w:tcPr>
          <w:p>
            <w:pPr>
              <w:jc w:val="center"/>
              <w:ind w:left="630"/>
              <w:spacing w:after="0" w:line="202" w:lineRule="exact"/>
              <w:rPr>
                <w:rFonts w:ascii="Arial" w:cs="Arial" w:eastAsia="Arial" w:hAnsi="Arial"/>
                <w:sz w:val="18"/>
                <w:szCs w:val="18"/>
                <w:color w:val="3635D6"/>
                <w:w w:val="79"/>
              </w:rPr>
            </w:pPr>
            <w:hyperlink w:anchor="page5">
              <w:r>
                <w:rPr>
                  <w:rFonts w:ascii="Arial" w:cs="Arial" w:eastAsia="Arial" w:hAnsi="Arial"/>
                  <w:sz w:val="18"/>
                  <w:szCs w:val="18"/>
                  <w:color w:val="3635D6"/>
                  <w:w w:val="79"/>
                </w:rPr>
                <w:t>5</w:t>
              </w:r>
            </w:hyperlink>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Condensed Consolidated Statements of Operations — Three Months Ended October 4, 2019 and September 28,</w:t>
            </w: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shd w:val="clear" w:color="auto" w:fill="CCEEFF"/>
          </w:tcPr>
          <w:p>
            <w:pPr>
              <w:spacing w:after="0"/>
              <w:rPr>
                <w:sz w:val="20"/>
                <w:szCs w:val="20"/>
                <w:color w:val="auto"/>
              </w:rPr>
            </w:pPr>
          </w:p>
        </w:tc>
        <w:tc>
          <w:tcPr>
            <w:tcW w:w="8940" w:type="dxa"/>
            <w:vAlign w:val="bottom"/>
            <w:shd w:val="clear" w:color="auto" w:fill="CCEEFF"/>
          </w:tcPr>
          <w:p>
            <w:pPr>
              <w:ind w:left="540"/>
              <w:spacing w:after="0" w:line="190" w:lineRule="exact"/>
              <w:rPr>
                <w:sz w:val="20"/>
                <w:szCs w:val="20"/>
                <w:color w:val="auto"/>
              </w:rPr>
            </w:pPr>
            <w:r>
              <w:rPr>
                <w:rFonts w:ascii="Arial" w:cs="Arial" w:eastAsia="Arial" w:hAnsi="Arial"/>
                <w:sz w:val="18"/>
                <w:szCs w:val="18"/>
                <w:color w:val="auto"/>
              </w:rPr>
              <w:t>2018</w:t>
            </w:r>
          </w:p>
        </w:tc>
        <w:tc>
          <w:tcPr>
            <w:tcW w:w="880" w:type="dxa"/>
            <w:vAlign w:val="bottom"/>
            <w:gridSpan w:val="4"/>
            <w:shd w:val="clear" w:color="auto" w:fill="CCEEFF"/>
          </w:tcPr>
          <w:p>
            <w:pPr>
              <w:jc w:val="center"/>
              <w:ind w:left="630"/>
              <w:spacing w:after="0" w:line="190" w:lineRule="exact"/>
              <w:rPr>
                <w:rFonts w:ascii="Arial" w:cs="Arial" w:eastAsia="Arial" w:hAnsi="Arial"/>
                <w:sz w:val="18"/>
                <w:szCs w:val="18"/>
                <w:color w:val="3635D6"/>
                <w:w w:val="79"/>
              </w:rPr>
            </w:pPr>
            <w:hyperlink w:anchor="page6">
              <w:r>
                <w:rPr>
                  <w:rFonts w:ascii="Arial" w:cs="Arial" w:eastAsia="Arial" w:hAnsi="Arial"/>
                  <w:sz w:val="18"/>
                  <w:szCs w:val="18"/>
                  <w:color w:val="3635D6"/>
                  <w:w w:val="79"/>
                </w:rPr>
                <w:t>6</w:t>
              </w:r>
            </w:hyperlink>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tcBorders>
              <w:top w:val="single" w:sz="8" w:color="CCEEFF"/>
            </w:tcBorders>
          </w:tcPr>
          <w:p>
            <w:pPr>
              <w:spacing w:after="0"/>
              <w:rPr>
                <w:sz w:val="19"/>
                <w:szCs w:val="19"/>
                <w:color w:val="auto"/>
              </w:rPr>
            </w:pPr>
          </w:p>
        </w:tc>
        <w:tc>
          <w:tcPr>
            <w:tcW w:w="894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w w:val="93"/>
              </w:rPr>
              <w:t>Condensed Consolidated Statements of Comprehensive Income (Loss) — Three Months Ended October 4, 2019</w:t>
            </w:r>
          </w:p>
        </w:tc>
        <w:tc>
          <w:tcPr>
            <w:tcW w:w="7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3635D6"/>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8940" w:type="dxa"/>
            <w:vAlign w:val="bottom"/>
          </w:tcPr>
          <w:p>
            <w:pPr>
              <w:ind w:left="540"/>
              <w:spacing w:after="0" w:line="190" w:lineRule="exact"/>
              <w:rPr>
                <w:sz w:val="20"/>
                <w:szCs w:val="20"/>
                <w:color w:val="auto"/>
              </w:rPr>
            </w:pPr>
            <w:r>
              <w:rPr>
                <w:rFonts w:ascii="Arial" w:cs="Arial" w:eastAsia="Arial" w:hAnsi="Arial"/>
                <w:sz w:val="18"/>
                <w:szCs w:val="18"/>
                <w:color w:val="auto"/>
              </w:rPr>
              <w:t>and September 28, 2018</w:t>
            </w:r>
          </w:p>
        </w:tc>
        <w:tc>
          <w:tcPr>
            <w:tcW w:w="880" w:type="dxa"/>
            <w:vAlign w:val="bottom"/>
            <w:gridSpan w:val="4"/>
          </w:tcPr>
          <w:p>
            <w:pPr>
              <w:jc w:val="center"/>
              <w:ind w:left="630"/>
              <w:spacing w:after="0" w:line="190" w:lineRule="exact"/>
              <w:rPr>
                <w:rFonts w:ascii="Arial" w:cs="Arial" w:eastAsia="Arial" w:hAnsi="Arial"/>
                <w:sz w:val="18"/>
                <w:szCs w:val="18"/>
                <w:color w:val="3635D6"/>
                <w:w w:val="79"/>
              </w:rPr>
            </w:pPr>
            <w:hyperlink w:anchor="page7">
              <w:r>
                <w:rPr>
                  <w:rFonts w:ascii="Arial" w:cs="Arial" w:eastAsia="Arial" w:hAnsi="Arial"/>
                  <w:sz w:val="18"/>
                  <w:szCs w:val="18"/>
                  <w:color w:val="3635D6"/>
                  <w:w w:val="79"/>
                </w:rPr>
                <w:t>7</w:t>
              </w:r>
            </w:hyperlink>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Condensed Consolidated Statements of Cash Flows — Three Months Ended October 4, 2019 and September 28,</w:t>
            </w: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shd w:val="clear" w:color="auto" w:fill="CCEEFF"/>
          </w:tcPr>
          <w:p>
            <w:pPr>
              <w:spacing w:after="0"/>
              <w:rPr>
                <w:sz w:val="20"/>
                <w:szCs w:val="20"/>
                <w:color w:val="auto"/>
              </w:rPr>
            </w:pPr>
          </w:p>
        </w:tc>
        <w:tc>
          <w:tcPr>
            <w:tcW w:w="8940" w:type="dxa"/>
            <w:vAlign w:val="bottom"/>
            <w:shd w:val="clear" w:color="auto" w:fill="CCEEFF"/>
          </w:tcPr>
          <w:p>
            <w:pPr>
              <w:ind w:left="540"/>
              <w:spacing w:after="0" w:line="190" w:lineRule="exact"/>
              <w:rPr>
                <w:sz w:val="20"/>
                <w:szCs w:val="20"/>
                <w:color w:val="auto"/>
              </w:rPr>
            </w:pPr>
            <w:r>
              <w:rPr>
                <w:rFonts w:ascii="Arial" w:cs="Arial" w:eastAsia="Arial" w:hAnsi="Arial"/>
                <w:sz w:val="18"/>
                <w:szCs w:val="18"/>
                <w:color w:val="auto"/>
              </w:rPr>
              <w:t>2018</w:t>
            </w:r>
          </w:p>
        </w:tc>
        <w:tc>
          <w:tcPr>
            <w:tcW w:w="880" w:type="dxa"/>
            <w:vAlign w:val="bottom"/>
            <w:gridSpan w:val="4"/>
            <w:shd w:val="clear" w:color="auto" w:fill="CCEEFF"/>
          </w:tcPr>
          <w:p>
            <w:pPr>
              <w:jc w:val="center"/>
              <w:ind w:left="630"/>
              <w:spacing w:after="0" w:line="190" w:lineRule="exact"/>
              <w:rPr>
                <w:rFonts w:ascii="Arial" w:cs="Arial" w:eastAsia="Arial" w:hAnsi="Arial"/>
                <w:sz w:val="18"/>
                <w:szCs w:val="18"/>
                <w:color w:val="3635D6"/>
                <w:w w:val="79"/>
              </w:rPr>
            </w:pPr>
            <w:hyperlink w:anchor="page8">
              <w:r>
                <w:rPr>
                  <w:rFonts w:ascii="Arial" w:cs="Arial" w:eastAsia="Arial" w:hAnsi="Arial"/>
                  <w:sz w:val="18"/>
                  <w:szCs w:val="18"/>
                  <w:color w:val="3635D6"/>
                  <w:w w:val="79"/>
                </w:rPr>
                <w:t>8</w:t>
              </w:r>
            </w:hyperlink>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tcBorders>
              <w:top w:val="single" w:sz="8" w:color="CCEEFF"/>
            </w:tcBorders>
          </w:tcPr>
          <w:p>
            <w:pPr>
              <w:spacing w:after="0"/>
              <w:rPr>
                <w:sz w:val="19"/>
                <w:szCs w:val="19"/>
                <w:color w:val="auto"/>
              </w:rPr>
            </w:pPr>
          </w:p>
        </w:tc>
        <w:tc>
          <w:tcPr>
            <w:tcW w:w="894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w w:val="98"/>
              </w:rPr>
              <w:t>Condensed Consolidated Statements of Shareholders' Equity — Three Months Ended October 4, 2019 and</w:t>
            </w:r>
          </w:p>
        </w:tc>
        <w:tc>
          <w:tcPr>
            <w:tcW w:w="7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3635D6"/>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8940" w:type="dxa"/>
            <w:vAlign w:val="bottom"/>
          </w:tcPr>
          <w:p>
            <w:pPr>
              <w:ind w:left="540"/>
              <w:spacing w:after="0" w:line="190" w:lineRule="exact"/>
              <w:rPr>
                <w:sz w:val="20"/>
                <w:szCs w:val="20"/>
                <w:color w:val="auto"/>
              </w:rPr>
            </w:pPr>
            <w:r>
              <w:rPr>
                <w:rFonts w:ascii="Arial" w:cs="Arial" w:eastAsia="Arial" w:hAnsi="Arial"/>
                <w:sz w:val="18"/>
                <w:szCs w:val="18"/>
                <w:color w:val="auto"/>
              </w:rPr>
              <w:t>September 28, 2018</w:t>
            </w:r>
          </w:p>
        </w:tc>
        <w:tc>
          <w:tcPr>
            <w:tcW w:w="880" w:type="dxa"/>
            <w:vAlign w:val="bottom"/>
            <w:gridSpan w:val="4"/>
          </w:tcPr>
          <w:p>
            <w:pPr>
              <w:jc w:val="center"/>
              <w:ind w:left="630"/>
              <w:spacing w:after="0" w:line="190" w:lineRule="exact"/>
              <w:rPr>
                <w:rFonts w:ascii="Arial" w:cs="Arial" w:eastAsia="Arial" w:hAnsi="Arial"/>
                <w:sz w:val="18"/>
                <w:szCs w:val="18"/>
                <w:color w:val="3635D6"/>
                <w:w w:val="79"/>
              </w:rPr>
            </w:pPr>
            <w:hyperlink w:anchor="page9">
              <w:r>
                <w:rPr>
                  <w:rFonts w:ascii="Arial" w:cs="Arial" w:eastAsia="Arial" w:hAnsi="Arial"/>
                  <w:sz w:val="18"/>
                  <w:szCs w:val="18"/>
                  <w:color w:val="3635D6"/>
                  <w:w w:val="79"/>
                </w:rPr>
                <w:t>9</w:t>
              </w:r>
            </w:hyperlink>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rPr>
                <w:sz w:val="17"/>
                <w:szCs w:val="17"/>
                <w:color w:val="auto"/>
              </w:rPr>
            </w:pPr>
          </w:p>
        </w:tc>
        <w:tc>
          <w:tcPr>
            <w:tcW w:w="89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900" w:type="dxa"/>
            <w:vAlign w:val="bottom"/>
            <w:gridSpan w:val="5"/>
            <w:shd w:val="clear" w:color="auto" w:fill="CCEEFF"/>
          </w:tcPr>
          <w:p>
            <w:pPr>
              <w:jc w:val="center"/>
              <w:ind w:left="610"/>
              <w:spacing w:after="0" w:line="202" w:lineRule="exact"/>
              <w:rPr>
                <w:rFonts w:ascii="Arial" w:cs="Arial" w:eastAsia="Arial" w:hAnsi="Arial"/>
                <w:sz w:val="18"/>
                <w:szCs w:val="18"/>
                <w:color w:val="3635D6"/>
                <w:w w:val="79"/>
              </w:rPr>
            </w:pPr>
            <w:hyperlink w:anchor="page11">
              <w:r>
                <w:rPr>
                  <w:rFonts w:ascii="Arial" w:cs="Arial" w:eastAsia="Arial" w:hAnsi="Arial"/>
                  <w:sz w:val="18"/>
                  <w:szCs w:val="18"/>
                  <w:color w:val="3635D6"/>
                  <w:w w:val="79"/>
                </w:rPr>
                <w:t>11</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gridSpan w:val="5"/>
          </w:tcPr>
          <w:p>
            <w:pPr>
              <w:jc w:val="center"/>
              <w:ind w:left="630"/>
              <w:spacing w:after="0" w:line="202" w:lineRule="exact"/>
              <w:rPr>
                <w:rFonts w:ascii="Arial" w:cs="Arial" w:eastAsia="Arial" w:hAnsi="Arial"/>
                <w:sz w:val="18"/>
                <w:szCs w:val="18"/>
                <w:color w:val="3635D6"/>
                <w:w w:val="89"/>
              </w:rPr>
            </w:pPr>
            <w:hyperlink w:anchor="page45">
              <w:r>
                <w:rPr>
                  <w:rFonts w:ascii="Arial" w:cs="Arial" w:eastAsia="Arial" w:hAnsi="Arial"/>
                  <w:sz w:val="18"/>
                  <w:szCs w:val="18"/>
                  <w:color w:val="3635D6"/>
                  <w:w w:val="89"/>
                </w:rPr>
                <w:t>45</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gridSpan w:val="5"/>
            <w:shd w:val="clear" w:color="auto" w:fill="CCEEFF"/>
          </w:tcPr>
          <w:p>
            <w:pPr>
              <w:jc w:val="center"/>
              <w:ind w:left="630"/>
              <w:spacing w:after="0" w:line="202" w:lineRule="exact"/>
              <w:rPr>
                <w:rFonts w:ascii="Arial" w:cs="Arial" w:eastAsia="Arial" w:hAnsi="Arial"/>
                <w:sz w:val="18"/>
                <w:szCs w:val="18"/>
                <w:color w:val="3635D6"/>
                <w:w w:val="89"/>
              </w:rPr>
            </w:pPr>
            <w:hyperlink w:anchor="page54">
              <w:r>
                <w:rPr>
                  <w:rFonts w:ascii="Arial" w:cs="Arial" w:eastAsia="Arial" w:hAnsi="Arial"/>
                  <w:sz w:val="18"/>
                  <w:szCs w:val="18"/>
                  <w:color w:val="3635D6"/>
                  <w:w w:val="89"/>
                </w:rPr>
                <w:t>54</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900" w:type="dxa"/>
            <w:vAlign w:val="bottom"/>
            <w:gridSpan w:val="5"/>
          </w:tcPr>
          <w:p>
            <w:pPr>
              <w:jc w:val="center"/>
              <w:ind w:left="630"/>
              <w:spacing w:after="0" w:line="202" w:lineRule="exact"/>
              <w:rPr>
                <w:rFonts w:ascii="Arial" w:cs="Arial" w:eastAsia="Arial" w:hAnsi="Arial"/>
                <w:sz w:val="18"/>
                <w:szCs w:val="18"/>
                <w:color w:val="3635D6"/>
                <w:w w:val="89"/>
              </w:rPr>
            </w:pPr>
            <w:hyperlink w:anchor="page54">
              <w:r>
                <w:rPr>
                  <w:rFonts w:ascii="Arial" w:cs="Arial" w:eastAsia="Arial" w:hAnsi="Arial"/>
                  <w:sz w:val="18"/>
                  <w:szCs w:val="18"/>
                  <w:color w:val="3635D6"/>
                  <w:w w:val="89"/>
                </w:rPr>
                <w:t>54</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880" w:type="dxa"/>
            <w:vAlign w:val="bottom"/>
          </w:tcPr>
          <w:p>
            <w:pPr>
              <w:spacing w:after="0"/>
              <w:rPr>
                <w:sz w:val="24"/>
                <w:szCs w:val="24"/>
                <w:color w:val="auto"/>
              </w:rPr>
            </w:pPr>
          </w:p>
        </w:tc>
        <w:tc>
          <w:tcPr>
            <w:tcW w:w="8940" w:type="dxa"/>
            <w:vAlign w:val="bottom"/>
          </w:tcPr>
          <w:p>
            <w:pPr>
              <w:ind w:left="3460"/>
              <w:spacing w:after="0"/>
              <w:rPr>
                <w:sz w:val="20"/>
                <w:szCs w:val="20"/>
                <w:color w:val="auto"/>
              </w:rPr>
            </w:pPr>
            <w:r>
              <w:rPr>
                <w:rFonts w:ascii="Arial" w:cs="Arial" w:eastAsia="Arial" w:hAnsi="Arial"/>
                <w:sz w:val="18"/>
                <w:szCs w:val="18"/>
                <w:b w:val="1"/>
                <w:bCs w:val="1"/>
                <w:color w:val="auto"/>
              </w:rPr>
              <w:t>PART II. OTHER INFORMATION</w:t>
            </w:r>
          </w:p>
        </w:tc>
        <w:tc>
          <w:tcPr>
            <w:tcW w:w="720" w:type="dxa"/>
            <w:vAlign w:val="bottom"/>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20" w:type="dxa"/>
            <w:vAlign w:val="bottom"/>
            <w:tcBorders>
              <w:top w:val="single" w:sz="8" w:color="3635D6"/>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Legal Proceedings</w:t>
            </w:r>
          </w:p>
        </w:tc>
        <w:tc>
          <w:tcPr>
            <w:tcW w:w="900" w:type="dxa"/>
            <w:vAlign w:val="bottom"/>
            <w:gridSpan w:val="5"/>
            <w:shd w:val="clear" w:color="auto" w:fill="CCEEFF"/>
          </w:tcPr>
          <w:p>
            <w:pPr>
              <w:jc w:val="center"/>
              <w:ind w:left="630"/>
              <w:spacing w:after="0" w:line="202" w:lineRule="exact"/>
              <w:rPr>
                <w:rFonts w:ascii="Arial" w:cs="Arial" w:eastAsia="Arial" w:hAnsi="Arial"/>
                <w:sz w:val="18"/>
                <w:szCs w:val="18"/>
                <w:color w:val="3635D6"/>
                <w:w w:val="89"/>
              </w:rPr>
            </w:pPr>
            <w:hyperlink w:anchor="page55">
              <w:r>
                <w:rPr>
                  <w:rFonts w:ascii="Arial" w:cs="Arial" w:eastAsia="Arial" w:hAnsi="Arial"/>
                  <w:sz w:val="18"/>
                  <w:szCs w:val="18"/>
                  <w:color w:val="3635D6"/>
                  <w:w w:val="89"/>
                </w:rPr>
                <w:t>55</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1A.</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Risk Factors</w:t>
            </w:r>
          </w:p>
        </w:tc>
        <w:tc>
          <w:tcPr>
            <w:tcW w:w="900" w:type="dxa"/>
            <w:vAlign w:val="bottom"/>
            <w:gridSpan w:val="5"/>
          </w:tcPr>
          <w:p>
            <w:pPr>
              <w:jc w:val="center"/>
              <w:ind w:left="630"/>
              <w:spacing w:after="0" w:line="202" w:lineRule="exact"/>
              <w:rPr>
                <w:rFonts w:ascii="Arial" w:cs="Arial" w:eastAsia="Arial" w:hAnsi="Arial"/>
                <w:sz w:val="18"/>
                <w:szCs w:val="18"/>
                <w:color w:val="3635D6"/>
                <w:w w:val="89"/>
              </w:rPr>
            </w:pPr>
            <w:hyperlink w:anchor="page55">
              <w:r>
                <w:rPr>
                  <w:rFonts w:ascii="Arial" w:cs="Arial" w:eastAsia="Arial" w:hAnsi="Arial"/>
                  <w:sz w:val="18"/>
                  <w:szCs w:val="18"/>
                  <w:color w:val="3635D6"/>
                  <w:w w:val="89"/>
                </w:rPr>
                <w:t>55</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gridSpan w:val="5"/>
            <w:shd w:val="clear" w:color="auto" w:fill="CCEEFF"/>
          </w:tcPr>
          <w:p>
            <w:pPr>
              <w:jc w:val="center"/>
              <w:ind w:left="630"/>
              <w:spacing w:after="0" w:line="202" w:lineRule="exact"/>
              <w:rPr>
                <w:rFonts w:ascii="Arial" w:cs="Arial" w:eastAsia="Arial" w:hAnsi="Arial"/>
                <w:sz w:val="18"/>
                <w:szCs w:val="18"/>
                <w:color w:val="3635D6"/>
                <w:w w:val="89"/>
              </w:rPr>
            </w:pPr>
            <w:hyperlink w:anchor="page71">
              <w:r>
                <w:rPr>
                  <w:rFonts w:ascii="Arial" w:cs="Arial" w:eastAsia="Arial" w:hAnsi="Arial"/>
                  <w:sz w:val="18"/>
                  <w:szCs w:val="18"/>
                  <w:color w:val="3635D6"/>
                  <w:w w:val="89"/>
                </w:rPr>
                <w:t>71</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Defaults Upon Senior Securities</w:t>
            </w:r>
          </w:p>
        </w:tc>
        <w:tc>
          <w:tcPr>
            <w:tcW w:w="900" w:type="dxa"/>
            <w:vAlign w:val="bottom"/>
            <w:gridSpan w:val="5"/>
          </w:tcPr>
          <w:p>
            <w:pPr>
              <w:jc w:val="center"/>
              <w:ind w:left="630"/>
              <w:spacing w:after="0" w:line="202" w:lineRule="exact"/>
              <w:rPr>
                <w:rFonts w:ascii="Arial" w:cs="Arial" w:eastAsia="Arial" w:hAnsi="Arial"/>
                <w:sz w:val="18"/>
                <w:szCs w:val="18"/>
                <w:color w:val="3635D6"/>
                <w:w w:val="89"/>
              </w:rPr>
            </w:pPr>
            <w:hyperlink w:anchor="page71">
              <w:r>
                <w:rPr>
                  <w:rFonts w:ascii="Arial" w:cs="Arial" w:eastAsia="Arial" w:hAnsi="Arial"/>
                  <w:sz w:val="18"/>
                  <w:szCs w:val="18"/>
                  <w:color w:val="3635D6"/>
                  <w:w w:val="89"/>
                </w:rPr>
                <w:t>71</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Mine Safety Disclosures</w:t>
            </w:r>
          </w:p>
        </w:tc>
        <w:tc>
          <w:tcPr>
            <w:tcW w:w="900" w:type="dxa"/>
            <w:vAlign w:val="bottom"/>
            <w:gridSpan w:val="5"/>
            <w:shd w:val="clear" w:color="auto" w:fill="CCEEFF"/>
          </w:tcPr>
          <w:p>
            <w:pPr>
              <w:jc w:val="center"/>
              <w:ind w:left="630"/>
              <w:spacing w:after="0" w:line="202" w:lineRule="exact"/>
              <w:rPr>
                <w:rFonts w:ascii="Arial" w:cs="Arial" w:eastAsia="Arial" w:hAnsi="Arial"/>
                <w:sz w:val="18"/>
                <w:szCs w:val="18"/>
                <w:color w:val="3635D6"/>
                <w:w w:val="89"/>
              </w:rPr>
            </w:pPr>
            <w:hyperlink w:anchor="page71">
              <w:r>
                <w:rPr>
                  <w:rFonts w:ascii="Arial" w:cs="Arial" w:eastAsia="Arial" w:hAnsi="Arial"/>
                  <w:sz w:val="18"/>
                  <w:szCs w:val="18"/>
                  <w:color w:val="3635D6"/>
                  <w:w w:val="89"/>
                </w:rPr>
                <w:t>71</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5.</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Other Information</w:t>
            </w:r>
          </w:p>
        </w:tc>
        <w:tc>
          <w:tcPr>
            <w:tcW w:w="900" w:type="dxa"/>
            <w:vAlign w:val="bottom"/>
            <w:gridSpan w:val="5"/>
          </w:tcPr>
          <w:p>
            <w:pPr>
              <w:jc w:val="center"/>
              <w:ind w:left="630"/>
              <w:spacing w:after="0" w:line="202" w:lineRule="exact"/>
              <w:rPr>
                <w:rFonts w:ascii="Arial" w:cs="Arial" w:eastAsia="Arial" w:hAnsi="Arial"/>
                <w:sz w:val="18"/>
                <w:szCs w:val="18"/>
                <w:color w:val="3635D6"/>
                <w:w w:val="89"/>
              </w:rPr>
            </w:pPr>
            <w:hyperlink w:anchor="page71">
              <w:r>
                <w:rPr>
                  <w:rFonts w:ascii="Arial" w:cs="Arial" w:eastAsia="Arial" w:hAnsi="Arial"/>
                  <w:sz w:val="18"/>
                  <w:szCs w:val="18"/>
                  <w:color w:val="3635D6"/>
                  <w:w w:val="89"/>
                </w:rPr>
                <w:t>71</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Exhibits</w:t>
            </w:r>
          </w:p>
        </w:tc>
        <w:tc>
          <w:tcPr>
            <w:tcW w:w="900" w:type="dxa"/>
            <w:vAlign w:val="bottom"/>
            <w:gridSpan w:val="5"/>
            <w:shd w:val="clear" w:color="auto" w:fill="CCEEFF"/>
          </w:tcPr>
          <w:p>
            <w:pPr>
              <w:jc w:val="center"/>
              <w:ind w:left="630"/>
              <w:spacing w:after="0" w:line="202" w:lineRule="exact"/>
              <w:rPr>
                <w:rFonts w:ascii="Arial" w:cs="Arial" w:eastAsia="Arial" w:hAnsi="Arial"/>
                <w:sz w:val="18"/>
                <w:szCs w:val="18"/>
                <w:color w:val="3635D6"/>
                <w:w w:val="89"/>
              </w:rPr>
            </w:pPr>
            <w:hyperlink w:anchor="page71">
              <w:r>
                <w:rPr>
                  <w:rFonts w:ascii="Arial" w:cs="Arial" w:eastAsia="Arial" w:hAnsi="Arial"/>
                  <w:sz w:val="18"/>
                  <w:szCs w:val="18"/>
                  <w:color w:val="3635D6"/>
                  <w:w w:val="89"/>
                </w:rPr>
                <w:t>71</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70"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8" w:lineRule="exact"/>
        <w:rPr>
          <w:sz w:val="20"/>
          <w:szCs w:val="20"/>
          <w:color w:val="auto"/>
        </w:rPr>
      </w:pPr>
    </w:p>
    <w:p>
      <w:pPr>
        <w:ind w:left="660" w:right="5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Flash Ventures joint venture with Kioxia Corporation (formerly known as Toshiba Memory Corporation), the flash industry and our flash wafer output plans;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 and share repurchase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development and technology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future results of operations;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i w:val="1"/>
          <w:iCs w:val="1"/>
          <w:color w:val="auto"/>
        </w:rPr>
      </w:pP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right="640" w:hanging="328"/>
        <w:spacing w:after="0" w:line="261"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debt and capital expenditure needs as well as our dividend plans.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right"/>
        <w:ind w:right="500"/>
        <w:spacing w:after="0"/>
        <w:tabs>
          <w:tab w:leader="none" w:pos="480" w:val="left"/>
        </w:tabs>
        <w:rPr>
          <w:sz w:val="20"/>
          <w:szCs w:val="20"/>
          <w:color w:val="auto"/>
        </w:rPr>
      </w:pPr>
      <w:r>
        <w:rPr>
          <w:rFonts w:ascii="Arial" w:cs="Arial" w:eastAsia="Arial" w:hAnsi="Arial"/>
          <w:sz w:val="14"/>
          <w:szCs w:val="14"/>
          <w:b w:val="1"/>
          <w:bCs w:val="1"/>
          <w:color w:val="auto"/>
        </w:rPr>
        <w:t>October 4,</w:t>
      </w:r>
      <w:r>
        <w:rPr>
          <w:sz w:val="20"/>
          <w:szCs w:val="20"/>
          <w:color w:val="auto"/>
        </w:rPr>
        <w:tab/>
      </w:r>
      <w:r>
        <w:rPr>
          <w:rFonts w:ascii="Arial" w:cs="Arial" w:eastAsia="Arial" w:hAnsi="Arial"/>
          <w:sz w:val="12"/>
          <w:szCs w:val="12"/>
          <w:b w:val="1"/>
          <w:bCs w:val="1"/>
          <w:color w:val="auto"/>
        </w:rPr>
        <w:t>June 28,</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receivable and investments in Flash Ventures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to related parties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(Notes 7, 9, 12 and 15)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stock, $0.01 par value; authorized — 5 shares; issued and outstanding — none</w:t>
      </w:r>
    </w:p>
    <w:p>
      <w:pPr>
        <w:spacing w:after="0" w:line="86" w:lineRule="exact"/>
        <w:rPr>
          <w:sz w:val="20"/>
          <w:szCs w:val="20"/>
          <w:color w:val="auto"/>
        </w:rPr>
      </w:pPr>
    </w:p>
    <w:p>
      <w:pPr>
        <w:ind w:left="180" w:right="380"/>
        <w:spacing w:after="0" w:line="293" w:lineRule="auto"/>
        <w:rPr>
          <w:sz w:val="20"/>
          <w:szCs w:val="20"/>
          <w:color w:val="auto"/>
        </w:rPr>
      </w:pPr>
      <w:r>
        <w:rPr>
          <w:rFonts w:ascii="Arial" w:cs="Arial" w:eastAsia="Arial" w:hAnsi="Arial"/>
          <w:sz w:val="16"/>
          <w:szCs w:val="16"/>
          <w:color w:val="auto"/>
        </w:rPr>
        <w:t>Common stock, $0.01 par value; authorized — 450 shares; issued — 312 shares; outstanding — 298 shares and 295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 common shares at cost; 14 shares and 17 shares,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3,248</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3,455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1,448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3,287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3,283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517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535</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8,500</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8,477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2,796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2,843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2,629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2,791</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10,090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10,076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1,514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1,711</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751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26,280</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26,370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1,724</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1,567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507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331</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1,374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1,296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432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251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276</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4,288</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3,817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9,961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10,246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2,465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2,340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16,714</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16,403</w:t>
            </w:r>
          </w:p>
        </w:tc>
      </w:tr>
      <w:tr>
        <w:trPr>
          <w:trHeight w:val="81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3,728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3,851</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(90)</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7,012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7,449</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(1,087)</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-1642110</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-3340100</wp:posOffset>
            </wp:positionV>
            <wp:extent cx="951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60" w:space="720"/>
            <w:col w:w="21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9,967</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26,280</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26,370</w:t>
            </w:r>
          </w:p>
        </w:tc>
      </w:tr>
      <w:tr>
        <w:trPr>
          <w:trHeight w:val="33"/>
        </w:trPr>
        <w:tc>
          <w:tcPr>
            <w:tcW w:w="8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4,</w:t>
            </w:r>
          </w:p>
        </w:tc>
        <w:tc>
          <w:tcPr>
            <w:tcW w:w="200" w:type="dxa"/>
            <w:vAlign w:val="bottom"/>
          </w:tcPr>
          <w:p>
            <w:pPr>
              <w:spacing w:after="0"/>
              <w:rPr>
                <w:sz w:val="13"/>
                <w:szCs w:val="13"/>
                <w:color w:val="auto"/>
              </w:rPr>
            </w:pPr>
          </w:p>
        </w:tc>
        <w:tc>
          <w:tcPr>
            <w:tcW w:w="1260" w:type="dxa"/>
            <w:vAlign w:val="bottom"/>
          </w:tcPr>
          <w:p>
            <w:pPr>
              <w:jc w:val="right"/>
              <w:ind w:right="220"/>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3,282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3,364</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1,664</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356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978</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686</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interest and other expense, net</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298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dividends declared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0.50</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21"/>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83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CCEEFF"/>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511</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loss on derivative contracts and available-for-sale securities</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other comprehensive loss, before tax</w:t>
            </w: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related to items of other comprehensive loss, before tax</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8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1060" w:type="dxa"/>
            <w:vAlign w:val="bottom"/>
            <w:tcBorders>
              <w:bottom w:val="single" w:sz="8" w:color="CCEEFF"/>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06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Write-off of issuance costs and amortization of debt discounts</w:t>
            </w:r>
          </w:p>
        </w:tc>
        <w:tc>
          <w:tcPr>
            <w:tcW w:w="106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operating activities, net</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w:t>
            </w: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106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 to related parties</w:t>
            </w:r>
          </w:p>
        </w:tc>
        <w:tc>
          <w:tcPr>
            <w:tcW w:w="106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compensation</w:t>
            </w:r>
          </w:p>
        </w:tc>
        <w:tc>
          <w:tcPr>
            <w:tcW w:w="106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 and liabilities, net</w:t>
            </w:r>
          </w:p>
        </w:tc>
        <w:tc>
          <w:tcPr>
            <w:tcW w:w="10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1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106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net of cash acquired</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1060" w:type="dxa"/>
            <w:vAlign w:val="bottom"/>
          </w:tcPr>
          <w:p>
            <w:pPr>
              <w:spacing w:after="0"/>
              <w:rPr>
                <w:sz w:val="22"/>
                <w:szCs w:val="2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10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1060" w:type="dxa"/>
            <w:vAlign w:val="bottom"/>
          </w:tcPr>
          <w:p>
            <w:pPr>
              <w:spacing w:after="0"/>
              <w:rPr>
                <w:sz w:val="22"/>
                <w:szCs w:val="2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106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Strategic investments and other, net</w:t>
            </w:r>
          </w:p>
        </w:tc>
        <w:tc>
          <w:tcPr>
            <w:tcW w:w="10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provided by (used in) investing activities</w:t>
            </w:r>
          </w:p>
        </w:tc>
        <w:tc>
          <w:tcPr>
            <w:tcW w:w="1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Issuance of stock under employee stock plans</w:t>
            </w:r>
          </w:p>
        </w:tc>
        <w:tc>
          <w:tcPr>
            <w:tcW w:w="106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paid on vested stock awards under employee stock plans</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Repurchases of common stock</w:t>
            </w:r>
          </w:p>
        </w:tc>
        <w:tc>
          <w:tcPr>
            <w:tcW w:w="1060" w:type="dxa"/>
            <w:vAlign w:val="bottom"/>
          </w:tcPr>
          <w:p>
            <w:pPr>
              <w:spacing w:after="0"/>
              <w:rPr>
                <w:sz w:val="22"/>
                <w:szCs w:val="2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 to shareholders</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Repayment of debt</w:t>
            </w:r>
          </w:p>
        </w:tc>
        <w:tc>
          <w:tcPr>
            <w:tcW w:w="10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financing activities</w:t>
            </w:r>
          </w:p>
        </w:tc>
        <w:tc>
          <w:tcPr>
            <w:tcW w:w="10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1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10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3,455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3,248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4,646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 of cash flow information:</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income taxes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3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65"/>
        </w:trPr>
        <w:tc>
          <w:tcPr>
            <w:tcW w:w="230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28, 2019</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3,851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9,967</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Adoption of New Accounting</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Standard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7"/>
        </w:trPr>
        <w:tc>
          <w:tcPr>
            <w:tcW w:w="230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unrealized loss on derivative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contracts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Balance at October 4, 2019</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7,012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9,566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3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65"/>
        </w:trPr>
        <w:tc>
          <w:tcPr>
            <w:tcW w:w="230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29, 2018</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8,757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Adoption of New Accounting</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Standards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57"/>
        </w:trPr>
        <w:tc>
          <w:tcPr>
            <w:tcW w:w="230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43"/>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September 28, 2018</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11,375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ind w:left="300" w:right="270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188"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Company’s broad portfolio of technology and products address the following key end markets: Client Devices; Data Center Devices and Solutions; and Client Solutions. It also generates license and royalty revenue from its extensive intellectual property (“IP”), which is included in each of these three end market categories.</w:t>
      </w:r>
    </w:p>
    <w:p>
      <w:pPr>
        <w:spacing w:after="0" w:line="181"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 xml:space="preserve">The accounting policies followed by the Company are set forth in Part II, Item 8, Note 1, </w:t>
      </w:r>
      <w:r>
        <w:rPr>
          <w:rFonts w:ascii="Arial" w:cs="Arial" w:eastAsia="Arial" w:hAnsi="Arial"/>
          <w:sz w:val="17"/>
          <w:szCs w:val="17"/>
          <w:i w:val="1"/>
          <w:iCs w:val="1"/>
          <w:color w:val="auto"/>
        </w:rPr>
        <w:t>Organization and Basis of Presentation,</w:t>
      </w:r>
      <w:r>
        <w:rPr>
          <w:rFonts w:ascii="Arial" w:cs="Arial" w:eastAsia="Arial" w:hAnsi="Arial"/>
          <w:sz w:val="17"/>
          <w:szCs w:val="17"/>
          <w:color w:val="auto"/>
        </w:rPr>
        <w:t xml:space="preserve"> of the Notes to Consolidated Financial Statements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28, 2019.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28, 2019. The results of operations for interim periods are not necessarily indicative of results to be expected for the full year.</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 2020, which ends on July 3, 2020, will be comprised of 53 weeks, with the first quarter consisting of 14 weeks and the remaining quarters consisting of 13 weeks each. Fiscal year 2019, which ended on June 28, 2019, was comprised of 52 weeks, with all quarters presented consisting of 13 weeks.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25"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No. 2016-02, “Leases (Topic 842)” (“ASU 2016-02”). ASU 2016-02 supersedes ASC 840 “Leases”. The amendments in this update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the direct use of, a specified asset for the lease term. The FASB issued ASU 2018-11 on July 30, 2018, which allows entities to apply the provisions of ASC 842 at the effective date without adjusting comparative periods. The Company adopted this standard effective June 29, 2019, the first day of the fiscal year ending July 3, 2020, and has elected the transition method provided in ASU 2018-11 to apply Topic 842 as of the date of adoption without adjusting comparative periods. The Company has elected the package of practical expedients and did not reassess prior conclusions including (a) whether its contracts are or contain a lease, (b) lease classification and (c) capitalization of initial direct costs. The adoption of Topic 842 resulted in an increase in lease assets and a corresponding increase in lease liabilities on the Condensed Consolidated Balance Sheet of $221 million. The cumulative effect of adopting Topic 842 also included an after-tax decrease to opening retained earnings of $5 million as of June 29, 2019, which was primarily related to previously recorded sublease proceeds on lease exit liabilities for which there was no expected future economic benefit at transition. See Note 10, </w:t>
      </w:r>
      <w:r>
        <w:rPr>
          <w:rFonts w:ascii="Arial" w:cs="Arial" w:eastAsia="Arial" w:hAnsi="Arial"/>
          <w:sz w:val="16"/>
          <w:szCs w:val="16"/>
          <w:i w:val="1"/>
          <w:iCs w:val="1"/>
          <w:color w:val="auto"/>
        </w:rPr>
        <w:t>Leases and Other Commitments</w:t>
      </w:r>
      <w:r>
        <w:rPr>
          <w:rFonts w:ascii="Arial" w:cs="Arial" w:eastAsia="Arial" w:hAnsi="Arial"/>
          <w:sz w:val="16"/>
          <w:szCs w:val="16"/>
          <w:color w:val="auto"/>
        </w:rPr>
        <w:t>, for additional disclosures related to this standard.</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October 2018, the FASB issued ASU No. 2018-16, “Derivatives and Hedging (Topic 815): Inclusion of the Secured Overnight Financing Rate (SOFR) Overnight Index Swap (OIS) Rate as a Benchmark Interest Rate for Hedge Accounting Purposes” (“ASU 2018-16”). ASU 2018-16 allows for the use of the OIS rate based on the SOFR as a U.S. benchmark interest rate for hedge accounting purposes under Topic 815, Derivatives and Hedging. The Company adopted this standard in the first quarter of 2020. The Company’s adoption of ASU 2018-16 did not have a material impact on its Condensed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 606” (“ASU 2018-18”). ASU 2018-18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requires retrospective adoption to the date the Company adopted ASC 606 by recognizing a cumulative-effect adjustment to the opening balance of retained earnings of the earliest annual period presented. The amendments are effective for fiscal years, and interim periods within those fiscal years, beginning after December 15, 2019, which for the Company is the first quarter of fiscal 2021. The Company does not expect this update to have a material impact on its Condensed Consolidated Financial Statements.</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is currently evaluating the impact this update will have on its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Revenues</w:t>
      </w:r>
    </w:p>
    <w:p>
      <w:pPr>
        <w:spacing w:after="0" w:line="229"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Contract assets represent the Company’s rights to consideration where performance obligations are completed but the customer payments are not due until another performance obligation is satisfied. The Company did not have any contract assets as of either October 4, 2019 or June 28, 2019.</w:t>
      </w:r>
    </w:p>
    <w:p>
      <w:pPr>
        <w:spacing w:after="0" w:line="12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as of October 4, 2019 and June 28, 2019 as well as the related amortization for the three months ended October 4, 2019 and September 28, 2018 were not material.</w:t>
      </w:r>
    </w:p>
    <w:p>
      <w:pPr>
        <w:spacing w:after="0" w:line="17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Contract liabilities relate to customers’ payments in advance of performance under the contract and primarily relate to remaining performance obligations under support and maintenance contracts. As of October 4, 2019 and June 28, 2019, contract liabilities were not material.</w:t>
      </w:r>
    </w:p>
    <w:p>
      <w:pPr>
        <w:spacing w:after="0" w:line="147" w:lineRule="exact"/>
        <w:rPr>
          <w:sz w:val="20"/>
          <w:szCs w:val="20"/>
          <w:color w:val="auto"/>
        </w:rPr>
      </w:pPr>
    </w:p>
    <w:p>
      <w:pPr>
        <w:ind w:right="360" w:firstLine="324"/>
        <w:spacing w:after="0" w:line="285" w:lineRule="auto"/>
        <w:rPr>
          <w:sz w:val="20"/>
          <w:szCs w:val="20"/>
          <w:color w:val="auto"/>
        </w:rPr>
      </w:pPr>
      <w:r>
        <w:rPr>
          <w:rFonts w:ascii="Arial" w:cs="Arial" w:eastAsia="Arial" w:hAnsi="Arial"/>
          <w:sz w:val="16"/>
          <w:szCs w:val="16"/>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October 4, 2019 was</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$182 million, which is mainly attributable to the functional IP license and service arrangements. The Company expects to recognize this amount as revenue as follows: $50 million during the remainder of fiscal 2020, $50 million in fiscal 2021, $45 million in fiscal 2022 and $37 million thereafter.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2"/>
              </w:rPr>
              <w:t>Three Months Ended</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20" w:type="dxa"/>
            <w:vAlign w:val="bottom"/>
            <w:gridSpan w:val="3"/>
          </w:tcPr>
          <w:p>
            <w:pPr>
              <w:ind w:left="420"/>
              <w:spacing w:after="0" w:line="153" w:lineRule="exact"/>
              <w:rPr>
                <w:sz w:val="20"/>
                <w:szCs w:val="20"/>
                <w:color w:val="auto"/>
              </w:rPr>
            </w:pPr>
            <w:r>
              <w:rPr>
                <w:rFonts w:ascii="Arial" w:cs="Arial" w:eastAsia="Arial" w:hAnsi="Arial"/>
                <w:sz w:val="14"/>
                <w:szCs w:val="14"/>
                <w:b w:val="1"/>
                <w:bCs w:val="1"/>
                <w:color w:val="auto"/>
              </w:rPr>
              <w:t>October 4,</w:t>
            </w:r>
          </w:p>
        </w:tc>
        <w:tc>
          <w:tcPr>
            <w:tcW w:w="146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September 28, 2018</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millions, except percentages)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by Product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Hard disk drives (“HDD”)</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20"/>
                <w:szCs w:val="20"/>
                <w:color w:val="auto"/>
              </w:rPr>
            </w:pPr>
          </w:p>
        </w:tc>
        <w:tc>
          <w:tcPr>
            <w:tcW w:w="920" w:type="dxa"/>
            <w:vAlign w:val="bottom"/>
          </w:tcPr>
          <w:p>
            <w:pPr>
              <w:jc w:val="right"/>
              <w:ind w:right="74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2,494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Flash-based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1,632</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4,040</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5,028</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Revenue by End Market</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Devices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Data Center Devices &amp; Solutions</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1,532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Solutions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4,040</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5,028</w:t>
            </w:r>
          </w:p>
        </w:tc>
        <w:tc>
          <w:tcPr>
            <w:tcW w:w="0" w:type="dxa"/>
            <w:vAlign w:val="bottom"/>
          </w:tcPr>
          <w:p>
            <w:pPr>
              <w:spacing w:after="0"/>
              <w:rPr>
                <w:sz w:val="1"/>
                <w:szCs w:val="1"/>
                <w:color w:val="auto"/>
              </w:rPr>
            </w:pPr>
          </w:p>
        </w:tc>
      </w:tr>
      <w:tr>
        <w:trPr>
          <w:trHeight w:val="284"/>
        </w:trPr>
        <w:tc>
          <w:tcPr>
            <w:tcW w:w="8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Revenue by Geography</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Americas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Europe, Middle East and Africa</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1,948</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2,863</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4,040</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5,028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For the three months ended October 4, 2019, one customer accounted for 11% of the Company’s net revenue and for the three months ended September 28, 2018, two customers accounted for 11% and 10%, respectively, of the Company’s net revenue. For the three months ended October 4, 2019 and September 28, 2018, the Company’s top 10 customers accounted for 43% and 48% of its net revenue,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Supplemental Financial Statement Data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From time to time, in connection with factoring agreements, the Company sells trade accounts receivable without recourse to third party purchasers in exchange for cash. During the three months ended October 4, 2019 and September 28, 2018, the Company sold trade accounts receivable and received cash proceeds of $85 million and $243 million, respectively. The discounts on the trade accounts receivable sold during the periods were not material and were recorded within Other income (expense), net in the Condensed Consolidated Financial Statements. As of October 4, 2019 and June 28, 2019, the amount of factored receivables that remained outstanding was $85 million and $318 million, respectively.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4,</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Raw materials and component parts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1,142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Work-in-process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968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1,173</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inventories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3,287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3,283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4,</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294</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Buildings and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7,184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7,267</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Computer equipment and software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Furniture and fixtures</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Construction-in-process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gross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9,956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10,003</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2,796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2,843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7"/>
              </w:rPr>
              <w:t>Carrying Amount</w:t>
            </w:r>
          </w:p>
        </w:tc>
      </w:tr>
      <w:tr>
        <w:trPr>
          <w:trHeight w:val="190"/>
        </w:trPr>
        <w:tc>
          <w:tcPr>
            <w:tcW w:w="9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03"/>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9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28,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10,076</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Goodwill recorded in connection with an acquisition</w:t>
            </w:r>
          </w:p>
        </w:tc>
        <w:tc>
          <w:tcPr>
            <w:tcW w:w="16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14</w:t>
            </w:r>
          </w:p>
        </w:tc>
      </w:tr>
      <w:tr>
        <w:trPr>
          <w:trHeight w:val="33"/>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October 4,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10,090</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September 10, 2019, the Company acquired substantially all the assets of Kazan Networks, Inc., an innovator in high-performance networking and non-volatile memory express over fabrics technology ("NVMe-oF"), and an industry leader in application-specific integrated circuit and adapter solutions to connect storage platforms and systems over ethernet fabrics. The purchase price of this acquisition was $22 million in cash, with net assets acquired primarily consisting of in-process research and development (“IPR&amp;D”) of $8 million and $14 million allocated to goodwill. Goodwill is primarily attributable to the benefits the Company expects to derive from diversifying product offerings in its Data Center Devices and Solutions and Client Solutions end markets as well as the acquired workforce. During the three months ended October 4, 2019, the expenses incurred by the Company related to the acquisition were not material. Revenues and earnings related to this acquisition were not material.</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4,</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Finite-lived intangible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5,824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72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1,514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1,711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As part of prior acquisitions, the Company recorded at the time of the acquisition acquired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September 28,</w:t>
            </w:r>
          </w:p>
        </w:tc>
      </w:t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89"/>
              </w:rPr>
              <w:t>2018</w:t>
            </w:r>
          </w:p>
        </w:tc>
      </w:tr>
      <w:tr>
        <w:trPr>
          <w:trHeight w:val="190"/>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gridSpan w:val="3"/>
          </w:tcPr>
          <w:p>
            <w:pPr>
              <w:jc w:val="right"/>
              <w:ind w:right="222"/>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beginning of period</w:t>
            </w:r>
          </w:p>
        </w:tc>
        <w:tc>
          <w:tcPr>
            <w:tcW w:w="1100" w:type="dxa"/>
            <w:vAlign w:val="bottom"/>
            <w:tcBorders>
              <w:bottom w:val="single" w:sz="8" w:color="CCEEFF"/>
            </w:tcBorders>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Charges to operations</w:t>
            </w:r>
          </w:p>
        </w:tc>
        <w:tc>
          <w:tcPr>
            <w:tcW w:w="110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33"/>
        </w:trPr>
        <w:tc>
          <w:tcPr>
            <w:tcW w:w="8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Utilization</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Changes in estimate related to pre-existing warranties</w:t>
            </w:r>
          </w:p>
        </w:tc>
        <w:tc>
          <w:tcPr>
            <w:tcW w:w="110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end of period</w:t>
            </w:r>
          </w:p>
        </w:tc>
        <w:tc>
          <w:tcPr>
            <w:tcW w:w="1100" w:type="dxa"/>
            <w:vAlign w:val="bottom"/>
            <w:tcBorders>
              <w:bottom w:val="single" w:sz="8" w:color="CCEEFF"/>
            </w:tcBorders>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October 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(included in Accrued expenses)</w:t>
            </w:r>
          </w:p>
        </w:tc>
        <w:tc>
          <w:tcPr>
            <w:tcW w:w="1100" w:type="dxa"/>
            <w:vAlign w:val="bottom"/>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w w:val="97"/>
              </w:rPr>
              <w:t>182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188</w:t>
            </w:r>
          </w:p>
        </w:tc>
      </w:tr>
      <w:tr>
        <w:trPr>
          <w:trHeight w:val="33"/>
        </w:trPr>
        <w:tc>
          <w:tcPr>
            <w:tcW w:w="8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portion (included in Other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warranty accrual</w:t>
            </w:r>
          </w:p>
        </w:tc>
        <w:tc>
          <w:tcPr>
            <w:tcW w:w="110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97"/>
              </w:rPr>
              <w:t>357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350</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4,</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Non-current net tax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928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Payables related to unrecognized tax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713</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non-current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2,465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2,340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Other comprehensive income (loss)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Actuarial Pension</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4"/>
                <w:szCs w:val="14"/>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(Losses) on Derivative</w:t>
            </w:r>
          </w:p>
        </w:tc>
        <w:tc>
          <w:tcPr>
            <w:tcW w:w="12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Gains (Losses)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5"/>
          </w:tcPr>
          <w:p>
            <w:pPr>
              <w:ind w:left="10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28, 2019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3"/>
              </w:rPr>
              <w:t>Amounts reclassified from accumulated 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5160" w:type="dxa"/>
            <w:vAlign w:val="bottom"/>
          </w:tcPr>
          <w:p>
            <w:pPr>
              <w:ind w:left="180"/>
              <w:spacing w:after="0"/>
              <w:rPr>
                <w:sz w:val="20"/>
                <w:szCs w:val="20"/>
                <w:color w:val="auto"/>
              </w:rPr>
            </w:pPr>
            <w:r>
              <w:rPr>
                <w:rFonts w:ascii="Arial" w:cs="Arial" w:eastAsia="Arial" w:hAnsi="Arial"/>
                <w:sz w:val="16"/>
                <w:szCs w:val="16"/>
                <w:color w:val="auto"/>
              </w:rPr>
              <w:t>Income tax benefit (expense) related to items of other comprehensive</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180"/>
              <w:spacing w:after="0"/>
              <w:rPr>
                <w:sz w:val="20"/>
                <w:szCs w:val="20"/>
                <w:color w:val="auto"/>
              </w:rPr>
            </w:pPr>
            <w:r>
              <w:rPr>
                <w:rFonts w:ascii="Arial" w:cs="Arial" w:eastAsia="Arial" w:hAnsi="Arial"/>
                <w:sz w:val="16"/>
                <w:szCs w:val="16"/>
                <w:color w:val="auto"/>
              </w:rPr>
              <w:t>income (loss)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current-period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Balance at October 4,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During the three months ended October 4, 2019 and September 28, 2018, the amounts reclassified out of AOCI related to derivative contracts were not material and substantially all were charged to Cost of revenue in the Condensed Consolidated Statements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Fair Value Measurements and Investments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4, 2019 and June 28, 2019,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561"/>
              <w:spacing w:after="0"/>
              <w:rPr>
                <w:sz w:val="20"/>
                <w:szCs w:val="20"/>
                <w:color w:val="auto"/>
              </w:rPr>
            </w:pPr>
            <w:r>
              <w:rPr>
                <w:rFonts w:ascii="Arial" w:cs="Arial" w:eastAsia="Arial" w:hAnsi="Arial"/>
                <w:sz w:val="14"/>
                <w:szCs w:val="14"/>
                <w:b w:val="1"/>
                <w:bCs w:val="1"/>
                <w:color w:val="auto"/>
                <w:w w:val="92"/>
              </w:rPr>
              <w:t>October 4, 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3"/>
          </w:tcPr>
          <w:p>
            <w:pPr>
              <w:jc w:val="center"/>
              <w:ind w:right="56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 - Money market funds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0"/>
                <w:szCs w:val="20"/>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889</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911</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96"/>
        </w:trPr>
        <w:tc>
          <w:tcPr>
            <w:tcW w:w="5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561"/>
              <w:spacing w:after="0"/>
              <w:rPr>
                <w:sz w:val="20"/>
                <w:szCs w:val="20"/>
                <w:color w:val="auto"/>
              </w:rPr>
            </w:pPr>
            <w:r>
              <w:rPr>
                <w:rFonts w:ascii="Arial" w:cs="Arial" w:eastAsia="Arial" w:hAnsi="Arial"/>
                <w:sz w:val="14"/>
                <w:szCs w:val="14"/>
                <w:b w:val="1"/>
                <w:bCs w:val="1"/>
                <w:color w:val="auto"/>
                <w:w w:val="92"/>
              </w:rPr>
              <w:t>June 28, 2019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3"/>
          </w:tcPr>
          <w:p>
            <w:pPr>
              <w:jc w:val="center"/>
              <w:ind w:right="56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1,388</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1,405</w:t>
            </w: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1,388</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1,451</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40" w:type="dxa"/>
            <w:vAlign w:val="bottom"/>
            <w:gridSpan w:val="2"/>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500" w:type="dxa"/>
            <w:vAlign w:val="bottom"/>
            <w:gridSpan w:val="2"/>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October 4, 2019 and September 28, 2018, the Company had no transfers of financial assets and liabilities between levels.</w:t>
      </w:r>
    </w:p>
    <w:p>
      <w:pPr>
        <w:sectPr>
          <w:pgSz w:w="11900" w:h="16838" w:orient="portrait"/>
          <w:cols w:equalWidth="0" w:num="1">
            <w:col w:w="11420"/>
          </w:cols>
          <w:pgMar w:left="240" w:top="125"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first quarter of 2020 and the fourth quarter of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4, 2019</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28, 2019</w:t>
            </w:r>
          </w:p>
        </w:tc>
        <w:tc>
          <w:tcPr>
            <w:tcW w:w="100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3"/>
                <w:szCs w:val="13"/>
                <w:color w:val="auto"/>
              </w:rPr>
            </w:pPr>
          </w:p>
        </w:tc>
        <w:tc>
          <w:tcPr>
            <w:tcW w:w="112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000" w:type="dxa"/>
            <w:vAlign w:val="bottom"/>
          </w:tcPr>
          <w:p>
            <w:pPr>
              <w:jc w:val="right"/>
              <w:ind w:right="521"/>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Value</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4,762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4,774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4,824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4,780</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2,370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1.50% convertible notes due 2024</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986</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4.750% senior unsecured notes due 2026</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2,351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2,263</w:t>
            </w:r>
          </w:p>
        </w:tc>
      </w:tr>
      <w:tr>
        <w:trPr>
          <w:trHeight w:val="244"/>
        </w:trPr>
        <w:tc>
          <w:tcPr>
            <w:tcW w:w="5160" w:type="dxa"/>
            <w:vAlign w:val="bottom"/>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10,212</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10,383</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10,522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10,430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October 4, 2019,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w:t>
      </w:r>
    </w:p>
    <w:p>
      <w:pPr>
        <w:spacing w:after="0" w:line="18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As of October 4, 2019, the amount of existing net losses related to cash flow hedges recorded in AOCI included $70 million related to the Company’s interest rate swaps that is expected to be reclassified to earnings after twelve months. In addition, as of October 4, 2019, the Company did not have any foreign exchange forward contracts with credit-risk-related contingent features.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(expense), net and are largely offset by corresponding changes in the fair values of the foreign currency denominated monetary assets and liabilities. For each of the three months ended October 4, 2019 and September 28, 2018, total net realized and unrealized transaction and foreign exchange contract currency gains and losses were not material to the Company’s Condensed Consolidated Financial Statements.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October 4, 2019 and June 28, 2019, the effect of rights of offset was not material and the Company did not offset or net the fair value amounts of derivative instruments in its Condensed Consolidated Balance Sheets.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7520" w:type="dxa"/>
            <w:vAlign w:val="bottom"/>
          </w:tcPr>
          <w:p>
            <w:pPr>
              <w:jc w:val="center"/>
              <w:ind w:right="7070"/>
              <w:spacing w:after="0"/>
              <w:rPr>
                <w:sz w:val="20"/>
                <w:szCs w:val="20"/>
                <w:color w:val="auto"/>
              </w:rPr>
            </w:pPr>
            <w:r>
              <w:rPr>
                <w:rFonts w:ascii="Arial" w:cs="Arial" w:eastAsia="Arial" w:hAnsi="Arial"/>
                <w:sz w:val="18"/>
                <w:szCs w:val="18"/>
                <w:b w:val="1"/>
                <w:bCs w:val="1"/>
                <w:color w:val="auto"/>
                <w:w w:val="89"/>
              </w:rPr>
              <w:t>Debt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Debt consisted of the following as of October 4, 2019 and June 28, 2019:</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4,</w:t>
            </w:r>
          </w:p>
        </w:tc>
        <w:tc>
          <w:tcPr>
            <w:tcW w:w="38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50"/>
        </w:trPr>
        <w:tc>
          <w:tcPr>
            <w:tcW w:w="8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Revolving credit facility maturing 2023</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2,168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2,425</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1.50% convertible notes due 2024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1,100</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4.750% senior unsecured notes due 2026</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2,300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2,300</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debt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10,374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10,694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Issuance costs and debt discounts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88"/>
              </w:rPr>
              <w:t>Subtotal</w:t>
            </w:r>
          </w:p>
        </w:tc>
        <w:tc>
          <w:tcPr>
            <w:tcW w:w="75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10,212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10,522</w:t>
            </w: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Less current portion of long-term debt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jc w:val="center"/>
              <w:ind w:right="6250"/>
              <w:spacing w:after="0"/>
              <w:rPr>
                <w:sz w:val="20"/>
                <w:szCs w:val="20"/>
                <w:color w:val="auto"/>
              </w:rPr>
            </w:pPr>
            <w:r>
              <w:rPr>
                <w:rFonts w:ascii="Arial" w:cs="Arial" w:eastAsia="Arial" w:hAnsi="Arial"/>
                <w:sz w:val="16"/>
                <w:szCs w:val="16"/>
                <w:color w:val="auto"/>
                <w:w w:val="92"/>
              </w:rPr>
              <w:t>Long-term debt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9,961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10,246</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The credit agreement governing the revolving credit facility and Term Loan A-1 requires the Company to comply with certain financial covenants, consisting of a leverage ratio and an interest coverage ratio. As of October 4, 2019, the Company was in compliance with these financial covenants.</w:t>
      </w:r>
    </w:p>
    <w:p>
      <w:pPr>
        <w:spacing w:after="0" w:line="12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During the three months ended October 4, 2019, the Company made a voluntary prepayment of $250 million on its U.S. Term Loan B-4, which was applied toward the remaining scheduled amortization and the remainder towards the principal due at maturity. As of October 4, 2019, there are no longer any scheduled amortization payments due under the U.S. Term Loan B-4 prior to its maturity on April 29, 2023.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Condensed Consolidated Financial Statements. The expected long-term rate of return on the Japanese Plan assets is 2.5%.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October 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obligations</w:t>
            </w: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w w:val="97"/>
              </w:rPr>
              <w:t>211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208</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Unfunded status</w:t>
            </w: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72</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the unfunded amounts related to the Japanese Plan as recognized on the Company’s Condensed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October 4,</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120" w:type="dxa"/>
            <w:vAlign w:val="bottom"/>
            <w:tcBorders>
              <w:bottom w:val="single" w:sz="8" w:color="CCEEFF"/>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120" w:type="dxa"/>
            <w:vAlign w:val="bottom"/>
          </w:tcPr>
          <w:p>
            <w:pPr>
              <w:spacing w:after="0"/>
              <w:rPr>
                <w:sz w:val="20"/>
                <w:szCs w:val="20"/>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71</w:t>
            </w:r>
          </w:p>
        </w:tc>
      </w:tr>
      <w:tr>
        <w:trPr>
          <w:trHeight w:val="33"/>
        </w:trPr>
        <w:tc>
          <w:tcPr>
            <w:tcW w:w="8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recognized</w:t>
            </w: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72</w:t>
            </w:r>
          </w:p>
        </w:tc>
      </w:tr>
      <w:tr>
        <w:trPr>
          <w:trHeight w:val="20"/>
        </w:trPr>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costs were not material for the three months ended October 4, 2019 or September 28,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Related Parties and Related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Company’s business ventures with Kioxia Corporation (formerly known as Toshiba Memory Corporation) (“Kioxia”) consist of three separate legal entities: Flash Partners Ltd. (“Flash Partners”), Flash Alliance Ltd. (“Flash Alliance”), and Flash Forward Ltd. (“Flash Forward”), collectively referred to as “Flash Ventures”.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notes receivable from, and equity investments in, Flash Ventures as of October 4, 2019 and June 28,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4,</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878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200</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123</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notes receivable and investments in Flash Ventures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2,629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2,791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During the three months ended October 4, 2019 and September 28, 2018, the Company made net payments to Flash Ventures of $682 million and $744 million, respectively, for purchased flash-based memory wafers and net loans and investments.</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54"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As of October 4, 2019 and June 28, 2019, the Company had accounts payable balances due to Flash Ventures of $507 million and $331 million, respectively.</w:t>
      </w:r>
    </w:p>
    <w:p>
      <w:pPr>
        <w:spacing w:after="0" w:line="170"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October 4, 2019, is presented below. Investments in Flash Ventures are denominated in Japanese yen, and the maximum estimable loss exposure excludes any cumulative translation adjustment due to revaluation from the Japanese yen to the U.S. dollar.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62"/>
              <w:spacing w:after="0"/>
              <w:rPr>
                <w:sz w:val="20"/>
                <w:szCs w:val="20"/>
                <w:color w:val="auto"/>
              </w:rPr>
            </w:pPr>
            <w:r>
              <w:rPr>
                <w:rFonts w:ascii="Arial" w:cs="Arial" w:eastAsia="Arial" w:hAnsi="Arial"/>
                <w:sz w:val="14"/>
                <w:szCs w:val="14"/>
                <w:b w:val="1"/>
                <w:bCs w:val="1"/>
                <w:color w:val="auto"/>
              </w:rPr>
              <w:t>October 4,</w:t>
            </w:r>
          </w:p>
        </w:tc>
      </w:tr>
      <w:tr>
        <w:trPr>
          <w:trHeight w:val="192"/>
        </w:trPr>
        <w:tc>
          <w:tcPr>
            <w:tcW w:w="9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r>
      <w:tr>
        <w:trPr>
          <w:trHeight w:val="283"/>
        </w:trPr>
        <w:tc>
          <w:tcPr>
            <w:tcW w:w="9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2,004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26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625</w:t>
            </w:r>
          </w:p>
        </w:tc>
      </w:tr>
      <w:tr>
        <w:trPr>
          <w:trHeight w:val="33"/>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1,694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Inventory and prepayments</w:t>
            </w:r>
          </w:p>
        </w:tc>
        <w:tc>
          <w:tcPr>
            <w:tcW w:w="26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359</w:t>
            </w:r>
          </w:p>
        </w:tc>
      </w:tr>
      <w:tr>
        <w:trPr>
          <w:trHeight w:val="33"/>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Maximum estimable loss exposure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4,682</w:t>
            </w:r>
          </w:p>
        </w:tc>
      </w:tr>
      <w:tr>
        <w:trPr>
          <w:trHeight w:val="20"/>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is obligated to pay for variable costs incurred in producing its share of Flash Ventures’ flash-based memory wafer supply, based on its three 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193"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In June 2019, an unexpected power outage incident occurred at the flash-based memory manufacturing facilities operated by Flash Ventures in Yokkaichi, Japan. The power outage incident impacted the facilities and process tools and resulted in the damage of flash wafers in production and a reduction in the Company’s flash wafer availability. For the three months ended October 4, 2019, the Company incurred charges of $68 million recorded in cost of revenue as a result of this incident, which amount primarily consisted of unabsorbed manufacturing overhead costs. The Company is pursuing recovery of its losses associated with this event; however, the amount of any recovery cannot be estimated at this time.</w:t>
      </w:r>
    </w:p>
    <w:p>
      <w:pPr>
        <w:spacing w:after="0" w:line="17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May 2019, the Company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Output from the initial production line at K1 is expected in the second half of fiscal year 2020. Meaningful output from K1 is not expected to begin until the first half of fiscal year 2021. The Company committed to pay, among other items, future building depreciation prepayments of approximately $360 million over a 3-year period beginning in the first half of fiscal year 2020 toward K1 building depreciation, to be credited against future wafer charges.</w:t>
      </w:r>
    </w:p>
    <w:p>
      <w:pPr>
        <w:spacing w:after="0" w:line="19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 xml:space="preserve">Research and Development Activities. </w:t>
      </w:r>
      <w:r>
        <w:rPr>
          <w:rFonts w:ascii="Arial" w:cs="Arial" w:eastAsia="Arial" w:hAnsi="Arial"/>
          <w:sz w:val="18"/>
          <w:szCs w:val="18"/>
          <w:color w:val="auto"/>
        </w:rPr>
        <w:t>The Company participates in common R&amp;D activities with Kioxia and is contractually committed to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level. R&amp;D commitments are immaterial to the Condensed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October 4,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Lease Amounts</w:t>
            </w:r>
          </w:p>
        </w:tc>
        <w:tc>
          <w:tcPr>
            <w:tcW w:w="78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181</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1,694</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October 4, 2019 in U.S. dollars, based upon the Japanese yen to U.S. dollar exchange rate as of October 4,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Purchase Option</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9"/>
        </w:trPr>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Payment of Principal</w:t>
            </w: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Exercise Price at Final</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88"/>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Annual Installments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88"/>
              </w:rPr>
              <w:t>Lease Terms</w:t>
            </w:r>
          </w:p>
        </w:tc>
        <w:tc>
          <w:tcPr>
            <w:tcW w:w="140" w:type="dxa"/>
            <w:vAlign w:val="bottom"/>
          </w:tcPr>
          <w:p>
            <w:pPr>
              <w:spacing w:after="0"/>
              <w:rPr>
                <w:sz w:val="16"/>
                <w:szCs w:val="16"/>
                <w:color w:val="auto"/>
              </w:rPr>
            </w:pPr>
          </w:p>
        </w:tc>
        <w:tc>
          <w:tcPr>
            <w:tcW w:w="1320" w:type="dxa"/>
            <w:vAlign w:val="bottom"/>
          </w:tcPr>
          <w:p>
            <w:pPr>
              <w:jc w:val="right"/>
              <w:ind w:right="100"/>
              <w:spacing w:after="0"/>
              <w:rPr>
                <w:sz w:val="20"/>
                <w:szCs w:val="20"/>
                <w:color w:val="auto"/>
              </w:rPr>
            </w:pPr>
            <w:r>
              <w:rPr>
                <w:rFonts w:ascii="Arial" w:cs="Arial" w:eastAsia="Arial" w:hAnsi="Arial"/>
                <w:sz w:val="14"/>
                <w:szCs w:val="14"/>
                <w:color w:val="auto"/>
                <w:w w:val="94"/>
              </w:rPr>
              <w:t>Guarantee Amount</w:t>
            </w: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w w:val="98"/>
              </w:rPr>
              <w:t>(in millions)</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Remaining nine months of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479</w:t>
            </w: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244</w:t>
            </w: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guarantee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1,694</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October 4, 2019, no amounts have been accrued in the Condensed Consolidated Financial Statements with respect to these indemnification agreements.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Unis Venture</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three months ended October 4, 2019 and September 28, 2018, the Company recognized approximately 1% of its consolidated revenue on products distributed by the Unis Venture. The outstanding accounts receivable due from and investment in the Unis Venture were not material to the Condensed Consolidated Financial Statements as of October 4, 2019 or June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Leases and Other Commitments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Company leases certain domestic and international facilities and data center space under long-term, non-cancelable operating leases that expire at various dates through 2034. These leases include no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that option. Lease expense is recognized on a straight-line basis over the lease term. The following table summarizes supplemental balance sheet information related to operating leases as of October 4,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7"/>
              </w:rPr>
              <w:t>Lease Amounts</w:t>
            </w:r>
          </w:p>
        </w:tc>
      </w:tr>
      <w:tr>
        <w:trPr>
          <w:trHeight w:val="237"/>
        </w:trPr>
        <w:tc>
          <w:tcPr>
            <w:tcW w:w="9900" w:type="dxa"/>
            <w:vAlign w:val="bottom"/>
          </w:tcPr>
          <w:p>
            <w:pPr>
              <w:ind w:left="40"/>
              <w:spacing w:after="0"/>
              <w:rPr>
                <w:sz w:val="20"/>
                <w:szCs w:val="20"/>
                <w:color w:val="auto"/>
              </w:rPr>
            </w:pPr>
            <w:r>
              <w:rPr>
                <w:rFonts w:ascii="Arial" w:cs="Arial" w:eastAsia="Arial" w:hAnsi="Arial"/>
                <w:sz w:val="16"/>
                <w:szCs w:val="16"/>
                <w:color w:val="auto"/>
              </w:rPr>
              <w:t>Minimum lease payments by fiscal year:</w:t>
            </w:r>
          </w:p>
        </w:tc>
        <w:tc>
          <w:tcPr>
            <w:tcW w:w="200" w:type="dxa"/>
            <w:vAlign w:val="bottom"/>
          </w:tcPr>
          <w:p>
            <w:pPr>
              <w:spacing w:after="0"/>
              <w:rPr>
                <w:sz w:val="20"/>
                <w:szCs w:val="20"/>
                <w:color w:val="auto"/>
              </w:rPr>
            </w:pPr>
          </w:p>
        </w:tc>
        <w:tc>
          <w:tcPr>
            <w:tcW w:w="1320" w:type="dxa"/>
            <w:vAlign w:val="bottom"/>
          </w:tcPr>
          <w:p>
            <w:pPr>
              <w:jc w:val="right"/>
              <w:ind w:right="320"/>
              <w:spacing w:after="0"/>
              <w:rPr>
                <w:sz w:val="20"/>
                <w:szCs w:val="20"/>
                <w:color w:val="auto"/>
              </w:rPr>
            </w:pPr>
            <w:r>
              <w:rPr>
                <w:rFonts w:ascii="Arial" w:cs="Arial" w:eastAsia="Arial" w:hAnsi="Arial"/>
                <w:sz w:val="14"/>
                <w:szCs w:val="14"/>
                <w:i w:val="1"/>
                <w:iCs w:val="1"/>
                <w:color w:val="auto"/>
              </w:rPr>
              <w:t>(in millions)</w:t>
            </w:r>
          </w:p>
        </w:tc>
      </w:tr>
      <w:tr>
        <w:trPr>
          <w:trHeight w:val="243"/>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Remaining nine months of 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w:t>
            </w:r>
          </w:p>
        </w:tc>
      </w:tr>
      <w:tr>
        <w:trPr>
          <w:trHeight w:val="224"/>
        </w:trPr>
        <w:tc>
          <w:tcPr>
            <w:tcW w:w="9900" w:type="dxa"/>
            <w:vAlign w:val="bottom"/>
          </w:tcPr>
          <w:p>
            <w:pPr>
              <w:ind w:left="18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40</w:t>
            </w:r>
          </w:p>
        </w:tc>
      </w:tr>
      <w:tr>
        <w:trPr>
          <w:trHeight w:val="33"/>
        </w:trPr>
        <w:tc>
          <w:tcPr>
            <w:tcW w:w="9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r>
      <w:tr>
        <w:trPr>
          <w:trHeight w:val="224"/>
        </w:trPr>
        <w:tc>
          <w:tcPr>
            <w:tcW w:w="9900" w:type="dxa"/>
            <w:vAlign w:val="bottom"/>
          </w:tcPr>
          <w:p>
            <w:pPr>
              <w:ind w:left="18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24</w:t>
            </w:r>
          </w:p>
        </w:tc>
      </w:tr>
      <w:tr>
        <w:trPr>
          <w:trHeight w:val="33"/>
        </w:trPr>
        <w:tc>
          <w:tcPr>
            <w:tcW w:w="9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r>
      <w:tr>
        <w:trPr>
          <w:trHeight w:val="224"/>
        </w:trPr>
        <w:tc>
          <w:tcPr>
            <w:tcW w:w="9900" w:type="dxa"/>
            <w:vAlign w:val="bottom"/>
          </w:tcPr>
          <w:p>
            <w:pPr>
              <w:ind w:left="18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163</w:t>
            </w:r>
          </w:p>
        </w:tc>
      </w:tr>
      <w:tr>
        <w:trPr>
          <w:trHeight w:val="33"/>
        </w:trPr>
        <w:tc>
          <w:tcPr>
            <w:tcW w:w="9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9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future minimum lease payments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319</w:t>
            </w:r>
          </w:p>
        </w:tc>
      </w:tr>
      <w:tr>
        <w:trPr>
          <w:trHeight w:val="224"/>
        </w:trPr>
        <w:tc>
          <w:tcPr>
            <w:tcW w:w="9900" w:type="dxa"/>
            <w:vAlign w:val="bottom"/>
          </w:tcPr>
          <w:p>
            <w:pPr>
              <w:ind w:left="180"/>
              <w:spacing w:after="0"/>
              <w:rPr>
                <w:sz w:val="20"/>
                <w:szCs w:val="20"/>
                <w:color w:val="auto"/>
              </w:rPr>
            </w:pPr>
            <w:r>
              <w:rPr>
                <w:rFonts w:ascii="Arial" w:cs="Arial" w:eastAsia="Arial" w:hAnsi="Arial"/>
                <w:sz w:val="16"/>
                <w:szCs w:val="16"/>
                <w:color w:val="auto"/>
              </w:rPr>
              <w:t>Less: Imputed Interest</w:t>
            </w:r>
          </w:p>
        </w:tc>
        <w:tc>
          <w:tcPr>
            <w:tcW w:w="200" w:type="dxa"/>
            <w:vAlign w:val="bottom"/>
          </w:tcPr>
          <w:p>
            <w:pPr>
              <w:spacing w:after="0"/>
              <w:rPr>
                <w:sz w:val="19"/>
                <w:szCs w:val="19"/>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(62)</w:t>
            </w:r>
          </w:p>
        </w:tc>
      </w:tr>
      <w:tr>
        <w:trPr>
          <w:trHeight w:val="33"/>
        </w:trPr>
        <w:tc>
          <w:tcPr>
            <w:tcW w:w="9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Present value of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257</w:t>
            </w:r>
          </w:p>
        </w:tc>
      </w:tr>
      <w:tr>
        <w:trPr>
          <w:trHeight w:val="224"/>
        </w:trPr>
        <w:tc>
          <w:tcPr>
            <w:tcW w:w="9900" w:type="dxa"/>
            <w:vAlign w:val="bottom"/>
          </w:tcPr>
          <w:p>
            <w:pPr>
              <w:ind w:left="180"/>
              <w:spacing w:after="0"/>
              <w:rPr>
                <w:sz w:val="20"/>
                <w:szCs w:val="20"/>
                <w:color w:val="auto"/>
              </w:rPr>
            </w:pPr>
            <w:r>
              <w:rPr>
                <w:rFonts w:ascii="Arial" w:cs="Arial" w:eastAsia="Arial" w:hAnsi="Arial"/>
                <w:sz w:val="16"/>
                <w:szCs w:val="16"/>
                <w:color w:val="auto"/>
              </w:rPr>
              <w:t>Less: Current portion (included in Accrued expenses)</w:t>
            </w:r>
          </w:p>
        </w:tc>
        <w:tc>
          <w:tcPr>
            <w:tcW w:w="20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40</w:t>
            </w:r>
          </w:p>
        </w:tc>
      </w:tr>
      <w:tr>
        <w:trPr>
          <w:trHeight w:val="33"/>
        </w:trPr>
        <w:tc>
          <w:tcPr>
            <w:tcW w:w="9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operating lease liabilities (included in Other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217</w:t>
            </w: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9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7"/>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243</w:t>
            </w:r>
          </w:p>
        </w:tc>
      </w:tr>
      <w:tr>
        <w:trPr>
          <w:trHeight w:val="297"/>
        </w:trPr>
        <w:tc>
          <w:tcPr>
            <w:tcW w:w="9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7"/>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remaining lease term in years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9.5</w:t>
            </w:r>
          </w:p>
        </w:tc>
      </w:tr>
      <w:tr>
        <w:trPr>
          <w:trHeight w:val="224"/>
        </w:trPr>
        <w:tc>
          <w:tcPr>
            <w:tcW w:w="9900" w:type="dxa"/>
            <w:vAlign w:val="bottom"/>
          </w:tcPr>
          <w:p>
            <w:pPr>
              <w:ind w:left="40"/>
              <w:spacing w:after="0"/>
              <w:rPr>
                <w:sz w:val="20"/>
                <w:szCs w:val="20"/>
                <w:color w:val="auto"/>
              </w:rPr>
            </w:pPr>
            <w:r>
              <w:rPr>
                <w:rFonts w:ascii="Arial" w:cs="Arial" w:eastAsia="Arial" w:hAnsi="Arial"/>
                <w:sz w:val="16"/>
                <w:szCs w:val="16"/>
                <w:color w:val="auto"/>
              </w:rPr>
              <w:t>Weighted average discount rate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w:t>
            </w:r>
          </w:p>
        </w:tc>
      </w:tr>
    </w:tbl>
    <w:p>
      <w:pPr>
        <w:spacing w:after="0" w:line="200" w:lineRule="exact"/>
        <w:rPr>
          <w:sz w:val="20"/>
          <w:szCs w:val="20"/>
          <w:color w:val="auto"/>
        </w:rPr>
      </w:pPr>
    </w:p>
    <w:p>
      <w:pPr>
        <w:spacing w:after="0" w:line="25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summarizes supplemental disclosures of operating cost and cash flow information related to operating leases for the three months ended October 4,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65"/>
        </w:trPr>
        <w:tc>
          <w:tcPr>
            <w:tcW w:w="9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223"/>
              <w:spacing w:after="0"/>
              <w:rPr>
                <w:sz w:val="20"/>
                <w:szCs w:val="20"/>
                <w:color w:val="auto"/>
              </w:rPr>
            </w:pPr>
            <w:r>
              <w:rPr>
                <w:rFonts w:ascii="Arial" w:cs="Arial" w:eastAsia="Arial" w:hAnsi="Arial"/>
                <w:sz w:val="14"/>
                <w:szCs w:val="14"/>
                <w:b w:val="1"/>
                <w:bCs w:val="1"/>
                <w:color w:val="auto"/>
                <w:w w:val="92"/>
              </w:rPr>
              <w:t>October 4,</w:t>
            </w:r>
          </w:p>
        </w:tc>
      </w:tr>
      <w:tr>
        <w:trPr>
          <w:trHeight w:val="192"/>
        </w:trPr>
        <w:tc>
          <w:tcPr>
            <w:tcW w:w="9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9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i w:val="1"/>
                <w:iCs w:val="1"/>
                <w:color w:val="auto"/>
                <w:w w:val="98"/>
              </w:rPr>
              <w:t>(in millions)</w:t>
            </w:r>
          </w:p>
        </w:tc>
      </w:tr>
      <w:tr>
        <w:trPr>
          <w:trHeight w:val="243"/>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operating leases</w:t>
            </w: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Cash paid for operating leases</w:t>
            </w:r>
          </w:p>
        </w:tc>
        <w:tc>
          <w:tcPr>
            <w:tcW w:w="26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16</w:t>
            </w:r>
          </w:p>
        </w:tc>
      </w:tr>
      <w:tr>
        <w:trPr>
          <w:trHeight w:val="33"/>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4"/>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49</w:t>
            </w:r>
          </w:p>
        </w:tc>
      </w:tr>
      <w:tr>
        <w:trPr>
          <w:trHeight w:val="33"/>
        </w:trPr>
        <w:tc>
          <w:tcPr>
            <w:tcW w:w="9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October 4, 2019, the Company had the following minimum long-term commitments:</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Long-term commitments</w:t>
            </w:r>
          </w:p>
        </w:tc>
      </w:tr>
      <w:tr>
        <w:trPr>
          <w:trHeight w:val="250"/>
        </w:trPr>
        <w:tc>
          <w:tcPr>
            <w:tcW w:w="9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420"/>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Remaining nine months of 2020</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70</w:t>
            </w:r>
          </w:p>
        </w:tc>
      </w:tr>
      <w:tr>
        <w:trPr>
          <w:trHeight w:val="33"/>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250</w:t>
            </w:r>
          </w:p>
        </w:tc>
      </w:tr>
      <w:tr>
        <w:trPr>
          <w:trHeight w:val="33"/>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2024</w:t>
            </w:r>
          </w:p>
        </w:tc>
        <w:tc>
          <w:tcPr>
            <w:tcW w:w="30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33"/>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r>
      <w:tr>
        <w:trPr>
          <w:trHeight w:val="244"/>
        </w:trPr>
        <w:tc>
          <w:tcPr>
            <w:tcW w:w="972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1,020</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Condensed Consolidated Statements of Operations: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and performance stock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Employee stock purchase plan</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Subtotal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benefit</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October 4,</w:t>
            </w:r>
          </w:p>
        </w:tc>
        <w:tc>
          <w:tcPr>
            <w:tcW w:w="200" w:type="dxa"/>
            <w:vAlign w:val="bottom"/>
          </w:tcPr>
          <w:p>
            <w:pPr>
              <w:spacing w:after="0"/>
              <w:rPr>
                <w:sz w:val="14"/>
                <w:szCs w:val="14"/>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1"/>
              </w:rPr>
              <w:t>September 28,</w:t>
            </w:r>
          </w:p>
        </w:tc>
      </w:tr>
      <w:tr>
        <w:trPr>
          <w:trHeight w:val="192"/>
        </w:trPr>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2018</w:t>
            </w:r>
          </w:p>
        </w:tc>
      </w:tr>
      <w:tr>
        <w:trPr>
          <w:trHeight w:val="190"/>
        </w:trPr>
        <w:tc>
          <w:tcPr>
            <w:tcW w:w="260" w:type="dxa"/>
            <w:vAlign w:val="bottom"/>
          </w:tcPr>
          <w:p>
            <w:pPr>
              <w:spacing w:after="0"/>
              <w:rPr>
                <w:sz w:val="16"/>
                <w:szCs w:val="16"/>
                <w:color w:val="auto"/>
              </w:rPr>
            </w:pPr>
          </w:p>
        </w:tc>
        <w:tc>
          <w:tcPr>
            <w:tcW w:w="2820" w:type="dxa"/>
            <w:vAlign w:val="bottom"/>
            <w:gridSpan w:val="4"/>
          </w:tcPr>
          <w:p>
            <w:pPr>
              <w:jc w:val="center"/>
              <w:ind w:right="162"/>
              <w:spacing w:after="0"/>
              <w:rPr>
                <w:sz w:val="20"/>
                <w:szCs w:val="20"/>
                <w:color w:val="auto"/>
              </w:rPr>
            </w:pPr>
            <w:r>
              <w:rPr>
                <w:rFonts w:ascii="Arial" w:cs="Arial" w:eastAsia="Arial" w:hAnsi="Arial"/>
                <w:sz w:val="14"/>
                <w:szCs w:val="14"/>
                <w:i w:val="1"/>
                <w:iCs w:val="1"/>
                <w:color w:val="auto"/>
                <w:w w:val="98"/>
              </w:rPr>
              <w:t>(in millions)</w:t>
            </w:r>
          </w:p>
        </w:tc>
      </w:tr>
      <w:tr>
        <w:trPr>
          <w:trHeight w:val="303"/>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w:t>
            </w:r>
          </w:p>
        </w:tc>
      </w:tr>
      <w:tr>
        <w:trPr>
          <w:trHeight w:val="270"/>
        </w:trPr>
        <w:tc>
          <w:tcPr>
            <w:tcW w:w="2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67</w:t>
            </w:r>
          </w:p>
        </w:tc>
      </w:tr>
      <w:tr>
        <w:trPr>
          <w:trHeight w:val="270"/>
        </w:trPr>
        <w:tc>
          <w:tcPr>
            <w:tcW w:w="2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7</w:t>
            </w:r>
          </w:p>
        </w:tc>
      </w:tr>
      <w:tr>
        <w:trPr>
          <w:trHeight w:val="33"/>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79</w:t>
            </w:r>
          </w:p>
        </w:tc>
      </w:tr>
      <w:tr>
        <w:trPr>
          <w:trHeight w:val="33"/>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96"/>
        </w:trPr>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right="162"/>
              <w:spacing w:after="0"/>
              <w:rPr>
                <w:sz w:val="20"/>
                <w:szCs w:val="20"/>
                <w:color w:val="auto"/>
              </w:rPr>
            </w:pPr>
            <w:r>
              <w:rPr>
                <w:rFonts w:ascii="Arial" w:cs="Arial" w:eastAsia="Arial" w:hAnsi="Arial"/>
                <w:sz w:val="14"/>
                <w:szCs w:val="14"/>
                <w:b w:val="1"/>
                <w:bCs w:val="1"/>
                <w:color w:val="auto"/>
                <w:w w:val="93"/>
              </w:rPr>
              <w:t>Three Months Ended</w:t>
            </w:r>
          </w:p>
        </w:tc>
      </w:tr>
      <w:tr>
        <w:trPr>
          <w:trHeight w:val="152"/>
        </w:trPr>
        <w:tc>
          <w:tcPr>
            <w:tcW w:w="260" w:type="dxa"/>
            <w:vAlign w:val="bottom"/>
          </w:tcPr>
          <w:p>
            <w:pPr>
              <w:spacing w:after="0"/>
              <w:rPr>
                <w:sz w:val="13"/>
                <w:szCs w:val="13"/>
                <w:color w:val="auto"/>
              </w:rPr>
            </w:pPr>
          </w:p>
        </w:tc>
        <w:tc>
          <w:tcPr>
            <w:tcW w:w="13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October 4,</w:t>
            </w:r>
          </w:p>
        </w:tc>
        <w:tc>
          <w:tcPr>
            <w:tcW w:w="200" w:type="dxa"/>
            <w:vAlign w:val="bottom"/>
          </w:tcPr>
          <w:p>
            <w:pPr>
              <w:spacing w:after="0"/>
              <w:rPr>
                <w:sz w:val="13"/>
                <w:szCs w:val="13"/>
                <w:color w:val="auto"/>
              </w:rPr>
            </w:pPr>
          </w:p>
        </w:tc>
        <w:tc>
          <w:tcPr>
            <w:tcW w:w="126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1"/>
              </w:rPr>
              <w:t>September 28,</w:t>
            </w:r>
          </w:p>
        </w:tc>
      </w:tr>
      <w:tr>
        <w:trPr>
          <w:trHeight w:val="192"/>
        </w:trPr>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2018</w:t>
            </w:r>
          </w:p>
        </w:tc>
      </w:tr>
      <w:tr>
        <w:trPr>
          <w:trHeight w:val="190"/>
        </w:trPr>
        <w:tc>
          <w:tcPr>
            <w:tcW w:w="260" w:type="dxa"/>
            <w:vAlign w:val="bottom"/>
          </w:tcPr>
          <w:p>
            <w:pPr>
              <w:spacing w:after="0"/>
              <w:rPr>
                <w:sz w:val="16"/>
                <w:szCs w:val="16"/>
                <w:color w:val="auto"/>
              </w:rPr>
            </w:pPr>
          </w:p>
        </w:tc>
        <w:tc>
          <w:tcPr>
            <w:tcW w:w="2820" w:type="dxa"/>
            <w:vAlign w:val="bottom"/>
            <w:gridSpan w:val="4"/>
          </w:tcPr>
          <w:p>
            <w:pPr>
              <w:jc w:val="center"/>
              <w:ind w:right="162"/>
              <w:spacing w:after="0"/>
              <w:rPr>
                <w:sz w:val="20"/>
                <w:szCs w:val="20"/>
                <w:color w:val="auto"/>
              </w:rPr>
            </w:pPr>
            <w:r>
              <w:rPr>
                <w:rFonts w:ascii="Arial" w:cs="Arial" w:eastAsia="Arial" w:hAnsi="Arial"/>
                <w:sz w:val="14"/>
                <w:szCs w:val="14"/>
                <w:i w:val="1"/>
                <w:iCs w:val="1"/>
                <w:color w:val="auto"/>
                <w:w w:val="98"/>
              </w:rPr>
              <w:t>(in millions)</w:t>
            </w:r>
          </w:p>
        </w:tc>
      </w:tr>
      <w:tr>
        <w:trPr>
          <w:trHeight w:val="303"/>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11</w:t>
            </w:r>
          </w:p>
        </w:tc>
      </w:tr>
      <w:tr>
        <w:trPr>
          <w:trHeight w:val="270"/>
        </w:trPr>
        <w:tc>
          <w:tcPr>
            <w:tcW w:w="2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39</w:t>
            </w:r>
          </w:p>
        </w:tc>
      </w:tr>
      <w:tr>
        <w:trPr>
          <w:trHeight w:val="270"/>
        </w:trPr>
        <w:tc>
          <w:tcPr>
            <w:tcW w:w="2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29</w:t>
            </w:r>
          </w:p>
        </w:tc>
      </w:tr>
      <w:tr>
        <w:trPr>
          <w:trHeight w:val="33"/>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79</w:t>
            </w:r>
          </w:p>
        </w:tc>
      </w:tr>
      <w:tr>
        <w:trPr>
          <w:trHeight w:val="270"/>
        </w:trPr>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68</w:t>
            </w:r>
          </w:p>
        </w:tc>
      </w:tr>
      <w:tr>
        <w:trPr>
          <w:trHeight w:val="33"/>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-2563495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-2220595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-1054100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-711200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-368300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720"/>
            <w:col w:w="3080"/>
          </w:cols>
          <w:pgMar w:left="240" w:top="125" w:right="239" w:bottom="1440" w:gutter="0" w:footer="0" w:header="0"/>
          <w:type w:val="continuous"/>
        </w:sectPr>
      </w:pPr>
    </w:p>
    <w:p>
      <w:pPr>
        <w:spacing w:after="0" w:line="218"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Compensation cost related to unvested stock options, restricted stock units (“RSUs”), performance-based stock units (“PSUs”), and rights to purchase shares of common stock under the Company’s Employee Stock Purchase Plan (“ESPP”) will generally be amortized on a straight-line basis over the remaining average service period. The following table presents the unamortized compensation cost and weighted average service period of all unvested outstanding awards as of October 4,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0.8</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722</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2.9</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1.7</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Total unamortized compensation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20" w:right="4700" w:hanging="5612"/>
        <w:spacing w:after="0" w:line="716" w:lineRule="auto"/>
        <w:tabs>
          <w:tab w:leader="none" w:pos="328"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Weighted average service period assumes the performance metrics are met for the PSUs.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-935355</wp:posOffset>
            </wp:positionV>
            <wp:extent cx="10204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28, 2019</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43.50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94.55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Options outstanding at October 4, 2019</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67.75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2.8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at October 4, 2019</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71.51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RSUs and PSUs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Value at Vest Date</w:t>
            </w:r>
          </w:p>
        </w:tc>
        <w:tc>
          <w:tcPr>
            <w:tcW w:w="0" w:type="dxa"/>
            <w:vAlign w:val="bottom"/>
          </w:tcPr>
          <w:p>
            <w:pPr>
              <w:spacing w:after="0"/>
              <w:rPr>
                <w:sz w:val="1"/>
                <w:szCs w:val="1"/>
                <w:color w:val="auto"/>
              </w:rPr>
            </w:pPr>
          </w:p>
        </w:tc>
      </w:tr>
      <w:tr>
        <w:trPr>
          <w:trHeight w:val="190"/>
        </w:trPr>
        <w:tc>
          <w:tcPr>
            <w:tcW w:w="7200" w:type="dxa"/>
            <w:vAlign w:val="bottom"/>
          </w:tcPr>
          <w:p>
            <w:pPr>
              <w:spacing w:after="0"/>
              <w:rPr>
                <w:sz w:val="16"/>
                <w:szCs w:val="16"/>
                <w:color w:val="auto"/>
              </w:rPr>
            </w:pPr>
          </w:p>
        </w:tc>
        <w:tc>
          <w:tcPr>
            <w:tcW w:w="128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25"/>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7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June 28, 2019</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59.31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62.66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October 4, 2019</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Company’s Board of Directors has authorized a stock repurchase program for the repurchase of up to $5.00 billion of the Company’s common stock, which authorization is effective through July 25, 2023. For the three months ended October 4, 2019, the Company did not make any stock repurchases. The remaining amount available to be repurchased under the Company’s current stock repurchase program as of October 4, 2019 was $4.50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the first quarter of 2013, the Company has issued a quarterly cash dividend. During the three months ended October 4, 2019, the Company declared aggregate cash dividends of $0.50 per share on its outstanding common stock totaling $149 million, which was paid on October 22, 2019. The Company may modify, suspend or cancel its cash dividend policy in any manner and at any time.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Income Tax Expense</w:t>
      </w:r>
    </w:p>
    <w:p>
      <w:pPr>
        <w:spacing w:after="0" w:line="22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However, any additional regulatory or interpretive guidance would constitute new information, which may require further refinements to the Company’s estimates in future periods.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income tax expense and the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4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464"/>
              <w:spacing w:after="0" w:line="153" w:lineRule="exact"/>
              <w:rPr>
                <w:sz w:val="20"/>
                <w:szCs w:val="20"/>
                <w:color w:val="auto"/>
              </w:rPr>
            </w:pPr>
            <w:r>
              <w:rPr>
                <w:rFonts w:ascii="Arial" w:cs="Arial" w:eastAsia="Arial" w:hAnsi="Arial"/>
                <w:sz w:val="14"/>
                <w:szCs w:val="14"/>
                <w:b w:val="1"/>
                <w:bCs w:val="1"/>
                <w:color w:val="auto"/>
              </w:rPr>
              <w:t>October 4,</w:t>
            </w:r>
          </w:p>
        </w:tc>
        <w:tc>
          <w:tcPr>
            <w:tcW w:w="340" w:type="dxa"/>
            <w:vAlign w:val="bottom"/>
          </w:tcPr>
          <w:p>
            <w:pPr>
              <w:spacing w:after="0"/>
              <w:rPr>
                <w:sz w:val="13"/>
                <w:szCs w:val="13"/>
                <w:color w:val="auto"/>
              </w:rPr>
            </w:pPr>
          </w:p>
        </w:tc>
        <w:tc>
          <w:tcPr>
            <w:tcW w:w="122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w w:val="89"/>
              </w:rPr>
              <w:t>September 28,</w:t>
            </w:r>
          </w:p>
        </w:tc>
      </w:t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2018</w:t>
            </w:r>
          </w:p>
        </w:tc>
      </w:t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millions)</w:t>
            </w:r>
          </w:p>
        </w:tc>
        <w:tc>
          <w:tcPr>
            <w:tcW w:w="1220" w:type="dxa"/>
            <w:vAlign w:val="bottom"/>
          </w:tcPr>
          <w:p>
            <w:pPr>
              <w:spacing w:after="0"/>
              <w:rPr>
                <w:sz w:val="16"/>
                <w:szCs w:val="16"/>
                <w:color w:val="auto"/>
              </w:rPr>
            </w:pPr>
          </w:p>
        </w:tc>
      </w:tr>
      <w:tr>
        <w:trPr>
          <w:trHeight w:val="66"/>
        </w:trPr>
        <w:tc>
          <w:tcPr>
            <w:tcW w:w="8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(237)</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583</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04"/>
              <w:spacing w:after="0"/>
              <w:rPr>
                <w:sz w:val="20"/>
                <w:szCs w:val="20"/>
                <w:color w:val="auto"/>
              </w:rPr>
            </w:pPr>
            <w:r>
              <w:rPr>
                <w:rFonts w:ascii="Arial" w:cs="Arial" w:eastAsia="Arial" w:hAnsi="Arial"/>
                <w:sz w:val="16"/>
                <w:szCs w:val="16"/>
                <w:color w:val="auto"/>
              </w:rPr>
              <w:t>39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3"/>
              <w:spacing w:after="0"/>
              <w:rPr>
                <w:sz w:val="20"/>
                <w:szCs w:val="20"/>
                <w:color w:val="auto"/>
              </w:rPr>
            </w:pPr>
            <w:r>
              <w:rPr>
                <w:rFonts w:ascii="Arial" w:cs="Arial" w:eastAsia="Arial" w:hAnsi="Arial"/>
                <w:sz w:val="16"/>
                <w:szCs w:val="16"/>
                <w:color w:val="auto"/>
              </w:rPr>
              <w:t>72</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drivers of the difference between the effective tax rate for the three months ended October 4, 2019 and the</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U.S. Federal statutory rate of 21% are the relative mix of earnings and losses by jurisdiction, the deduction for foreign derived intangible income, credits and tax holidays in Malaysia, Philippines and Thailand that will expire at various dates during fiscal years 2020 through 2030.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driver of the difference between the effective tax rate for the three months ended September 28, 2018 and the</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U.S. Federal statutory rate of 21% is the discrete effect of the provisional income tax benefit of $52 million related to the decision to utilize the Company’s 2018 operating loss to partially offset the mandatory deemed repatriation tax.</w:t>
      </w:r>
    </w:p>
    <w:p>
      <w:pPr>
        <w:spacing w:after="0" w:line="184"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IRS previously completed its field examination of the Company’s federal income tax returns for fiscal years 2008 through 2012 and proposed certain adjustments. As previously disclosed, the Company received Revenue Agent Reports from the IRS for fiscal years 2008 through 2009, proposing adjustments relating to transfer pricing with the Company’s foreign subsidiaries and intercompany payable balances. The Company disagrees with the proposed adjustments and in September 2015, filed a protest with the IRS Appeals Office and received the IRS rebuttal in July 2016. The Company and the IRS Appeals Office did not reach a settlement on the disputed matters. On June 28, 2018, the IRS issued a statutory notice of deficiency with respect to the disputed matters for fiscal years 2008 through 2009, seeking to increase the Company’s U.S. taxable income by an amount that would result in additional federal tax through fiscal year 2009 totaling approximately $516 million, subject to interest. The Company filed a petition with the U.S. Tax Court in September 2018. On December 10, 2018, the IRS issued a statutory notice of deficiency with respect to fiscal years 2010 through 2012, seeking to increase the Company’s U.S. taxable income by an amount that would result in additional federal tax for fiscal years 2010 through 2012 totaling approximately $549 million, subject to interest. Approximately $535 million of the total additional federal tax for fiscal years 2010 through 2012 relates to proposed adjustments for transfer pricing with the Company’s foreign subsidiaries, intercompany payable balances and the utilization of certain tax attributes. The Company filed a petition with the U.S. Tax Court in March 2019. The Company believes that its tax positions are properly supported and will vigorously contest the position taken by the IRS.</w:t>
      </w:r>
    </w:p>
    <w:p>
      <w:pPr>
        <w:spacing w:after="0" w:line="18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October 4, 2019,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October 4, 2019, the liability for unrecognized tax benefits (excluding accrued interest and penalties) was approximately $691 million. Accrued interest and penalties related to unrecognized tax benefits as of October 4, 2019 was approximately $126 million. Of these amounts, approximately $698 million could result in potential cash payments. The Company is not able to provide a reasonable estimate of the timing of future tax payments related to these obligations.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Net Income (Loss)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4,</w:t>
            </w:r>
          </w:p>
        </w:tc>
        <w:tc>
          <w:tcPr>
            <w:tcW w:w="200" w:type="dxa"/>
            <w:vAlign w:val="bottom"/>
          </w:tcPr>
          <w:p>
            <w:pPr>
              <w:spacing w:after="0"/>
              <w:rPr>
                <w:sz w:val="13"/>
                <w:szCs w:val="13"/>
                <w:color w:val="auto"/>
              </w:rPr>
            </w:pPr>
          </w:p>
        </w:tc>
        <w:tc>
          <w:tcPr>
            <w:tcW w:w="1260" w:type="dxa"/>
            <w:vAlign w:val="bottom"/>
          </w:tcPr>
          <w:p>
            <w:pPr>
              <w:jc w:val="right"/>
              <w:ind w:right="221"/>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441"/>
              <w:spacing w:after="0"/>
              <w:rPr>
                <w:sz w:val="20"/>
                <w:szCs w:val="20"/>
                <w:color w:val="auto"/>
              </w:rPr>
            </w:pPr>
            <w:r>
              <w:rPr>
                <w:rFonts w:ascii="Arial" w:cs="Arial" w:eastAsia="Arial" w:hAnsi="Arial"/>
                <w:sz w:val="14"/>
                <w:szCs w:val="14"/>
                <w:i w:val="1"/>
                <w:iCs w:val="1"/>
                <w:color w:val="auto"/>
              </w:rPr>
              <w:t>(in millions, except per share data)</w:t>
            </w: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9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511</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292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stock options, RSUs, PSUs and ESPP</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r>
      <w:tr>
        <w:trPr>
          <w:trHeight w:val="28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298</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per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9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1.75</w:t>
            </w: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 computes basic income (loss) per common share using net income (loss)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the three months ended September 28, 2018, the Company excluded 3 million common shares subject to outstanding equity awards from the calculation of diluted shares because their impact would have been anti-dilutive based on the Company’s average stock price during the period. For the three months ended October 4, 2019, the Company recorded a net loss, and all shares subject to outstanding equity awards have been excluded for the period because including them would be anti-dilutive.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September 28,</w:t>
            </w:r>
          </w:p>
        </w:tc>
        <w:tc>
          <w:tcPr>
            <w:tcW w:w="280" w:type="dxa"/>
            <w:vAlign w:val="bottom"/>
          </w:tcPr>
          <w:p>
            <w:pPr>
              <w:spacing w:after="0"/>
              <w:rPr>
                <w:sz w:val="13"/>
                <w:szCs w:val="13"/>
                <w:color w:val="auto"/>
              </w:rPr>
            </w:pPr>
          </w:p>
        </w:tc>
      </w:tr>
      <w:tr>
        <w:trPr>
          <w:trHeight w:val="192"/>
        </w:trPr>
        <w:tc>
          <w:tcPr>
            <w:tcW w:w="8340" w:type="dxa"/>
            <w:vAlign w:val="bottom"/>
          </w:tcPr>
          <w:p>
            <w:pPr>
              <w:spacing w:after="0"/>
              <w:rPr>
                <w:sz w:val="16"/>
                <w:szCs w:val="16"/>
                <w:color w:val="auto"/>
              </w:rPr>
            </w:pPr>
          </w:p>
        </w:tc>
        <w:tc>
          <w:tcPr>
            <w:tcW w:w="11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r>
      <w:tr>
        <w:trPr>
          <w:trHeight w:val="190"/>
        </w:trPr>
        <w:tc>
          <w:tcPr>
            <w:tcW w:w="8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3"/>
          </w:tcPr>
          <w:p>
            <w:pPr>
              <w:jc w:val="right"/>
              <w:ind w:right="823"/>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Closure of Foreign Manufacturing Facilities</w:t>
            </w:r>
          </w:p>
        </w:tc>
        <w:tc>
          <w:tcPr>
            <w:tcW w:w="1120" w:type="dxa"/>
            <w:vAlign w:val="bottom"/>
          </w:tcPr>
          <w:p>
            <w:pPr>
              <w:jc w:val="right"/>
              <w:ind w:right="94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180" w:type="dxa"/>
            <w:vAlign w:val="bottom"/>
          </w:tcPr>
          <w:p>
            <w:pPr>
              <w:jc w:val="right"/>
              <w:ind w:right="1003"/>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Realignment</w:t>
            </w:r>
          </w:p>
        </w:tc>
        <w:tc>
          <w:tcPr>
            <w:tcW w:w="1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42</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employee termination and other charges</w:t>
            </w: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ind w:right="1003"/>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46</w:t>
            </w:r>
          </w:p>
        </w:tc>
      </w:tr>
      <w:tr>
        <w:trPr>
          <w:trHeight w:val="20"/>
        </w:trPr>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Closure of Foreign Manufacturing Facilities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July 2018, the Company announced the closing of its HDD manufacturing facility in Kuala Lumpur, Malaysia, in order to reduce its manufacturing costs and consolidate HDD operations into Thailand. The Company substantially completed the closure in fiscal year 2019.</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an analysis of the components of the restructuring charges, payments and adjustments made against the reserve during the three months ended October 4,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Employee</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Termination Benefits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28, 2019</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Charges</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Accrual balance at October 4, 2019</w:t>
            </w: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analysis of the components of the activity against the reserve during the three months ended October 4, 2019:</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Employee</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Termination Benefits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28, 2019</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Charges</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Accrual balance at October 4, 2019</w:t>
            </w: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 Litigation</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May 2016, Lambeth Magnetic Structures, LLC (“Lambeth”) filed a complaint with the U.S. District Court for the Western District of Pennsylvania against the Company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Mediation in this matter was held on August 16, 2019, and the parties reached an agreement in principle to settle the case for an immaterial amount, a portion of which was previously accrued in the Company’s financial statements. The parties formalized the settlement and filed a joint stipulation of dismissal with prejudice in October 2019. The matter is now closed.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Beginning in March 2015, SanDisk Corporation (“SanDisk”), which was acquired by the Company in May 2016, and two of SanDisk’s former officers, Sanjay Mehrotra and Judy Bruner, were named in three putative class action lawsuits filed with the U.S. District Court for the Northern District of California. Two complaints are brought on behalf of a purported class of purchasers of SanDisk’s securities between October 2014 and March 2015, and one is brought on behalf of a purported class of purchasers of SanDisk’s securities between April 2014 and April 2015. The complaints 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In June 2016, the District Court granted the defendants’ motion to dismiss and dismissed the amended complaint with leave to amend. In July 2016, the Institutional Investor Group filed a further amended complaint. In June 2017, the District Court denied the defendants’ motion to dismiss. In September 2018, the District Court granted the Institutional Investor Group’s motion to certify a class of all persons and entities who purchased or otherwise acquired SanDisk’s publicly traded common stock between October 2014 and April 2015, excluding those who purchased or otherwise acquired SanDisk’s publicly traded common stock during the class period but who sold their stock prior to the first corrective disclosure in March 2015. The Institutional Investor Group alleged artificial inflation in the price of SanDisk’s publicly traded common stock of $9.04 per share from October 16, 2014 through March 25, 2015, $2.26 per share on March 26, 2015, and $1.35 per share from March 27, 2015 through April 15, 2015. In March 2019, the parties reached a settlement of all claims in this matter. In May 2019, the court granted the motion for preliminary approval, and in October 2019, the court issued its final order and judgment approving the settlement.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For disclosures regarding statutory notices of deficiency issued by the IRS on June 28, 2018 and December 10, 2018, and petitions filed by the Company with the U.S. Tax Court in September 2018 and March 2019, see Note 12, </w:t>
      </w:r>
      <w:r>
        <w:rPr>
          <w:rFonts w:ascii="Arial" w:cs="Arial" w:eastAsia="Arial" w:hAnsi="Arial"/>
          <w:sz w:val="18"/>
          <w:szCs w:val="18"/>
          <w:i w:val="1"/>
          <w:iCs w:val="1"/>
          <w:color w:val="auto"/>
        </w:rPr>
        <w:t>Income Tax Expense.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Separate Financial Information of Guarantor Subsidiaries</w:t>
      </w:r>
    </w:p>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Company’s 4.750% senior unsecured notes due 2026 (the “2026 Senior Unsecured Notes”) are fully and unconditionally guaranteed, jointly and severally, on a senior unsecured basis, subject to certain customary guarantor release conditions, by certain 100% owned material domestic subsidiaries of the Company (or the “Guarantor Subsidiaries”). The guarantee by a Guarantor Subsidiary will be released in the event of (i) the release of a Guarantor Subsidiary from its guarantee of indebtedness under the credit agreement governing the revolving credit facility and term loans or other indebtedness that would have required the Guarantor Subsidiary to guarantee the 2026 Senior Unsecured Notes, (ii) the sale, issuance or other disposition of capital stock of a Guarantor Subsidiary such that it is no longer a restricted subsidiary under the indenture governing the 2026 Senior Unsecured Notes, (iii) the sale of all or substantially all of a Guarantor Subsidiary’s assets, (iv) the Company’s exercise of its defeasance options under the indenture governing the 2026 Senior Unsecured Notes,</w:t>
      </w:r>
    </w:p>
    <w:p>
      <w:pPr>
        <w:spacing w:after="0" w:line="3" w:lineRule="exact"/>
        <w:rPr>
          <w:sz w:val="20"/>
          <w:szCs w:val="20"/>
          <w:color w:val="auto"/>
        </w:rPr>
      </w:pPr>
    </w:p>
    <w:p>
      <w:pPr>
        <w:ind w:right="60" w:firstLine="8"/>
        <w:spacing w:after="0" w:line="25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dissolution or liquidation of a Guarantor Subsidiary or (vi) the sale of all the equity interest in a Guarantor Subsidiary. The Company’s other domestic subsidiaries and its foreign subsidiaries (collectively, the “Non-Guarantor Subsidiaries”) do not guarantee the 2026 Senior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October 4,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3,287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9,700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10,090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15,884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23,195</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27,469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26,280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7,434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(10,558)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4,288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9,961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13,629</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6,773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8,034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16,714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20,696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9,566</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23,195</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27,469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23,950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(48,334)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26,280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 of June 28, 2019</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8,477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10,076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(37,127)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23,251</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4,496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3,817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10,246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13,284</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6,291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7,350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16,403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9,967</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23,251</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27,177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23,736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(47,794)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October 4, 2019</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0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4,040</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3,282</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w w:val="95"/>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28, 2018</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3,005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3,364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w w:val="95"/>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October 4, 2019</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Net unrealized loss, on derivative contracts and available-for-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securities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Total other comprehensive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28,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w w:val="93"/>
              </w:rPr>
              <w:t>Net unrealized loss, on derivative contracts and available-for-</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sale securities</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loss, before tax</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w w:val="97"/>
              </w:rPr>
              <w:t>Income tax benefit related to items of other comprehensive</w:t>
            </w:r>
          </w:p>
        </w:tc>
        <w:tc>
          <w:tcPr>
            <w:tcW w:w="9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loss</w:t>
            </w:r>
          </w:p>
        </w:tc>
        <w:tc>
          <w:tcPr>
            <w:tcW w:w="98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October 4, 2019</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 net of cash acquired</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shareholders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28, 2018</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1,244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1,246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94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3,580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4,646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324"/>
        <w:spacing w:after="0" w:line="219"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and Part II, Item 8, contained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June 28, 2019. See also “Forward-Looking Statements” immediately prior to Part I, Item 1 in this Quarterly Report on Form 10-Q.</w:t>
      </w:r>
    </w:p>
    <w:p>
      <w:pPr>
        <w:spacing w:after="0" w:line="20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(“IT”) industry and the infrastructure that enables the proliferation of data in virtually every other industry. We create environments for data to thrive. We drive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171"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Our broad portfolio of technology and products address the following key end markets: Client Devices; Data Center Devices and Solutions; and Client Solutions. We also generate license and royalty revenue from our extensive intellectual property (“IP”), which is included in each of these three end market categories.</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five to six years, we report a 53-week fiscal year to align the fiscal year with the foregoing policy. Fiscal year 2020, which ends on July 3, 2020, will be comprised of 53 weeks, with the first quarter consisting of 14 weeks and the remaining quarters consisting of 13 weeks each. Fiscal year 2019, which ended on June 28, 2019, was comprised of 52 weeks, with all quarters presented consisting of 13 weeks.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Through our three business ventures with Kioxia Corporation (formerly known as Toshiba Memory Corporation) (“Kioxia”), referred to as “Flash Ventures”, we and Kioxia operate flash-based memory wafer manufacturing facilities in Japan. We are obligated to pay for variable costs incurred in producing our share of Flash Ventures’ flash-based memory wafer supply, based on our three month forecast, which generally equals 50% of Flash Ventures’ output. In addition, we are obligated to pay for half of Flash Ventures’ fixed costs regardless of the output we choose to purchase. We are also obligated to fund 49.9% to 50% of Flash Ventures’ capital investments to the extent that Flash Ventures’ operating cash flow is insufficient to fund these investments.</w:t>
      </w:r>
    </w:p>
    <w:p>
      <w:pPr>
        <w:spacing w:after="0" w:line="1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Since its inception, Flash Ventures has been based in a manufacturing site in Yokkaichi, Japan, which currently includes five wafer fabrication facilities. Production levels at the Yokkaichi site were temporarily reduced as a result of an unexpected power outage incident that occurred in the Yokkaichi region on June 15, 2019. The power outage incident impacted the facilities and process tools and resulted in the damage of flash wafers in production. The incident resulted in a reduction of our flash wafer availability by approximately 4 exabytes, the majority of which was contained in the first quarter of fiscal year 2020. As a result of this power outage incident, we incurred aggregate charges of $68 million and $145 million recorded in cost of revenue in the quarters ended October 4, 2019 and June 28, 2019, respectively, which primarily consisted of the write-off of damaged inventory and unabsorbed manufacturing overhead costs. We are pursuing recovery of our losses associated with this event; however, the amount of any recovery cannot be estimated at this time.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May 2019, we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Output from the initial production line at K1 is expected in the second half of fiscal year 2020. Meaningful output from K1 is not expected to begin until the first half of fiscal year 2021. Our share of the initial commitment for K1 is expected to result in equipment investments, relocation costs and start-up costs totaling approximately $660 million, to be incurred primarily through the second half of fiscal year 2020. We also agreed to prepay an aggregate of approximately $360 million over a 3-year period beginning in the first half of fiscal year 2020 toward K1 building depreciation, to be credited against future wafer charges.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Exit of Storage Systems Business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September 2019, we announced the sale of our IntelliFlash business and our strategic intention to exit Storage Systems, which consists of IntelliFlash and ActiveScale. These actions will allow us to redirect investments to other higher value priorities.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First Quarter Overview</w:t>
      </w:r>
    </w:p>
    <w:p>
      <w:pPr>
        <w:spacing w:after="0" w:line="22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left="340"/>
              <w:spacing w:after="0" w:line="153" w:lineRule="exact"/>
              <w:rPr>
                <w:sz w:val="20"/>
                <w:szCs w:val="20"/>
                <w:color w:val="auto"/>
              </w:rPr>
            </w:pPr>
            <w:r>
              <w:rPr>
                <w:rFonts w:ascii="Arial" w:cs="Arial" w:eastAsia="Arial" w:hAnsi="Arial"/>
                <w:sz w:val="14"/>
                <w:szCs w:val="14"/>
                <w:b w:val="1"/>
                <w:bCs w:val="1"/>
                <w:color w:val="auto"/>
                <w:w w:val="92"/>
              </w:rPr>
              <w:t>October 4,</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3"/>
          </w:tcPr>
          <w:p>
            <w:pPr>
              <w:jc w:val="right"/>
              <w:ind w:right="439"/>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94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11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ind w:right="239"/>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4,040</w:t>
            </w: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8"/>
              </w:rPr>
              <w:t>100.0 %</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5,028</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(988)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w w:val="99"/>
              </w:rPr>
              <w:t>3,282</w:t>
            </w:r>
          </w:p>
        </w:tc>
        <w:tc>
          <w:tcPr>
            <w:tcW w:w="540" w:type="dxa"/>
            <w:vAlign w:val="bottom"/>
          </w:tcPr>
          <w:p>
            <w:pPr>
              <w:spacing w:after="0"/>
              <w:rPr>
                <w:sz w:val="20"/>
                <w:szCs w:val="20"/>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color w:val="auto"/>
              </w:rPr>
              <w:t>81.2</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3,364</w:t>
            </w:r>
          </w:p>
        </w:tc>
        <w:tc>
          <w:tcPr>
            <w:tcW w:w="1100" w:type="dxa"/>
            <w:vAlign w:val="bottom"/>
            <w:gridSpan w:val="2"/>
          </w:tcPr>
          <w:p>
            <w:pPr>
              <w:jc w:val="right"/>
              <w:ind w:right="199"/>
              <w:spacing w:after="0"/>
              <w:rPr>
                <w:sz w:val="20"/>
                <w:szCs w:val="20"/>
                <w:color w:val="auto"/>
              </w:rPr>
            </w:pPr>
            <w:r>
              <w:rPr>
                <w:rFonts w:ascii="Arial" w:cs="Arial" w:eastAsia="Arial" w:hAnsi="Arial"/>
                <w:sz w:val="16"/>
                <w:szCs w:val="16"/>
                <w:color w:val="auto"/>
              </w:rPr>
              <w:t>66.9</w:t>
            </w:r>
          </w:p>
        </w:tc>
        <w:tc>
          <w:tcPr>
            <w:tcW w:w="160" w:type="dxa"/>
            <w:vAlign w:val="bottom"/>
          </w:tcPr>
          <w:p>
            <w:pPr>
              <w:spacing w:after="0"/>
              <w:rPr>
                <w:sz w:val="20"/>
                <w:szCs w:val="20"/>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(82)</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758</w:t>
            </w: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18.8</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1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33.1</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(906)</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4"/>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w:t>
            </w: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14.2</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1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11.5</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1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305</w:t>
            </w:r>
          </w:p>
        </w:tc>
        <w:tc>
          <w:tcPr>
            <w:tcW w:w="540" w:type="dxa"/>
            <w:vAlign w:val="bottom"/>
          </w:tcPr>
          <w:p>
            <w:pPr>
              <w:spacing w:after="0"/>
              <w:rPr>
                <w:sz w:val="20"/>
                <w:szCs w:val="20"/>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356</w:t>
            </w:r>
          </w:p>
        </w:tc>
        <w:tc>
          <w:tcPr>
            <w:tcW w:w="1100" w:type="dxa"/>
            <w:vAlign w:val="bottom"/>
            <w:gridSpan w:val="2"/>
          </w:tcPr>
          <w:p>
            <w:pPr>
              <w:jc w:val="right"/>
              <w:ind w:right="199"/>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20"/>
                <w:szCs w:val="20"/>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(51)</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5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1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0.9</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(38)</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544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887</w:t>
            </w:r>
          </w:p>
        </w:tc>
        <w:tc>
          <w:tcPr>
            <w:tcW w:w="540" w:type="dxa"/>
            <w:vAlign w:val="bottom"/>
          </w:tcPr>
          <w:p>
            <w:pPr>
              <w:spacing w:after="0"/>
              <w:rPr>
                <w:sz w:val="18"/>
                <w:szCs w:val="18"/>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color w:val="auto"/>
              </w:rPr>
              <w:t>22.0</w:t>
            </w: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40" w:type="dxa"/>
            <w:vAlign w:val="bottom"/>
            <w:tcBorders>
              <w:top w:val="single" w:sz="8" w:color="auto"/>
            </w:tcBorders>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19.5</w:t>
            </w:r>
          </w:p>
        </w:tc>
        <w:tc>
          <w:tcPr>
            <w:tcW w:w="160" w:type="dxa"/>
            <w:vAlign w:val="bottom"/>
          </w:tcPr>
          <w:p>
            <w:pPr>
              <w:spacing w:after="0"/>
              <w:rPr>
                <w:sz w:val="18"/>
                <w:szCs w:val="18"/>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(91)</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5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1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13.6</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(815)</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24"/>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1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(122)</w:t>
            </w:r>
          </w:p>
        </w:tc>
        <w:tc>
          <w:tcPr>
            <w:tcW w:w="540" w:type="dxa"/>
            <w:vAlign w:val="bottom"/>
          </w:tcPr>
          <w:p>
            <w:pPr>
              <w:spacing w:after="0"/>
              <w:rPr>
                <w:sz w:val="20"/>
                <w:szCs w:val="20"/>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(116)</w:t>
            </w:r>
          </w:p>
        </w:tc>
        <w:tc>
          <w:tcPr>
            <w:tcW w:w="1100" w:type="dxa"/>
            <w:vAlign w:val="bottom"/>
            <w:gridSpan w:val="2"/>
          </w:tcPr>
          <w:p>
            <w:pPr>
              <w:jc w:val="right"/>
              <w:ind w:right="139"/>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0"/>
                <w:szCs w:val="20"/>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5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4</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7"/>
        </w:trPr>
        <w:tc>
          <w:tcPr>
            <w:tcW w:w="544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54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(2.7)</w:t>
            </w: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40" w:type="dxa"/>
            <w:vAlign w:val="bottom"/>
            <w:tcBorders>
              <w:top w:val="single" w:sz="8" w:color="auto"/>
            </w:tcBorders>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(5)</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5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(5.9)</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1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11.6</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(820)</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540" w:type="dxa"/>
            <w:vAlign w:val="bottom"/>
          </w:tcPr>
          <w:p>
            <w:pPr>
              <w:spacing w:after="0"/>
              <w:rPr>
                <w:sz w:val="20"/>
                <w:szCs w:val="20"/>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100" w:type="dxa"/>
            <w:vAlign w:val="bottom"/>
            <w:gridSpan w:val="2"/>
          </w:tcPr>
          <w:p>
            <w:pPr>
              <w:jc w:val="right"/>
              <w:ind w:right="199"/>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20"/>
                <w:szCs w:val="20"/>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(33)</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1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10.2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(787)</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for the periods presented, summary information regarding our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Three Months Ended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0" w:type="dxa"/>
            <w:vAlign w:val="bottom"/>
            <w:gridSpan w:val="3"/>
          </w:tcPr>
          <w:p>
            <w:pPr>
              <w:ind w:left="420"/>
              <w:spacing w:after="0" w:line="153" w:lineRule="exact"/>
              <w:rPr>
                <w:sz w:val="20"/>
                <w:szCs w:val="20"/>
                <w:color w:val="auto"/>
              </w:rPr>
            </w:pPr>
            <w:r>
              <w:rPr>
                <w:rFonts w:ascii="Arial" w:cs="Arial" w:eastAsia="Arial" w:hAnsi="Arial"/>
                <w:sz w:val="14"/>
                <w:szCs w:val="14"/>
                <w:b w:val="1"/>
                <w:bCs w:val="1"/>
                <w:color w:val="auto"/>
              </w:rPr>
              <w:t>October 4,</w:t>
            </w:r>
          </w:p>
        </w:tc>
        <w:tc>
          <w:tcPr>
            <w:tcW w:w="146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September 28, 2018</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gridSpan w:val="3"/>
          </w:tcPr>
          <w:p>
            <w:pPr>
              <w:jc w:val="right"/>
              <w:ind w:right="4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by Product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Hard disk drives (“HDD”)</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2,408</w:t>
            </w:r>
          </w:p>
        </w:tc>
        <w:tc>
          <w:tcPr>
            <w:tcW w:w="100" w:type="dxa"/>
            <w:vAlign w:val="bottom"/>
          </w:tcPr>
          <w:p>
            <w:pPr>
              <w:spacing w:after="0"/>
              <w:rPr>
                <w:sz w:val="20"/>
                <w:szCs w:val="20"/>
                <w:color w:val="auto"/>
              </w:rPr>
            </w:pPr>
          </w:p>
        </w:tc>
        <w:tc>
          <w:tcPr>
            <w:tcW w:w="80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2,494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Flash-based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4,040</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0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5,028</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Revenue by End Market</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Devices</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Data Center Devices &amp; Solutions</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Solutions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4,040</w:t>
            </w:r>
          </w:p>
        </w:tc>
        <w:tc>
          <w:tcPr>
            <w:tcW w:w="10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5,028</w:t>
            </w:r>
          </w:p>
        </w:tc>
        <w:tc>
          <w:tcPr>
            <w:tcW w:w="0" w:type="dxa"/>
            <w:vAlign w:val="bottom"/>
          </w:tcPr>
          <w:p>
            <w:pPr>
              <w:spacing w:after="0"/>
              <w:rPr>
                <w:sz w:val="1"/>
                <w:szCs w:val="1"/>
                <w:color w:val="auto"/>
              </w:rPr>
            </w:pPr>
          </w:p>
        </w:tc>
      </w:tr>
      <w:tr>
        <w:trPr>
          <w:trHeight w:val="284"/>
        </w:trPr>
        <w:tc>
          <w:tcPr>
            <w:tcW w:w="8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Revenue by Geography</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Americas</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Europe, Middle East and Africa</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2,863</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4,040</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0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5,028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Net revenue decreased $988 million, or 20%, in the three months ended October 4, 2019 from the comparable period in the prior year. Lower average selling prices generated approximately 34 percentage points of the year-over-year decline, with approximately two thirds of that decline attributed to flash-based products and the remainder from HDD. This decline was partially offset by growth in HDD volumes, which contributed approximately 11 percentage points of growth while higher volumes of flash products contributed approximately three percentage points of growth. Client Devices revenue decreased 39% year over year, with approximately 30 percentage points due to lower average selling prices and the balance coming from lower volumes of flash-based mobile products and client compute HDD. Our revenue for Data Center Devices and Solutions increased 6% year over year, resulting from an approximately 50-percentage point increase in volume, predominantly from capacity enterprise HDD, partially offset by lower average selling prices. Client Solutions revenue decreased 4% year over year, which predominantly reflects lower prices on retail products. We anticipate flash pricing to improve during fiscal 2020, if supply and demand become more closely aligned as expected.</w:t>
      </w:r>
    </w:p>
    <w:p>
      <w:pPr>
        <w:spacing w:after="0" w:line="182" w:lineRule="exact"/>
        <w:rPr>
          <w:sz w:val="20"/>
          <w:szCs w:val="20"/>
          <w:color w:val="auto"/>
        </w:rPr>
      </w:pPr>
    </w:p>
    <w:p>
      <w:pPr>
        <w:jc w:val="both"/>
        <w:ind w:right="480" w:firstLine="324"/>
        <w:spacing w:after="0" w:line="342" w:lineRule="auto"/>
        <w:rPr>
          <w:sz w:val="20"/>
          <w:szCs w:val="20"/>
          <w:color w:val="auto"/>
        </w:rPr>
      </w:pPr>
      <w:r>
        <w:rPr>
          <w:rFonts w:ascii="Arial" w:cs="Arial" w:eastAsia="Arial" w:hAnsi="Arial"/>
          <w:sz w:val="16"/>
          <w:szCs w:val="16"/>
          <w:color w:val="auto"/>
        </w:rPr>
        <w:t>The changes in our revenue by geography reflect a decrease in Asia primarily driven by our decision to limit our participation in the mobile market resulting in lower sales to manufacturers in the Asia region and a slight increase in the Americas driven by increased sales of capacity enterprise HDD.</w:t>
      </w:r>
    </w:p>
    <w:p>
      <w:pPr>
        <w:spacing w:after="0" w:line="12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One customer accounted for 11% of our net revenue for the three months ended October 4, 2019, and two customers accounted for 11% and 10%, respectively, of our net revenue for the three months ended September 28, 2018. For the three month ended October 4, 2019 and September 28, 2018, our top 10 customers accounted for 43% and 48% of our net revenue, respectively.</w:t>
      </w:r>
    </w:p>
    <w:p>
      <w:pPr>
        <w:spacing w:after="0" w:line="18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the three months ended October 4, 2019 and September 28, 2018, these programs represented 15% and 12%, respectively,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Substantially all of the decrease in gross profit in the three months ended October 4, 2019 from the comparable period in the prior year was due to the lower revenues noted above. In addition, amortization expense on acquired intangible assets decreased by $71 million, partially offset by $68 million of additional charges related to the power outage incident. Gross margin declined 14 percentage points year over year, substantially all of which is attributable to the lower average selling prices for flash-based products noted above.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Research and development (“R&amp;D”) expense for the three months ended October 4, 2019 was essentially flat relative to the comparable period in the prior year but reflects approximately $30 million of additional expense related to the additional week in the current year quarter and approximately $10 million related to increased variable compensation, all of which was more than offset by the savings from our cost reduction actions.</w:t>
      </w:r>
    </w:p>
    <w:p>
      <w:pPr>
        <w:spacing w:after="0" w:line="147" w:lineRule="exact"/>
        <w:rPr>
          <w:sz w:val="20"/>
          <w:szCs w:val="20"/>
          <w:color w:val="auto"/>
        </w:rPr>
      </w:pPr>
    </w:p>
    <w:p>
      <w:pPr>
        <w:ind w:right="600" w:firstLine="324"/>
        <w:spacing w:after="0" w:line="264" w:lineRule="auto"/>
        <w:rPr>
          <w:sz w:val="20"/>
          <w:szCs w:val="20"/>
          <w:color w:val="auto"/>
        </w:rPr>
      </w:pPr>
      <w:r>
        <w:rPr>
          <w:rFonts w:ascii="Arial" w:cs="Arial" w:eastAsia="Arial" w:hAnsi="Arial"/>
          <w:sz w:val="18"/>
          <w:szCs w:val="18"/>
          <w:color w:val="auto"/>
        </w:rPr>
        <w:t>Selling, general and administrative (“SG&amp;A”) expense for the three months ended October 4, 2019 decreased by $51 million, or 14%, from the comparable period in the prior year, primarily due to savings realized from our cost reduction actions, partially offset by approximately $10 million of additional expense related to the additional week in the current year quarter.</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Employee termination, asset impairment and other charges decreased from the comparable period in the prior year as many of the actions initiated in the prior year have been substantially completed. For additional information regarding employee termination, asset impairment and other charges, see Part I, Item 1, Note 14,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Condensed Consolidated Financial Statements included in this Quarterly Report on Form 10-Q.</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increase in total interest and other expense, net primarily reflects a $6 million increase in interest expense resulting from the additional week in the current year quarter.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However, any additional regulatory or interpretive guidance would constitute new information, which may require further refinements to our estimates in future periods.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income tax information from our Condensed Consolidated Statements of Operations by dollar and effective tax rate: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4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463"/>
              <w:spacing w:after="0" w:line="153" w:lineRule="exact"/>
              <w:rPr>
                <w:sz w:val="20"/>
                <w:szCs w:val="20"/>
                <w:color w:val="auto"/>
              </w:rPr>
            </w:pPr>
            <w:r>
              <w:rPr>
                <w:rFonts w:ascii="Arial" w:cs="Arial" w:eastAsia="Arial" w:hAnsi="Arial"/>
                <w:sz w:val="14"/>
                <w:szCs w:val="14"/>
                <w:b w:val="1"/>
                <w:bCs w:val="1"/>
                <w:color w:val="auto"/>
              </w:rPr>
              <w:t>October 4,</w:t>
            </w:r>
          </w:p>
        </w:tc>
        <w:tc>
          <w:tcPr>
            <w:tcW w:w="260" w:type="dxa"/>
            <w:vAlign w:val="bottom"/>
          </w:tcPr>
          <w:p>
            <w:pPr>
              <w:spacing w:after="0"/>
              <w:rPr>
                <w:sz w:val="13"/>
                <w:szCs w:val="13"/>
                <w:color w:val="auto"/>
              </w:rPr>
            </w:pPr>
          </w:p>
        </w:tc>
        <w:tc>
          <w:tcPr>
            <w:tcW w:w="130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2018</w:t>
            </w:r>
          </w:p>
        </w:tc>
      </w:tr>
      <w:tr>
        <w:trPr>
          <w:trHeight w:val="223"/>
        </w:trPr>
        <w:tc>
          <w:tcPr>
            <w:tcW w:w="8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3"/>
          </w:tcPr>
          <w:p>
            <w:pPr>
              <w:jc w:val="right"/>
              <w:ind w:right="443"/>
              <w:spacing w:after="0"/>
              <w:rPr>
                <w:sz w:val="20"/>
                <w:szCs w:val="20"/>
                <w:color w:val="auto"/>
              </w:rPr>
            </w:pPr>
            <w:r>
              <w:rPr>
                <w:rFonts w:ascii="Arial" w:cs="Arial" w:eastAsia="Arial" w:hAnsi="Arial"/>
                <w:sz w:val="16"/>
                <w:szCs w:val="16"/>
                <w:i w:val="1"/>
                <w:iCs w:val="1"/>
                <w:color w:val="auto"/>
              </w:rPr>
              <w:t>(in millions, except percentages)</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(237)</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583</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20"/>
                <w:szCs w:val="20"/>
                <w:color w:val="auto"/>
              </w:rPr>
            </w:pPr>
          </w:p>
        </w:tc>
        <w:tc>
          <w:tcPr>
            <w:tcW w:w="1360" w:type="dxa"/>
            <w:vAlign w:val="bottom"/>
          </w:tcPr>
          <w:p>
            <w:pPr>
              <w:jc w:val="right"/>
              <w:ind w:right="203"/>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20"/>
                <w:szCs w:val="20"/>
                <w:color w:val="auto"/>
              </w:rPr>
            </w:pP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72</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The primary drivers of the difference between the effective tax rate for the three months ended October 4, 2019 and the U.S. Federal statutory rate of 21% are the relative mix of earnings and losses by jurisdiction, the deduction for foreign derived intangible income, credits and tax holidays in Malaysia, Philippines and Thailand that will expire at various dates during fiscal years 2020 through 2030.</w:t>
      </w:r>
    </w:p>
    <w:p>
      <w:pPr>
        <w:spacing w:after="0" w:line="181"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primary driver of the difference between the effective tax rate for the three months ended September 28, 2018 and the U.S. Federal statutory rate of 21% is the discrete effect of the provisional income tax benefit of $52 million related to the decision to utilize our 2018 operating loss to partially offset the mandatory deemed repatriation tax.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70"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 xml:space="preserve">For additional information regarding income tax expense (benefit), see Part I, Item 1, Note 12,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September 28,</w:t>
            </w:r>
          </w:p>
        </w:tc>
      </w:tr>
      <w:tr>
        <w:trPr>
          <w:trHeight w:val="192"/>
        </w:trPr>
        <w:tc>
          <w:tcPr>
            <w:tcW w:w="8340" w:type="dxa"/>
            <w:vAlign w:val="bottom"/>
          </w:tcPr>
          <w:p>
            <w:pPr>
              <w:spacing w:after="0"/>
              <w:rPr>
                <w:sz w:val="16"/>
                <w:szCs w:val="16"/>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8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gridSpan w:val="3"/>
          </w:tcPr>
          <w:p>
            <w:pPr>
              <w:jc w:val="right"/>
              <w:ind w:right="222"/>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705</w:t>
            </w:r>
          </w:p>
        </w:tc>
      </w:tr>
      <w:tr>
        <w:trPr>
          <w:trHeight w:val="33"/>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6"/>
              </w:rPr>
              <w:t>(492)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(807)</w:t>
            </w:r>
          </w:p>
        </w:tc>
      </w:tr>
      <w:tr>
        <w:trPr>
          <w:trHeight w:val="33"/>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(207)</w:t>
            </w: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w:t>
            </w:r>
          </w:p>
        </w:tc>
      </w:tr>
      <w:tr>
        <w:trPr>
          <w:trHeight w:val="20"/>
        </w:trPr>
        <w:tc>
          <w:tcPr>
            <w:tcW w:w="8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 xml:space="preserve">We believe our cash, cash equivalents and cash generated from operations as well as our available credit facilities will be sufficient to meet our working capital, debt, dividend and capital expenditure needs for at least the next twelve months. Our ability to sustain our working capital position is subject to a number of risks that we discuss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Quarterly Report on Form 10-Q.</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During fiscal 2020, we expect cash used for purchases of property, plant and equipment and net activity in notes receivable and equity investments relating to our Flash Ventures joint venture with Kioxia to be less than $500 million. The total expected cash to be used could vary depending on the timing and completion of various capital projects and the availability, timing and terms of related financing.</w:t>
      </w:r>
    </w:p>
    <w:p>
      <w:pPr>
        <w:spacing w:after="0" w:line="18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 total of $2.60 billion and $2.37 billion of our cash and cash equivalents was held outside of the U.S. as of October 4, 2019 and June 28, 2019, respectively. During fiscal 2019, the IRS issued interpretative guidance affecting the taxation of a certain portion of our foreign undistributed earnings, which could result in additional federal taxes. After consideration of this interpretative guidance, we made the determination that we do not intend to repatriate this portion of our foreign undistributed earnings and did not establish an accrual for this liability.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Cash flow from operating activities primarily consists of net income, adjusted for non-cash charges, plus or minus changes in operating assets and liabilities. This represents our principal source of cash. Net cash provided by changes in operating assets and liabilities was $82 million for the three months ended October 4, 2019, as compared to $597 million net cash used for changes in operating assets and liabilities for the three months ended September 28, 2018.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The cash conversion cycles were as follows:</w:t>
      </w:r>
    </w:p>
    <w:p>
      <w:pPr>
        <w:spacing w:after="0" w:line="184"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00" w:type="dxa"/>
            <w:vAlign w:val="bottom"/>
          </w:tcPr>
          <w:p>
            <w:pPr>
              <w:ind w:left="420"/>
              <w:spacing w:after="0"/>
              <w:rPr>
                <w:sz w:val="20"/>
                <w:szCs w:val="20"/>
                <w:color w:val="auto"/>
              </w:rPr>
            </w:pPr>
            <w:r>
              <w:rPr>
                <w:rFonts w:ascii="Arial" w:cs="Arial" w:eastAsia="Arial" w:hAnsi="Arial"/>
                <w:sz w:val="14"/>
                <w:szCs w:val="14"/>
                <w:b w:val="1"/>
                <w:bCs w:val="1"/>
                <w:color w:val="auto"/>
                <w:w w:val="95"/>
              </w:rPr>
              <w:t>October 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w w:val="93"/>
              </w:rPr>
              <w:t>September 28,</w:t>
            </w:r>
          </w:p>
        </w:tc>
        <w:tc>
          <w:tcPr>
            <w:tcW w:w="0" w:type="dxa"/>
            <w:vAlign w:val="bottom"/>
          </w:tcPr>
          <w:p>
            <w:pPr>
              <w:spacing w:after="0"/>
              <w:rPr>
                <w:sz w:val="1"/>
                <w:szCs w:val="1"/>
                <w:color w:val="auto"/>
              </w:rPr>
            </w:pPr>
          </w:p>
        </w:tc>
      </w:tr>
      <w:tr>
        <w:trPr>
          <w:trHeight w:val="192"/>
        </w:trPr>
        <w:tc>
          <w:tcPr>
            <w:tcW w:w="9440" w:type="dxa"/>
            <w:vAlign w:val="bottom"/>
            <w:gridSpan w:val="2"/>
          </w:tcPr>
          <w:p>
            <w:pPr>
              <w:ind w:left="894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i w:val="1"/>
                <w:iCs w:val="1"/>
                <w:color w:val="auto"/>
                <w:w w:val="96"/>
              </w:rPr>
              <w:t>(in days)</w:t>
            </w: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Days sales outstanding</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9440" w:type="dxa"/>
            <w:vAlign w:val="bottom"/>
            <w:gridSpan w:val="2"/>
          </w:tcPr>
          <w:p>
            <w:pPr>
              <w:ind w:left="40"/>
              <w:spacing w:after="0"/>
              <w:rPr>
                <w:sz w:val="20"/>
                <w:szCs w:val="20"/>
                <w:color w:val="auto"/>
              </w:rPr>
            </w:pPr>
            <w:r>
              <w:rPr>
                <w:rFonts w:ascii="Arial" w:cs="Arial" w:eastAsia="Arial" w:hAnsi="Arial"/>
                <w:sz w:val="16"/>
                <w:szCs w:val="16"/>
                <w:color w:val="auto"/>
              </w:rPr>
              <w:t>Days in inventory</w:t>
            </w: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payables outstanding</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6"/>
                <w:szCs w:val="16"/>
                <w:color w:val="auto"/>
              </w:rPr>
              <w:t>Cash conversion cycle</w:t>
            </w:r>
          </w:p>
        </w:tc>
        <w:tc>
          <w:tcPr>
            <w:tcW w:w="1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49</w:t>
            </w: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Changes in days sales outstanding (“DSOs”) are generally due to the linearity of shipments. Changes in days in inventory (“DIOs”) are generally related to the timing of inventory builds. Changes in days payables outstanding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the three months ended October 4, 2019, DSO decreased by 5 days over the prior year, primarily reflecting the timing of shipments and customer collections. DIO increased by 14 days over the prior year, primarily reflecting increased stocking levels of hard drive inventory in response to the plant closure in Kuala Lumpur, Malaysia and additional flash inventory based on timing of receipts of wafers as production resumed this quarter. DPO increased by 3 days over the prior year, primarily reflecting resumptions of normal flash production volumes as well as routine variations in timing of purchases and payments during the period.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Net cash provided by investing activities for the three months ended October 4, 2019 primarily consisted of a $186 million net decrease in notes receivable issuances to Flash Ventures, partially offset by $145 million of capital expenditures and $22 million for acquisitions. Net cash used in investing activities for the three months ended September 28, 2018 primarily consisted of $277 million of capital expenditures partially offset by a $29 million net decrease in notes receivable issuances to Flash Ventures.</w:t>
      </w:r>
    </w:p>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In addition, from time to time, we invest directly in U.S. Treasury securities, U.S. and international government agency securities, certificates of deposit, asset backed securities and corporate and municipal notes and bonds.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three months ended October 4, 2019, net cash used in financing activities primarily consisted of $319 million for repayment of debt,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$147 million to pay dividends on our common stock and $52 million for taxes paid on vested stock awards under employee stock plans. Net cash used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for the three months ended September 28, 2018 consisted of $563 million for share repurchases, $148 million to pay dividends on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$66 million for taxes paid on vested stock awards under employee stock plans and $38 million for repayment of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 xml:space="preserve">Other than the commitments related to Flash Ventures, facility lease commitments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(“Unis”), referred to as the “Unis Venture”, we do not have an interest in, or relationships with, any variable interest entities. For additional information regarding our off-balance sheet arrangements, see Part I, Item 1, Note 9,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October 4,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1 Year (Remaining</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2-3 Years (2021-</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4-5 Years (2023-</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9 months of 2020)</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(Beyond 2024)</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10,374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7,349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1,664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6,010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 and other commitments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Mandatory Deemed Repatriation Tax</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3,563</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Principal portion of debt, excluding discounts and issuance costs.</w:t>
      </w:r>
    </w:p>
    <w:p>
      <w:pPr>
        <w:spacing w:after="0" w:line="1" w:lineRule="exact"/>
        <w:rPr>
          <w:rFonts w:ascii="Arial" w:cs="Arial" w:eastAsia="Arial" w:hAnsi="Arial"/>
          <w:sz w:val="25"/>
          <w:szCs w:val="25"/>
          <w:color w:val="auto"/>
          <w:vertAlign w:val="superscript"/>
        </w:rPr>
      </w:pPr>
    </w:p>
    <w:p>
      <w:pPr>
        <w:ind w:left="340" w:right="640" w:hanging="332"/>
        <w:spacing w:after="0" w:line="232" w:lineRule="auto"/>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 xml:space="preserve">Additional information regarding our indebtedness, including information about availability under our revolving credit facility and the principal repayment terms, interest rates, covenants and other key terms of our outstanding indebtedness, is included in Part I, Item 1,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Condensed Consolidated Financial Statements in this Quarterly Report on Form 10-Q and in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our Annual Report on Form 10-K for the fiscal year ended June 28, 2019. The credit agreement governing our revolving credit facility and Term Loan A-1 requires us to comply with certain financial covenants, consisting of a leverage ratio and an interest coverage ratio. As of October 4, 2019, we were in compliance with these financial covenants.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October 4, 2019, we were in compliance with all covenants under these Japanese lease facilities. See Part I, Item 1, Note 9, </w:t>
      </w:r>
      <w:r>
        <w:rPr>
          <w:rFonts w:ascii="Arial" w:cs="Arial" w:eastAsia="Arial" w:hAnsi="Arial"/>
          <w:sz w:val="17"/>
          <w:szCs w:val="17"/>
          <w:i w:val="1"/>
          <w:iCs w:val="1"/>
          <w:color w:val="auto"/>
        </w:rPr>
        <w:t>Related Parties and Related Commitments and Contingencies</w:t>
      </w:r>
      <w:r>
        <w:rPr>
          <w:rFonts w:ascii="Arial" w:cs="Arial" w:eastAsia="Arial" w:hAnsi="Arial"/>
          <w:sz w:val="17"/>
          <w:szCs w:val="17"/>
          <w:color w:val="auto"/>
        </w:rPr>
        <w:t>, of the Notes to Condensed Consolidated Financial Statements included in this Quarterly</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10-Q for information regarding Flash Ventures.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2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in the table above.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our estimated mandatory deemed repatriation tax obligations that are payable in the following fiscal years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7"/>
              </w:rPr>
              <w:t>October 4, 2019</w:t>
            </w:r>
          </w:p>
        </w:tc>
      </w:tr>
      <w:tr>
        <w:trPr>
          <w:trHeight w:val="23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nine months of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99</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99</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248</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2026</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r>
      <w:tr>
        <w:trPr>
          <w:trHeight w:val="244"/>
        </w:trPr>
        <w:tc>
          <w:tcPr>
            <w:tcW w:w="994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1,042</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 xml:space="preserve">For additional information regarding our estimate of the total tax liability for the mandatory deemed repatriation tax, see Part II, Item 8, Note 13,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 Expense</w:t>
      </w:r>
      <w:r>
        <w:rPr>
          <w:rFonts w:ascii="Arial" w:cs="Arial" w:eastAsia="Arial" w:hAnsi="Arial"/>
          <w:sz w:val="16"/>
          <w:szCs w:val="16"/>
          <w:color w:val="auto"/>
        </w:rPr>
        <w:t>, of the Notes to Consolidated Financial Statements included in our Annual Report on Form 10-K for the fiscal year ended June 28, 2019.</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As of October 4, 2019, the liability for unrecognized tax benefits (excluding accrued interest and penalties) was approximately $691 million. Accrued interest and penalties related to unrecognized tax benefits as of October 4, 2019 was approximately $126 million. Of these amounts, approximately $698 million could result in potential cash payments. We are not able to provide a reasonable estimate of the timing of future tax payments related to these obligations.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 xml:space="preserve">We have entered into interest rate swap agreements to moderate our exposure to fluctuations in interest rates underlying our variable rate debt. For a description of our current interest rate swaps, see Part I,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included in this Quarterly Report on Form 10-Q.</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and Part I, Item 1, Note 6,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of the Notes to Condensed Consolidated Financial Statements included in this Quarterly Report on Form 10-Q.</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Board of Directors has authorized a stock repurchase program for the repurchase of up to $5.00 billion of our common stock, which authorization is effective through July 25, 2023. For the three months ended October 4, 2019, we did not make any stock repurchases. The remaining amount available to be repurchased under our current stock repurchase program as of October 4, 2019 was $4.50 billion. Repurchases under the stock repurchase program may be made in the open market or in privately negotiated transactions and may be made under a Rule 10b5-1 plan. We expect stock repurchases to be funded principally by operating cash flows.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Since the first quarter of 2013, we have issued a quarterly cash dividend. During the three months ended October 4, 2019, we declared aggregate cash dividends of $0.50 per share on our outstanding common stock totaling $149 million, which was paid on October 22, 2019. We may modify, suspend, or cancel our cash dividend policy in any manner and at any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88" w:lineRule="exact"/>
        <w:rPr>
          <w:sz w:val="20"/>
          <w:szCs w:val="20"/>
          <w:color w:val="auto"/>
        </w:rPr>
      </w:pPr>
    </w:p>
    <w:p>
      <w:pPr>
        <w:ind w:right="80" w:firstLine="324"/>
        <w:spacing w:after="0" w:line="219" w:lineRule="exact"/>
        <w:rPr>
          <w:sz w:val="20"/>
          <w:szCs w:val="20"/>
          <w:color w:val="auto"/>
        </w:rPr>
      </w:pPr>
      <w:r>
        <w:rPr>
          <w:rFonts w:ascii="Arial" w:cs="Arial" w:eastAsia="Arial" w:hAnsi="Arial"/>
          <w:sz w:val="17"/>
          <w:szCs w:val="17"/>
          <w:color w:val="auto"/>
        </w:rPr>
        <w:t xml:space="preserve">See Part I, Item 1, Note 2, </w:t>
      </w: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xml:space="preserve">, and Note 10, </w:t>
      </w:r>
      <w:r>
        <w:rPr>
          <w:rFonts w:ascii="Arial" w:cs="Arial" w:eastAsia="Arial" w:hAnsi="Arial"/>
          <w:sz w:val="17"/>
          <w:szCs w:val="17"/>
          <w:i w:val="1"/>
          <w:iCs w:val="1"/>
          <w:color w:val="auto"/>
        </w:rPr>
        <w:t>Leases and Other Commitments</w:t>
      </w:r>
      <w:r>
        <w:rPr>
          <w:rFonts w:ascii="Arial" w:cs="Arial" w:eastAsia="Arial" w:hAnsi="Arial"/>
          <w:sz w:val="17"/>
          <w:szCs w:val="17"/>
          <w:color w:val="auto"/>
        </w:rPr>
        <w:t>, of the Notes to Condensed Consolidated Financial Statements included in this Quarterly Report on Form 10-Q for a discussion of a recently adopted accounting pronouncement that affects our accounting for lease obligations. There have been no other material changes in our critical accounting policies and estimates from those disclosed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28, 2019. Please refer to Part II, Item 7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28, 2019 for a discussion of our critical accounting policies and estimates.</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12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00" w:lineRule="exact"/>
        <w:rPr>
          <w:sz w:val="20"/>
          <w:szCs w:val="20"/>
          <w:color w:val="auto"/>
        </w:rPr>
      </w:pPr>
    </w:p>
    <w:p>
      <w:pPr>
        <w:spacing w:after="0" w:line="24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There have been no material changes t</w:t>
      </w:r>
      <w:r>
        <w:rPr>
          <w:rFonts w:ascii="Arial" w:cs="Arial" w:eastAsia="Arial" w:hAnsi="Arial"/>
          <w:sz w:val="18"/>
          <w:szCs w:val="18"/>
          <w:color w:val="212529"/>
        </w:rPr>
        <w:t>o our market risk during the three months ended</w:t>
      </w:r>
      <w:r>
        <w:rPr>
          <w:rFonts w:ascii="Arial" w:cs="Arial" w:eastAsia="Arial" w:hAnsi="Arial"/>
          <w:sz w:val="18"/>
          <w:szCs w:val="18"/>
          <w:color w:val="auto"/>
        </w:rPr>
        <w:t xml:space="preserve"> October 4, 2019</w:t>
      </w:r>
      <w:r>
        <w:rPr>
          <w:rFonts w:ascii="Arial" w:cs="Arial" w:eastAsia="Arial" w:hAnsi="Arial"/>
          <w:sz w:val="18"/>
          <w:szCs w:val="18"/>
          <w:color w:val="212529"/>
        </w:rPr>
        <w:t>. For a discussion of our exposure to market risk,</w:t>
      </w:r>
      <w:r>
        <w:rPr>
          <w:rFonts w:ascii="Arial" w:cs="Arial" w:eastAsia="Arial" w:hAnsi="Arial"/>
          <w:sz w:val="18"/>
          <w:szCs w:val="18"/>
          <w:color w:val="auto"/>
        </w:rPr>
        <w:t xml:space="preserve"> </w:t>
      </w:r>
      <w:r>
        <w:rPr>
          <w:rFonts w:ascii="Arial" w:cs="Arial" w:eastAsia="Arial" w:hAnsi="Arial"/>
          <w:sz w:val="18"/>
          <w:szCs w:val="18"/>
          <w:color w:val="212529"/>
        </w:rPr>
        <w:t>see Part II, Item 7A, “Quantitative and Qualitative Disclosures About Market Risk” in our Annual Report on Form 10-K for the fiscal year ended June 28, 2019.</w:t>
      </w:r>
    </w:p>
    <w:p>
      <w:pPr>
        <w:spacing w:after="0" w:line="3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9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implementing an enterprise resource planning (“ERP”) system on a worldwide basis, which is expected to improve the efficiency of certain financial and related transactional processes. The gradual implementation is expected to occur in phases over the next several years. We have completed the implementation of certain processes, including the financial consolidation and reporting, fixed assets, supplier management and indirect procure-to-pay processes,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OTHER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For a description of our legal proceedings, see Part I, Item 1, Note 15, </w:t>
      </w:r>
      <w:r>
        <w:rPr>
          <w:rFonts w:ascii="Arial" w:cs="Arial" w:eastAsia="Arial" w:hAnsi="Arial"/>
          <w:sz w:val="18"/>
          <w:szCs w:val="18"/>
          <w:i w:val="1"/>
          <w:iCs w:val="1"/>
          <w:color w:val="auto"/>
        </w:rPr>
        <w:t>Legal Proceedings</w:t>
      </w:r>
      <w:r>
        <w:rPr>
          <w:rFonts w:ascii="Arial" w:cs="Arial" w:eastAsia="Arial" w:hAnsi="Arial"/>
          <w:sz w:val="18"/>
          <w:szCs w:val="18"/>
          <w:color w:val="auto"/>
        </w:rPr>
        <w:t>, of the Notes to Condensed Consolidated Financial Statements included in this Quarterly Report on Form 10-Q, which is incorporated by reference in response to this item.</w:t>
      </w:r>
    </w:p>
    <w:p>
      <w:pPr>
        <w:spacing w:after="0" w:line="16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represent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Adverse global or regional conditions could harm our business, results of operations and financial condition.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large portion of our revenue is derived from our international operations, and many of our products and components are produced overseas. As a result, our business, results of operations and financial condition depend significantly on global and regional conditions. Adverse changes in global or regional economic conditions, including, but not limited to, volatility in the financial markets, tighter credit, slower growth in certain geographic regions, political uncertainty, other macroeconomic factors, and changes to social conditions, policies, rules and regulations, could significantly harm demand for our products, increase credit and collectability risks, result in revenue reductions, cause us to change our business practices, increase manufacturing and operating costs or result in impairment charges or other expenses.</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revenue and future growth are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and changes in foreign laws and regulations;</w:t>
      </w:r>
    </w:p>
    <w:p>
      <w:pPr>
        <w:spacing w:after="0" w:line="248"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restrictions, such as export controls, export bans, embargoes, sanctions, license and certification requirements (including on encryption technology), new or increased tariffs and fees and complex customs regulations;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risks, our business, results of operations or financial condition could be adversely affected.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80" w:firstLine="162"/>
        <w:spacing w:after="0" w:line="308" w:lineRule="auto"/>
        <w:rPr>
          <w:sz w:val="20"/>
          <w:szCs w:val="20"/>
          <w:color w:val="auto"/>
        </w:rPr>
      </w:pPr>
      <w:r>
        <w:rPr>
          <w:rFonts w:ascii="Arial" w:cs="Arial" w:eastAsia="Arial" w:hAnsi="Arial"/>
          <w:sz w:val="17"/>
          <w:szCs w:val="17"/>
          <w:b w:val="1"/>
          <w:bCs w:val="1"/>
          <w:i w:val="1"/>
          <w:iCs w:val="1"/>
          <w:color w:val="auto"/>
        </w:rPr>
        <w:t>We rely substantially on our business ventures with Kioxia Corporation (“Kioxia”) for the development and supply of flash-based memory, which subjects us to risks and uncertainties that could harm our business, financial condition and operating results.</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depend on our ventures with Kioxia to develop and manufacture our flash-based memory. We partner with Kioxia on the development of flash-based technology, including future generations of 3D NAND, as well as other non-volatile memory technology in support of Flash Ventures. Flash Ventures is subject to various risks that could harm the value of our investments, our revenue and costs, our future rate of spending, our technology plans and our future growth opportunities.</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Substantially all of our flash-based memory is supplied by Flash Ventures, which limits our ability to respond to market demand and supply changes. A failure to accurately forecast demand could cause us to over-invest or under-invest in technology transitions or the expansion of Flash Ventures’ capacity. Over-investment by us or our competitors could result in excess supply, which could cause significant decreases in our product prices, significant excess, obsolete inventory or inventory write-downs or under-utilization charges, and the potential impairment of our investments in Flash Ventures. On the other hand, if we under-invest in Flash Ventures or otherwise grow or transition Flash Ventures’ capacity more slowly than we expect or than the rest of the industry, we may not have enough supply of the right type of memory or at all to meet demand on a timely and cost effective basis and we may lose opportunities for revenue, gross margin and market share as a result. If our supply is limited, we may make strategic decisions with respect to the allocation of our supply among our products and customers, and these strategic allocation decisions may result in less favorable gross margin or damage certain customer relationships. We are contractually obligated to pay for 50% of the fixed costs of Flash Ventures regardless of whether we purchase any wafers from Flash Ventures. Furthermore, purchase orders placed with Flash Ventures and under the foundry arrangements with Kioxia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7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Under the Flash Ventures agreements, we have limited power to unilaterally direct most of the activities that most significantly impact Flash Ventures’ performance and we have limited ability to source or fabricate flash-based memory outside of Flash Ventures. Lack of alignment with Kioxia with respect to Flash Ventures could adversely impact our ability to stay at the forefront of technological advancement and our investment in Flash Ventures and otherwise harm our business. Misalignment could arise due to changes in Kioxia’s strategic priorities and/or ownership, which has changed significantly recently and could continue to change. Kioxia’s stakeholders may include, or have included in the past, flash and HDD competitors, customers, a private equity firm and a bank owned by the Government of Japan. Kioxia’s ownership and capital structure could lead to delays in decision-making, disputes, or changes in strategic direction that could adversely impact Flash Ventures and/or adversely affect our business prospects, results of operations and financial condition. There may exist conflicts of interest between Kioxia’s stakeholders and Flash Ventures or us with respect to, among other things, protecting and growing Flash Ventures’ business, IP and competitively sensitive confidential information.</w:t>
      </w:r>
    </w:p>
    <w:p>
      <w:pPr>
        <w:spacing w:after="0" w:line="18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Flash Ventures requires significant investments by both Kioxia and us for technology transitions, including the transition to 3D NAND, and capacity expansions. In May 2019, Kioxia’s parent company, Kioxia Holdings Corporation (“KHC”, formerly known as Toshiba Memory Holdings Corporation), announced new financing in the amount of 1.2 trillion Japanese yen. KHC’s financing agreements and/or its high level of debt could limit Kioxia’s ability to timely fund or finance investments in Flash Ventures or our joint development efforts, as well as limit Flash Ventures’ ability to enter into lease financings. Availability of lease financings for Flash Ventures could also be limited by our and/or Kioxia’s financial performance. To the extent that lease financings for Flash Ventures are not accessible on favorable terms or at all, more cash would be required to fund investments. If Kioxia does not or we do not provide sufficient resources, or have adequate access to credit, to timely fund investments in Flash Ventures, our investments could be delayed or reduced. Delayed or reduced investment in manufacturing capacity or R&amp;D could harm Flash Ventures’ competitiveness and/or our investment in Flash Ventures. In addition, KHC’s financing arrangements might be secured by Kioxia’s equity interests in Flash Ventures, permitting the lenders to foreclose on those equity interests under certain circumstances.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May 2019, we entered into definitive agreements with Kioxia regarding a new 3D NAND wafer fabrication facility in Kitakami, Iwate, Japan, known as “K1.” Under the K1 agreement, we agreed to, among other things, fund 50% of K1’s initial production line. Output from the initial production line, which is expected in the first half of calendar year 2020, could be delayed, reduced or otherwise fail to meet our expectations. As K1 is located at a new manufacturing site, K1 could be particularly susceptible to delays and other challenges in the production ramp and yields, qualification of wafers, shipment of samples to customers and customer approval process. Further, although we intend to continue to jointly invest with Kioxia to ramp up manufacturing capacity at K1, there is no certainty as to when, and on what terms, we will do so. If and for so long as our share of the K1 capacity falls below a specified threshold, we will be responsible for bearing fixed costs associated with K1’s operations at that threshold, which could adversely affect our financial results.</w:t>
      </w:r>
    </w:p>
    <w:p>
      <w:pPr>
        <w:spacing w:after="0" w:line="16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We participate in a highly competitive industry that is subject to declining average selling prices (“ASPs”), volatile demand, rapid technological change and industry consolidation, all of which could adversely affect our operating results and financial condition.</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prices of our products are influenced by, among other factors, the balance between supply and demand in the storage market, including the effects of new fab capacity, macroeconomic factors, business conditions, technology transitions and other actions taken by us or our competitors. The storage market has experienced volatile product life cycles, which can adversely affect our ability to recover the cost of product development, and periods of excess capacity, which can lead to liquidation of excess inventories, significant reductions in ASPs and adverse impacts on our revenue and gross margins.</w:t>
      </w:r>
    </w:p>
    <w:p>
      <w:pPr>
        <w:spacing w:after="0" w:line="16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Further, our ASPs and gross margins tend to decline when there is a shift in the mix of product sales, and sales of lower priced products increase relative to those of higher priced products. Further, we face potential gross margin pressures resulting from our ASPs declining more rapidly than our cost of revenue. Rapid technological changes often reduce the volume and profitability of sales of existing products and increase the risk of inventory obsolescence. Finally, the data storage industry has experienced consolidation over the past several years. Further consolidation across the industry could enhance the capacity, abilities and resources and lower the cost structure of some of our competitors, causing us to be at a competitive disadvantage. These factors may result in significant shifts in market share among the industry’s major participants, including a substantial decrease in our market share, all of which could adversely impact our operating results and financial condition.</w:t>
      </w:r>
    </w:p>
    <w:p>
      <w:pPr>
        <w:spacing w:after="0" w:line="17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addition, we compete based on our ability to offer our customers competitive solutions that provide the most current and desired products and service features. As we compete in new product areas, the overall complexity of our business may increase at an accelerated rate and may result in increases in R&amp;D expenses and substantial investments in manufacturing capability, technology enhancements and go-to-market capability. We must also qualify our products with customers through potentially lengthy testing processes, which may result in delayed, reduced or lost product sales. Some of our competitors offer products and technologies that we do not offer and may be able to use their broader product and technology portfolio to win sales from us, and some of our customers may be developing storage solutions internally, which may reduce their demand for our products. We expect that competition will continue to be intense, and there is a risk that our competitors may be able to gain a product offering or cost structure advantage over us, which may result in a loss of business to us. Further, some of our competitors may utilize certain pricing strategies, including offering products at prices at or below cost, that we may be unable to competitively match. We may also have difficulty effectively competing with manufacturers benefitting from governmental investments.</w:t>
      </w:r>
    </w:p>
    <w:p>
      <w:pPr>
        <w:spacing w:after="0" w:line="167"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b w:val="1"/>
          <w:bCs w:val="1"/>
          <w:i w:val="1"/>
          <w:iCs w:val="1"/>
          <w:color w:val="auto"/>
        </w:rPr>
        <w:t>If we do not properly manage technology transitions and product development and introduction, our competitiveness and operating results may be negatively affected.</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storage markets in which we offer our products continuously undergo technology transitions that we must anticipate and adapt our existing products or develop new products to address in a timely manner. If we fail to implement new technologies successfully, if we are slower than our competitors at implementing new technologies, or if our technology transitions or product development are more costly to complete than anticipated, we may not be able to offer products our customers desire and our costs may not remain competitive, which would harm revenues, our gross margin and operating results.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5"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the success of our technology transitions and product development and introduction depends on a number of other factors, including:</w:t>
      </w:r>
    </w:p>
    <w:p>
      <w:pPr>
        <w:spacing w:after="0" w:line="23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R&amp;D expenses and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vertical integration of some of our products, which may result in more capital expenditures and greater fixed costs than if we were not vertically integrated;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cost effectively respond to customer requests for new products or features and software associated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new products.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Moving to new technologies and products may require us to align to, and build, a new supply base. Our success in new product areas may be dependent in part on our ability to develop close relationships with new suppliers and on our ability to enter into favorable supply agreements. Where this cannot be done, our business and operations may be adversely affected.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58"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Additionally, new technologies and products could substitute for or replace our current technologies and products and make them obsolete. We also develop products to meet certain industry and technical standards, which may change. We could incur substantial costs as a result of shifts in technology and standards, such as adopting new standards or investing in different capital equipment or manufacturing processes to remain competitive.</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For additional technology transition risks related to Flash Ventures, see the risk factor entitled “</w:t>
      </w:r>
      <w:r>
        <w:rPr>
          <w:rFonts w:ascii="Arial" w:cs="Arial" w:eastAsia="Arial" w:hAnsi="Arial"/>
          <w:sz w:val="18"/>
          <w:szCs w:val="18"/>
          <w:i w:val="1"/>
          <w:iCs w:val="1"/>
          <w:color w:val="auto"/>
        </w:rPr>
        <w:t>We rely substantially on our business ventures with Kioxia</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 (“Kioxia”) for the development and supply of flash-based memory, which subjects us to risks and uncertainties that could harm our business, financial condition and operating results.</w:t>
      </w:r>
      <w:r>
        <w:rPr>
          <w:rFonts w:ascii="Arial" w:cs="Arial" w:eastAsia="Arial" w:hAnsi="Arial"/>
          <w:sz w:val="18"/>
          <w:szCs w:val="18"/>
          <w:color w:val="auto"/>
        </w:rPr>
        <w: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37"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partnership with Kioxia for flash-based memory development and manufacturing. These strategic relationships are subject to various risks that could adversely affect the value of our investments and our results of operations and financial condition. These risks include, but are not limited to, the following:</w:t>
      </w:r>
    </w:p>
    <w:p>
      <w:pPr>
        <w:spacing w:after="0" w:line="171" w:lineRule="exact"/>
        <w:rPr>
          <w:sz w:val="20"/>
          <w:szCs w:val="20"/>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right="14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23" w:lineRule="exact"/>
        <w:rPr>
          <w:rFonts w:ascii="Arial" w:cs="Arial" w:eastAsia="Arial" w:hAnsi="Arial"/>
          <w:sz w:val="16"/>
          <w:szCs w:val="16"/>
          <w:color w:val="auto"/>
        </w:rPr>
      </w:pPr>
    </w:p>
    <w:p>
      <w:pPr>
        <w:ind w:left="660" w:right="2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23"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170" w:lineRule="exact"/>
        <w:rPr>
          <w:sz w:val="20"/>
          <w:szCs w:val="20"/>
          <w:color w:val="auto"/>
        </w:rPr>
      </w:pPr>
    </w:p>
    <w:p>
      <w:pPr>
        <w:ind w:right="180" w:firstLine="162"/>
        <w:spacing w:after="0" w:line="286" w:lineRule="auto"/>
        <w:rPr>
          <w:sz w:val="20"/>
          <w:szCs w:val="20"/>
          <w:color w:val="auto"/>
        </w:rPr>
      </w:pPr>
      <w:r>
        <w:rPr>
          <w:rFonts w:ascii="Arial" w:cs="Arial" w:eastAsia="Arial" w:hAnsi="Arial"/>
          <w:sz w:val="17"/>
          <w:szCs w:val="17"/>
          <w:b w:val="1"/>
          <w:bCs w:val="1"/>
          <w:i w:val="1"/>
          <w:iCs w:val="1"/>
          <w:color w:val="auto"/>
        </w:rPr>
        <w:t>We are dependent on a limited number of qualified suppliers who provide critical materials or components, and a disruption in our supply 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Arial" w:cs="Arial" w:eastAsia="Arial" w:hAnsi="Arial"/>
          <w:sz w:val="17"/>
          <w:szCs w:val="17"/>
          <w:i w:val="1"/>
          <w:iCs w:val="1"/>
          <w:color w:val="auto"/>
        </w:rPr>
        <w:t>.</w:t>
      </w:r>
    </w:p>
    <w:p>
      <w:pPr>
        <w:spacing w:after="0" w:line="16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depend on an external supply base for technologies, software (including firmware), preamps, controllers, DRAM,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From time to time, our suppliers have experienced difficulty meeting our requirements.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 volume industries for materials or components used in our products or shortages in other components and materials used in our customers’ products could result in increased costs to us or decreased demand for our products, which could negatively impact our operating results. Delays or cost increases experienced by our suppliers in developing or sourcing materials and components for use in our products or incompatibility or quality issues relating to our products, could also harm our financial results as well as business relationships with our customers.</w:t>
      </w:r>
    </w:p>
    <w:p>
      <w:pPr>
        <w:spacing w:after="0" w:line="18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do not have long-term contracts with some of our existing suppliers, nor do we always have guaranteed manufacturing capacity with our suppliers and, therefore, we cannot guarantee that they will devote sufficient resources or capacity to manufacturing our products. Any significant problems that occur at our suppliers, or their failure to perform at the level we expect, could lead to product shortages or quality assurance problems, either of which would harm our operating results and financial condition. When we do have contractual commitments with component suppliers in an effort to increase and stabilize the supply of those components, those commitments may require us to buy a substantial number of components from the supplier or make significant cash advances to the supplier; however, these commitments may not result in a satisfactory increase or stabilization of the supply of such components and may cause us to have inadequate or excess component inventory, which could increase our operating costs and adversely affect our operating results.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our supply base has experienced industry consolidation. Our suppliers may be acquired by our competitors, consolidate, decide to exit the industry, or redirect their investments and increase costs to us, each of which may have an adverse effect on our business and operations. In addition, some of our suppliers have experienced a decline in financial performance. Where we rely on a limited number of suppliers or a single supplier, the risk of supplier loss due to industry consolidation or a decline in financial performance is enhanced. Some of our suppliers may also be competitors in other areas of our business, which could lead to difficulties in price negotiations or meeting our supply requirements. Any disruption in our supply chain could reduce our revenue and adversely impact our financial results.</w:t>
      </w:r>
    </w:p>
    <w:p>
      <w:pPr>
        <w:spacing w:after="0" w:line="193"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facilities of many of our customers, our suppliers and our customers’ suppliers are also concentrated in certain geographic locations throughout Asia and elsewhere. A fire, flood, earthquake, tsunami or other natural disaster, condition or event such as a power outage, terrorist attack, political instability, civil unrest, localized labor unrest or other employment issues, or a localized health risk that adversely affects any of these facilities, the employees, the technology infrastructure or logistics operators at these facilities, would significantly affect our ability to manufacture or sell our products and source components, which would result in a substantial loss of sales and revenue and a substantial harm to our operating results. In addition, the geographic concentration of our manufacturing sites could exacerbate the negative impacts resulting from any of these problems.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8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Kioxia to obtain and maintain sufficient property, business interruption and other insurance for Flash Ventures. If Kioxia fails to do so, we could suffer significant unreimbursable losses, and such failure could also cause Flash Ventures to breach various financing covenants.</w:t>
      </w:r>
    </w:p>
    <w:p>
      <w:pPr>
        <w:spacing w:after="0" w:line="165" w:lineRule="exact"/>
        <w:rPr>
          <w:sz w:val="20"/>
          <w:szCs w:val="20"/>
          <w:color w:val="auto"/>
        </w:rPr>
      </w:pPr>
    </w:p>
    <w:p>
      <w:pPr>
        <w:ind w:right="240" w:firstLine="162"/>
        <w:spacing w:after="0" w:line="308" w:lineRule="auto"/>
        <w:rPr>
          <w:sz w:val="20"/>
          <w:szCs w:val="20"/>
          <w:color w:val="auto"/>
        </w:rPr>
      </w:pPr>
      <w:r>
        <w:rPr>
          <w:rFonts w:ascii="Arial" w:cs="Arial" w:eastAsia="Arial" w:hAnsi="Arial"/>
          <w:sz w:val="17"/>
          <w:szCs w:val="17"/>
          <w:b w:val="1"/>
          <w:bCs w:val="1"/>
          <w:i w:val="1"/>
          <w:iCs w:val="1"/>
          <w:color w:val="auto"/>
        </w:rPr>
        <w:t>We experience sales seasonality and cyclicality, which could cause our operating results to fluctuate. In addition, accurately forecasting demand has become more difficult, which could adversely affect our business and financial results or operating efficiencies.</w:t>
      </w:r>
    </w:p>
    <w:p>
      <w:pPr>
        <w:spacing w:after="0" w:line="14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Sales of computer systems, mobile devices, storage subsystems, gaming consoles and consumer electronics tend to be seasonal and subject to supply-demand cycles, and therefore we expect to continue to experience seasonality and cyclicality in our business as we respond to variations in supply dynamics and customer demand. Changes in seasonal and cyclical supply and demand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actions by competitors, new product introductions and macroeconomic conditions.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5"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variety and volume of products we manufacture are based in part on accurately forecasting market and customer demand for our products. Accurately forecasting demand has also become increasingly difficult for us, our customers and our suppliers due to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we could experience periods of product oversupply, excess inventory, and price decreases, which could impact our sales, ASPs and gross margin, thereby adversely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180"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management, staff and skilled employees, the inability to hire and integrate new employees or decisions to realign our business could negatively impact our business prospects.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Changes in our key management team can result in loss of continuity, loss of accumulated knowledge, departure of other key employees, disruptions to our operations and inefficiency during transitional periods. Global competition for skilled employees in the technology related industry is intense, and our business success becomes increasingly dependent on our ability to retain our key staff and skilled employees, to implement succession plans for our key management and staff, to attract, integrate and retain new skilled employees, including employees from acquisitions, and to make decisions to realign our business to take advantage of efficiencies or reduce redundancies. Additionally, because a substantial portion of our key employees’ compensation is placed “at risk” and linked to the performance of our business, including through equity compensation, when our operating results are negatively impacted, we may be at a competitive disadvantage for retaining and hiring key management, staff and skilled employees versus other companies that may pay a relatively higher portion of base compensation. If we are unable to hire and retain key management, staff or skilled employees, our operating results would likely be harmed.</w:t>
      </w:r>
    </w:p>
    <w:p>
      <w:pPr>
        <w:spacing w:after="0" w:line="178"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7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may be difficulties with implementing new systems and processes or with integrating systems and processes of companies with complex operations, which could result in inconsistencies in standards, controls, procedures and policies and may increase the risk that our internal controls are found to be ineffective.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b w:val="1"/>
          <w:bCs w:val="1"/>
          <w:i w:val="1"/>
          <w:iCs w:val="1"/>
          <w:color w:val="auto"/>
        </w:rPr>
        <w:t>Any cost saving initiatives, restructurings or divestitures that we undertake may result in disruptions to our operations and may not deliver the results we expect, which may adversely affect our business.</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From time to time, we engage in cost saving initiatives, restructurings and divestitures that may result in workforce reduction and consolidation of our manufacturing or other facilities. As a result of these actions,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do not forego future business opportunities as a result of these actions. If our operating costs are higher than we expect or if we do not maintain adequate control of our costs and expenses, our operating results could be adversely affected.</w:t>
      </w:r>
    </w:p>
    <w:p>
      <w:pPr>
        <w:spacing w:after="0" w:line="178"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adversely impact our liquidity, restrict our operations and ability to respond to business opportunities, and increase our vulnerability to adverse economic and industry conditions.</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of October 4, 2019, our total indebtedness was $10.37 billion in aggregate principal, and we had $2.25 billion of additional borrowing availability under our revolving credit facility.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acquisitions or other general corporate purposes;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w:t>
      </w:r>
    </w:p>
    <w:p>
      <w:pPr>
        <w:spacing w:after="0" w:line="225" w:lineRule="exact"/>
        <w:rPr>
          <w:rFonts w:ascii="Arial" w:cs="Arial" w:eastAsia="Arial" w:hAnsi="Arial"/>
          <w:sz w:val="18"/>
          <w:szCs w:val="18"/>
          <w:color w:val="auto"/>
        </w:rPr>
      </w:pPr>
    </w:p>
    <w:p>
      <w:pPr>
        <w:ind w:left="660" w:right="420" w:hanging="328"/>
        <w:spacing w:after="0" w:line="31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imposing financial and other restrictive covenants on our operations, including limiting our ability to (i) declare or pay dividends or repurchase shares of our common stock; (ii) purchase assets, make investments, complete acquisitions, consolidate or merge with or into, or sell all or substantially all of our assets to, another person; (iii) dispose of assets; (iv) incur liens; and (v) enter into transactions with affiliates; and</w:t>
      </w:r>
    </w:p>
    <w:p>
      <w:pPr>
        <w:spacing w:after="0" w:line="146" w:lineRule="exact"/>
        <w:rPr>
          <w:rFonts w:ascii="Arial" w:cs="Arial" w:eastAsia="Arial" w:hAnsi="Arial"/>
          <w:sz w:val="16"/>
          <w:szCs w:val="16"/>
          <w:color w:val="auto"/>
        </w:rPr>
      </w:pPr>
    </w:p>
    <w:p>
      <w:pPr>
        <w:ind w:left="660" w:right="9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ability to meet the debt service obligations and to comply with our debt covenants depends on our cash flows and financial performance, which are affected by financial, business, economic and other factors.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We may not have sufficient funds available to repay accelerated indebtedness, and we may be required to refinance all or part of our debt, sell important strategic assets at unfavorable prices, incur additional indebtedness or issue common stock or other equity securities, which we may be unable to do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6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our bank debt contains a variable interest rate component based on our corporate credit ratings, a decline in our ratings could result in increased interest rates and debt service obligations. In addition, our ratings impact the cost and availability of future borrowings and, accordingly, our cost of capital. Our ratings reflect the opinions of the ratings agencies as to our financial strength, operating performance and ability to meet our debt obligations. There can be no assurance that we will achieve a particular rating or maintain a particular rating in the future.</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credit agreement uses LIBOR as a reference rate for our term loans and revolving credit facility, such that the applicable interest rate may, at our option, be calculated based on LIBOR. In July 2017, the U.K.’s Financial Conduct Authority, which regulates LIBOR, announced that it intends to phase out LIBOR by the end of 2021. In April 2018, the Federal Reserve Bank of New York began publishing a Secured Overnight Funding Rate, which is intended to replace U.S. dollar LIBOR. Plans for alternative reference rates for other currencies have also been announced. At this time, we cannot predict how markets will respond to these proposed alternative rates or the effect of any changes to LIBOR or the discontinuation of LIBOR. If LIBOR is no longer available or if our lenders have increased costs due to changes in LIBOR, we may experience potential increases in interest rates on our variable rate debt, which could adversely impact our interest expense, results of operations and cash flows. In addition, replacing LIBOR with an alternative reference rate for any of our debt could be a taxable event.</w:t>
      </w:r>
    </w:p>
    <w:p>
      <w:pPr>
        <w:spacing w:after="0" w:line="19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common stock, which may dilute our existing shareholders, reduce the value of our common stock, or both.</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matters may materially affect our financial position and results of operations.</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Changes in tax laws in the United States, the European Union and around the globe have impacted and will continue to impact our effective worldwide tax rate, which may materially affect our financial position and results of operations.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 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16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Our determination of our tax liability in the U.S. and other jurisdictions is subject to review by applicable domestic and foreign tax authorities. For example, as disclosed in Part I, Item 1, Note 12,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of the Notes to Condensed Consolidated Financial Statements included in this Quarterly Report on Form 10-Q, we are under examination by the Internal Revenue Service for certain fiscal years and in connection with that examination, we received statutory notices of deficiency seeking certain adjustments to income and have filed petitions with the U.S. Tax Court.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167"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operating results could suffer.</w:t>
      </w:r>
    </w:p>
    <w:p>
      <w:pPr>
        <w:spacing w:after="0" w:line="17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17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adverse publicity, whether or not justified, or allegations of product or service quality issues, even if false or unfounded, could damage our reputation and cause our customers to choose products offered by our competitors. If customers no longer maintain a preference for our product brands or if our retailers are not successful in selling our products, our operating results may be adversely affected.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market share with or by a key customer, or consolidation among our customer base, could harm our operating results.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During the three months ended October 4, 2019, 43%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We have experienced and may in the future experience events such as the loss of a key customer, prohibition or restriction of sales to a key customer by law, regulation or other government action, reductions in orders of our products by a key customer, customer requirements to reduce our prices before we are able to reduce costs or the acquisition of a key customer by one of our competitors. These events would likely harm our operating results and financial condition.</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Additionally, if there is consolidation among our customer base, our customers may be able to command increased leverage in negotiating prices and other terms of sale, which could adversely affect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165"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or loss of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successfully implement technology transitions or other technology developments, or other failure to reduce product costs to keep pace with reduction in ASPs;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costs due to warranty claims;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87" w:lineRule="exact"/>
        <w:rPr>
          <w:sz w:val="20"/>
          <w:szCs w:val="20"/>
          <w:color w:val="auto"/>
        </w:rPr>
      </w:pPr>
    </w:p>
    <w:p>
      <w:pPr>
        <w:ind w:right="100" w:firstLine="162"/>
        <w:spacing w:after="0" w:line="342" w:lineRule="auto"/>
        <w:rPr>
          <w:sz w:val="20"/>
          <w:szCs w:val="20"/>
          <w:color w:val="auto"/>
        </w:rPr>
      </w:pPr>
      <w:r>
        <w:rPr>
          <w:rFonts w:ascii="Arial" w:cs="Arial" w:eastAsia="Arial" w:hAnsi="Arial"/>
          <w:sz w:val="16"/>
          <w:szCs w:val="16"/>
          <w:b w:val="1"/>
          <w:bCs w:val="1"/>
          <w:i w:val="1"/>
          <w:iCs w:val="1"/>
          <w:color w:val="auto"/>
        </w:rPr>
        <w:t>If our technology infrastructure, systems or products are compromised, damaged or interrupted by cyber attacks, data security breaches, other security problems, design defects or sustain system failures, our operating results and financial condition could be adversely affected.</w:t>
      </w:r>
    </w:p>
    <w:p>
      <w:pPr>
        <w:spacing w:after="0" w:line="12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experience cyber attacks of varying degrees on our technology infrastructure and systems and, as a result, unauthorized parties have obtained in the past, and may in the future obtain, access to our computer systems and networks, including cloud-based platforms. The technology infrastructure and systems of our suppliers, vendors, service providers, cloud solution providers and partners have in the past experienced and may in the future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design flaws, bugs, security vulnerabilities or security weaknesses, as well as intentional or unintentional acts by employees or other insiders with access privileges, intentional acts of vandalism or fraud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developing increasingly sophisticated systems and means to not only attack systems, but also to evade detection or to obscure their activities.</w:t>
      </w:r>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products are also targets for cyber attacks, including those products utilized in cloud-based environments as well as our cloud service offerings.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and indemnification claims and hurting our reputation.</w:t>
      </w:r>
    </w:p>
    <w:p>
      <w:pPr>
        <w:spacing w:after="0" w:line="167"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6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We are subject to laws, rules, and regulations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b w:val="1"/>
          <w:bCs w:val="1"/>
          <w:color w:val="auto"/>
        </w:rPr>
        <w:t>.</w:t>
      </w:r>
    </w:p>
    <w:p>
      <w:pPr>
        <w:spacing w:after="0" w:line="16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are subject to laws, rules, and regulations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product defects, which could result in product recalls or epidemic failures and could subject us to warranty claims in excess of our warranty provisions or which are greater than anticipated, litigation or indemnification claims.</w:t>
      </w:r>
    </w:p>
    <w:p>
      <w:pPr>
        <w:spacing w:after="0" w:line="1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b w:val="1"/>
          <w:bCs w:val="1"/>
          <w:i w:val="1"/>
          <w:iCs w:val="1"/>
          <w:color w:val="auto"/>
        </w:rPr>
        <w:t>We are subject to state, federal and international legal and regulatory requirements, such as environmental, labor, trade, health, safety, anti-corruption and tax regulations, customers’ standards of corporate citizenship, and industry and coalition standards, such as those established by the Responsible Business Alliance (“RBA”), and compliance with those requirements could cause an increase in our operating costs and failure to comply may harm our business.</w:t>
      </w:r>
    </w:p>
    <w:p>
      <w:pPr>
        <w:spacing w:after="0" w:line="18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customers and partners timely comply with such laws and regulations, which may result in an increase in our operating costs.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have a material adverse effect on our business, operating results and financial condition.</w:t>
      </w:r>
    </w:p>
    <w:p>
      <w:pPr>
        <w:spacing w:after="0" w:line="16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125"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involved in litigation, including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8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7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197"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66"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Our reliance on IP and other proprietary information subjects us to the risk that these key ingredients of our business could be copied by competitors.</w:t>
      </w:r>
    </w:p>
    <w:p>
      <w:pPr>
        <w:spacing w:after="0" w:line="26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18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Flash Ventures sells to and leases back a portion of its equipment from a consortium of financial institutions. Most of the lease obligations are guaranteed 50% by us and 50% by Kioxia. Some of the lease obligations are guaranteed in full by us. As of October 4, 2019, the portion of outstanding obligations covered by our guarantees totaled approximately $1.69 billion, based upon the Japanese yen to U.S. dollar exchange rate at October 4, 2019. The leases are subject to customary covenants and cancellation events that relate to Flash Ventures and each of the guarantors. Cancellation events include, among other things, an assignment of all or a substantial part of a guarantor’s business and acceleration of other monetary debts of Flash Ventures or a guarantor above a specified threshold. If a cancellation event were to occur, Flash Ventures would be required to negotiate a resolution with the other parties to the lease transactions to avoid cancellation and acceleration of the lease 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w:t>
      </w:r>
    </w:p>
    <w:p>
      <w:pPr>
        <w:spacing w:after="0" w:line="178" w:lineRule="exact"/>
        <w:rPr>
          <w:sz w:val="20"/>
          <w:szCs w:val="20"/>
          <w:color w:val="auto"/>
        </w:rPr>
      </w:pPr>
    </w:p>
    <w:p>
      <w:pPr>
        <w:ind w:right="280" w:firstLine="162"/>
        <w:spacing w:after="0" w:line="342" w:lineRule="auto"/>
        <w:rPr>
          <w:sz w:val="20"/>
          <w:szCs w:val="20"/>
          <w:color w:val="auto"/>
        </w:rPr>
      </w:pPr>
      <w:r>
        <w:rPr>
          <w:rFonts w:ascii="Arial" w:cs="Arial" w:eastAsia="Arial" w:hAnsi="Arial"/>
          <w:sz w:val="16"/>
          <w:szCs w:val="16"/>
          <w:b w:val="1"/>
          <w:bCs w:val="1"/>
          <w:i w:val="1"/>
          <w:iCs w:val="1"/>
          <w:color w:val="auto"/>
        </w:rPr>
        <w:t>Any decisions to reduce or discontinue paying cash dividends to our shareholders or to reduce or discontinue repurchases of shares of our common stock pursuant to our previously announced stock repurchase program could cause the market price for our common stock to decline.</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may modify, suspend or cancel our cash dividend policy in any manner and at any time. In addition, we may start, stop or vary repurchases of shares of our common stock as we deem appropriate and as market conditions allow. Any reduction or discontinuance by us of the payment of quarterly cash dividends or the repurchases of our common stock pursuant to our stock repurchase program could cause the market price of our common stock to decline. Moreover, in the event our payment of quarterly cash dividends or repurchases of shares of our common stock are reduced or discontinued, our failure or inability to resume paying cash dividends or repurchasing shares of our common stock at historical levels could cause the market price of our common stock to decline.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If any of these events occur, they could have a negative impact on our operating results.</w:t>
      </w:r>
    </w:p>
    <w:p>
      <w:pPr>
        <w:spacing w:after="0" w:line="18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attempt to manage the impact of foreign currency exchange rate changes by, among other things, entering into short-term, foreign exchange contracts. However, these contracts may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78"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79"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net realizable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valuation allowances on deferred tax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provisional estimates related to tax reform.</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25"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perceptions about our strategic relationships and joint ventures, access to supply of flash-based memory, new technologies and technology transitions;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 which may decrease the volume and profitability of sales of our existing products and increase the risk of inventory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9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a sustained decline in our stock price or market capitalization are among the factors that may be considered a change in circumstances indicating that the carrying value of our long-lived assets or goodwill may be impaired and, if an impairment review is triggered, could require us to record a significant charge to earnings in our Consolidated Financial Statements.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3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From time to time, our investment portfolio may include various holdings, security types, and maturities. Our investment portfolio is subject to general credit, liquidity, market, political, sovereign and interest rate risks, which may be exacerbated by unusual events that affect global financial markets. Our investment portfolio may include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an additional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during the quarter ended October 4,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of shares of our common stock during the quarter ended October 4, 2019.</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2" w:lineRule="exact"/>
        <w:rPr>
          <w:sz w:val="20"/>
          <w:szCs w:val="20"/>
          <w:color w:val="auto"/>
        </w:rPr>
      </w:pPr>
    </w:p>
    <w:p>
      <w:pPr>
        <w:ind w:right="300" w:firstLine="8"/>
        <w:spacing w:after="0" w:line="281" w:lineRule="auto"/>
        <w:tabs>
          <w:tab w:leader="none" w:pos="2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spacing w:after="0" w:line="1" w:lineRule="exact"/>
        <w:rPr>
          <w:rFonts w:ascii="Arial" w:cs="Arial" w:eastAsia="Arial" w:hAnsi="Arial"/>
          <w:sz w:val="16"/>
          <w:szCs w:val="16"/>
          <w:color w:val="auto"/>
        </w:rPr>
      </w:pPr>
    </w:p>
    <w:p>
      <w:pPr>
        <w:ind w:right="140" w:firstLine="8"/>
        <w:spacing w:after="0" w:line="261" w:lineRule="auto"/>
        <w:tabs>
          <w:tab w:leader="none" w:pos="3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125" w:right="29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125"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Number</w:t>
      </w:r>
    </w:p>
    <w:p>
      <w:pPr>
        <w:spacing w:after="0" w:line="112" w:lineRule="exact"/>
        <w:rPr>
          <w:sz w:val="20"/>
          <w:szCs w:val="20"/>
          <w:color w:val="auto"/>
        </w:rPr>
      </w:pPr>
    </w:p>
    <w:p>
      <w:pPr>
        <w:ind w:left="48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3.1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31750</wp:posOffset>
            </wp:positionV>
            <wp:extent cx="7229475" cy="317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29475" cy="317500"/>
                    </a:xfrm>
                    <a:prstGeom prst="rect">
                      <a:avLst/>
                    </a:prstGeom>
                    <a:noFill/>
                  </pic:spPr>
                </pic:pic>
              </a:graphicData>
            </a:graphic>
          </wp:anchor>
        </w:drawing>
      </w:r>
    </w:p>
    <w:p>
      <w:pPr>
        <w:spacing w:after="0" w:line="57"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color w:val="auto"/>
        </w:rPr>
        <w:t>Amended and Restated Certificate of Incorporation of Western Digital Corporation, as amended to date (Filed as Exhibit 3.1 to the Company’s Quarterly Report on Form 10-Q (File No. 1-08703) with the Securities and Exchange Commission on February 8, 2006)</w:t>
      </w:r>
    </w:p>
    <w:p>
      <w:pPr>
        <w:spacing w:after="0" w:line="1" w:lineRule="exact"/>
        <w:rPr>
          <w:sz w:val="20"/>
          <w:szCs w:val="20"/>
          <w:color w:val="auto"/>
        </w:rPr>
      </w:pPr>
    </w:p>
    <w:p>
      <w:pPr>
        <w:sectPr>
          <w:pgSz w:w="11900" w:h="16838" w:orient="portrait"/>
          <w:cols w:equalWidth="0" w:num="2">
            <w:col w:w="900" w:space="400"/>
            <w:col w:w="101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190"/>
        </w:trPr>
        <w:tc>
          <w:tcPr>
            <w:tcW w:w="740" w:type="dxa"/>
            <w:vAlign w:val="bottom"/>
            <w:gridSpan w:val="4"/>
          </w:tcPr>
          <w:p>
            <w:pPr>
              <w:jc w:val="center"/>
              <w:ind w:left="310"/>
              <w:spacing w:after="0" w:line="190" w:lineRule="exact"/>
              <w:rPr>
                <w:rFonts w:ascii="Arial" w:cs="Arial" w:eastAsia="Arial" w:hAnsi="Arial"/>
                <w:sz w:val="18"/>
                <w:szCs w:val="18"/>
                <w:color w:val="0000FF"/>
                <w:w w:val="87"/>
              </w:rPr>
            </w:pPr>
            <w:hyperlink r:id="rId4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360" w:type="dxa"/>
            <w:vAlign w:val="bottom"/>
          </w:tcPr>
          <w:p>
            <w:pPr>
              <w:spacing w:after="0"/>
              <w:rPr>
                <w:sz w:val="16"/>
                <w:szCs w:val="16"/>
                <w:color w:val="auto"/>
              </w:rPr>
            </w:pPr>
          </w:p>
        </w:tc>
        <w:tc>
          <w:tcPr>
            <w:tcW w:w="10280" w:type="dxa"/>
            <w:vAlign w:val="bottom"/>
          </w:tcPr>
          <w:p>
            <w:pPr>
              <w:ind w:left="180"/>
              <w:spacing w:after="0" w:line="190" w:lineRule="exact"/>
              <w:rPr>
                <w:sz w:val="20"/>
                <w:szCs w:val="20"/>
                <w:color w:val="auto"/>
              </w:rPr>
            </w:pPr>
            <w:r>
              <w:rPr>
                <w:rFonts w:ascii="Arial" w:cs="Arial" w:eastAsia="Arial" w:hAnsi="Arial"/>
                <w:sz w:val="18"/>
                <w:szCs w:val="18"/>
                <w:color w:val="auto"/>
                <w:w w:val="95"/>
              </w:rPr>
              <w:t>Amended and Restated By-Laws of Western Digital Corporation, as amended effective as of May 2, 2018 (Filed as Exhibit 3.1 to the</w:t>
            </w:r>
          </w:p>
        </w:tc>
      </w:tr>
      <w:tr>
        <w:trPr>
          <w:trHeight w:val="237"/>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Company’s Current Report on Form 8-K (File No. 1-08703) with the Securities and Exchange Commission on May 7, 2018)</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7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6"/>
              </w:rPr>
              <w:t>Form of Notice of Grant of Performance Stock Units and Performance Stock Unit Award Agreement - Financial Measures, under the</w:t>
            </w:r>
          </w:p>
        </w:tc>
      </w:tr>
      <w:tr>
        <w:trPr>
          <w:trHeight w:val="244"/>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Digital Corporation 2017 Performance Incentive Plan†*</w:t>
            </w:r>
          </w:p>
        </w:tc>
      </w:tr>
      <w:tr>
        <w:trPr>
          <w:trHeight w:val="203"/>
        </w:trPr>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8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0280" w:type="dxa"/>
            <w:vAlign w:val="bottom"/>
          </w:tcPr>
          <w:p>
            <w:pPr>
              <w:ind w:left="180"/>
              <w:spacing w:after="0" w:line="202" w:lineRule="exact"/>
              <w:rPr>
                <w:sz w:val="20"/>
                <w:szCs w:val="20"/>
                <w:color w:val="auto"/>
              </w:rPr>
            </w:pPr>
            <w:r>
              <w:rPr>
                <w:rFonts w:ascii="Arial" w:cs="Arial" w:eastAsia="Arial" w:hAnsi="Arial"/>
                <w:sz w:val="18"/>
                <w:szCs w:val="18"/>
                <w:color w:val="auto"/>
                <w:w w:val="93"/>
              </w:rPr>
              <w:t>Form of Notice of Grant of Performance Stock Units and Performance Stock Unit Award Agreement - TSR Measure, under the Western</w:t>
            </w:r>
          </w:p>
        </w:tc>
      </w:tr>
      <w:tr>
        <w:trPr>
          <w:trHeight w:val="237"/>
        </w:trPr>
        <w:tc>
          <w:tcPr>
            <w:tcW w:w="4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Digital Corporation 2017 Performance Incentive Plan†*</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10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Form of Notice of Grant of Restricted Stock Units and Restricted Stock Unit Award Agreement - Vice President and Above under the</w:t>
            </w:r>
          </w:p>
        </w:tc>
      </w:tr>
      <w:tr>
        <w:trPr>
          <w:trHeight w:val="244"/>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Digital Corporation 2017 Performance Incentive Plan†*</w:t>
            </w:r>
          </w:p>
        </w:tc>
      </w:tr>
      <w:tr>
        <w:trPr>
          <w:trHeight w:val="203"/>
        </w:trPr>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11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10280" w:type="dxa"/>
            <w:vAlign w:val="bottom"/>
          </w:tcPr>
          <w:p>
            <w:pPr>
              <w:ind w:left="180"/>
              <w:spacing w:after="0" w:line="202" w:lineRule="exact"/>
              <w:rPr>
                <w:sz w:val="20"/>
                <w:szCs w:val="20"/>
                <w:color w:val="auto"/>
              </w:rPr>
            </w:pPr>
            <w:r>
              <w:rPr>
                <w:rFonts w:ascii="Arial" w:cs="Arial" w:eastAsia="Arial" w:hAnsi="Arial"/>
                <w:sz w:val="18"/>
                <w:szCs w:val="18"/>
                <w:color w:val="auto"/>
                <w:w w:val="95"/>
              </w:rPr>
              <w:t>Western Digital Corporation Executive Short-Term Incentive Plan, dated August 7, 2019 (supersedes the Western Digital Corporation</w:t>
            </w:r>
          </w:p>
        </w:tc>
      </w:tr>
      <w:tr>
        <w:trPr>
          <w:trHeight w:val="237"/>
        </w:trPr>
        <w:tc>
          <w:tcPr>
            <w:tcW w:w="4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Incentive Compensation Plan)†*</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12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Special Advisor Letter Agreement, dated August 7, 2019, to Martin Fink†*</w:t>
            </w:r>
          </w:p>
        </w:tc>
      </w:tr>
      <w:tr>
        <w:trPr>
          <w:trHeight w:val="48"/>
        </w:trPr>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28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12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280" w:type="dxa"/>
            <w:vAlign w:val="bottom"/>
          </w:tcPr>
          <w:p>
            <w:pPr>
              <w:ind w:left="180"/>
              <w:spacing w:after="0" w:line="202"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8"/>
        </w:trPr>
        <w:tc>
          <w:tcPr>
            <w:tcW w:w="4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10280" w:type="dxa"/>
            <w:vAlign w:val="bottom"/>
          </w:tcPr>
          <w:p>
            <w:pPr>
              <w:spacing w:after="0"/>
              <w:rPr>
                <w:sz w:val="4"/>
                <w:szCs w:val="4"/>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12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8"/>
        </w:trPr>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28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12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280" w:type="dxa"/>
            <w:vAlign w:val="bottom"/>
          </w:tcPr>
          <w:p>
            <w:pPr>
              <w:ind w:left="180"/>
              <w:spacing w:after="0" w:line="202"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37"/>
        </w:trPr>
        <w:tc>
          <w:tcPr>
            <w:tcW w:w="4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of 2002**</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13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44"/>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2002**</w:t>
            </w:r>
          </w:p>
        </w:tc>
      </w:tr>
      <w:tr>
        <w:trPr>
          <w:trHeight w:val="243"/>
        </w:trPr>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2"/>
              </w:rPr>
              <w:t>101.INS</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Instance Document - formatted in Inline XBRL†</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50"/>
        </w:trPr>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10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7"/>
              </w:rPr>
              <w:t>101.CAL</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50"/>
        </w:trPr>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10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100" w:type="dxa"/>
            <w:vAlign w:val="bottom"/>
            <w:gridSpan w:val="5"/>
          </w:tcPr>
          <w:p>
            <w:pPr>
              <w:jc w:val="center"/>
              <w:spacing w:after="0"/>
              <w:rPr>
                <w:sz w:val="20"/>
                <w:szCs w:val="20"/>
                <w:color w:val="auto"/>
              </w:rPr>
            </w:pPr>
            <w:r>
              <w:rPr>
                <w:rFonts w:ascii="Arial" w:cs="Arial" w:eastAsia="Arial" w:hAnsi="Arial"/>
                <w:sz w:val="18"/>
                <w:szCs w:val="18"/>
                <w:color w:val="auto"/>
                <w:w w:val="88"/>
              </w:rPr>
              <w:t>101.PRE</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43"/>
        </w:trPr>
        <w:tc>
          <w:tcPr>
            <w:tcW w:w="11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1300" w:hanging="84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 formatted in Inline XBRL and contained in Exhibit 101</w:t>
      </w:r>
    </w:p>
    <w:p>
      <w:pPr>
        <w:spacing w:after="0" w:line="306"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020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3" w:lineRule="exact"/>
        <w:rPr>
          <w:sz w:val="20"/>
          <w:szCs w:val="20"/>
          <w:color w:val="auto"/>
        </w:rPr>
      </w:pPr>
    </w:p>
    <w:p>
      <w:pPr>
        <w:ind w:left="340" w:right="8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3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type w:val="continuous"/>
        </w:sectPr>
      </w:pPr>
    </w:p>
    <w:bookmarkStart w:id="73" w:name="page74"/>
    <w:bookmarkEnd w:id="73"/>
    <w:p>
      <w:pPr>
        <w:jc w:val="right"/>
        <w:ind w:right="20"/>
        <w:spacing w:after="0"/>
        <w:rPr>
          <w:sz w:val="20"/>
          <w:szCs w:val="20"/>
          <w:color w:val="auto"/>
        </w:rPr>
      </w:pPr>
      <w:r>
        <w:rPr>
          <w:rFonts w:ascii="Arial" w:cs="Arial" w:eastAsia="Arial" w:hAnsi="Arial"/>
          <w:sz w:val="14"/>
          <w:szCs w:val="14"/>
          <w:b w:val="1"/>
          <w:bCs w:val="1"/>
          <w:color w:val="auto"/>
        </w:rPr>
        <w:t>Western Digital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-44450</wp:posOffset>
            </wp:positionV>
            <wp:extent cx="1689735"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689735" cy="291465"/>
                    </a:xfrm>
                    <a:prstGeom prst="rect">
                      <a:avLst/>
                    </a:prstGeom>
                    <a:noFill/>
                  </pic:spPr>
                </pic:pic>
              </a:graphicData>
            </a:graphic>
          </wp:anchor>
        </w:drawing>
      </w:r>
    </w:p>
    <w:p>
      <w:pPr>
        <w:jc w:val="right"/>
        <w:ind w:right="20"/>
        <w:spacing w:after="0" w:line="226" w:lineRule="auto"/>
        <w:rPr>
          <w:sz w:val="20"/>
          <w:szCs w:val="20"/>
          <w:color w:val="auto"/>
        </w:rPr>
      </w:pPr>
      <w:r>
        <w:rPr>
          <w:rFonts w:ascii="Arial" w:cs="Arial" w:eastAsia="Arial" w:hAnsi="Arial"/>
          <w:sz w:val="14"/>
          <w:szCs w:val="14"/>
          <w:color w:val="auto"/>
        </w:rPr>
        <w:t>5601 Great Oaks Parkway</w:t>
      </w:r>
    </w:p>
    <w:p>
      <w:pPr>
        <w:jc w:val="right"/>
        <w:ind w:right="20"/>
        <w:spacing w:after="0" w:line="222" w:lineRule="auto"/>
        <w:rPr>
          <w:sz w:val="20"/>
          <w:szCs w:val="20"/>
          <w:color w:val="auto"/>
        </w:rPr>
      </w:pPr>
      <w:r>
        <w:rPr>
          <w:rFonts w:ascii="Arial" w:cs="Arial" w:eastAsia="Arial" w:hAnsi="Arial"/>
          <w:sz w:val="14"/>
          <w:szCs w:val="14"/>
          <w:color w:val="auto"/>
        </w:rPr>
        <w:t>San Jose, California 95119</w:t>
      </w:r>
    </w:p>
    <w:p>
      <w:pPr>
        <w:jc w:val="right"/>
        <w:ind w:right="20"/>
        <w:spacing w:after="0"/>
        <w:rPr>
          <w:sz w:val="20"/>
          <w:szCs w:val="20"/>
          <w:color w:val="auto"/>
        </w:rPr>
      </w:pPr>
      <w:r>
        <w:rPr>
          <w:rFonts w:ascii="Arial" w:cs="Arial" w:eastAsia="Arial" w:hAnsi="Arial"/>
          <w:sz w:val="14"/>
          <w:szCs w:val="14"/>
          <w:color w:val="auto"/>
        </w:rPr>
        <w:t>(408)717-6000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Grant of Performance Stock Units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Performance Stock Unit Award Agreement – Financial Measures</w:t>
      </w:r>
    </w:p>
    <w:p>
      <w:pPr>
        <w:spacing w:after="0" w:line="200" w:lineRule="exact"/>
        <w:rPr>
          <w:sz w:val="20"/>
          <w:szCs w:val="20"/>
          <w:color w:val="auto"/>
        </w:rPr>
      </w:pPr>
    </w:p>
    <w:p>
      <w:pPr>
        <w:spacing w:after="0" w:line="212"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&lt;&lt;Name&gt;&gt;</w:t>
      </w:r>
      <w:r>
        <w:rPr>
          <w:sz w:val="20"/>
          <w:szCs w:val="20"/>
          <w:color w:val="auto"/>
        </w:rPr>
        <w:tab/>
      </w:r>
      <w:r>
        <w:rPr>
          <w:rFonts w:ascii="Arial" w:cs="Arial" w:eastAsia="Arial" w:hAnsi="Arial"/>
          <w:sz w:val="19"/>
          <w:szCs w:val="19"/>
          <w:b w:val="1"/>
          <w:bCs w:val="1"/>
          <w:color w:val="auto"/>
        </w:rPr>
        <w:t>Award Number: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520" w:type="dxa"/>
            <w:vAlign w:val="bottom"/>
          </w:tcPr>
          <w:p>
            <w:pPr>
              <w:spacing w:after="0"/>
              <w:rPr>
                <w:sz w:val="20"/>
                <w:szCs w:val="20"/>
                <w:color w:val="auto"/>
              </w:rPr>
            </w:pPr>
            <w:r>
              <w:rPr>
                <w:rFonts w:ascii="Arial" w:cs="Arial" w:eastAsia="Arial" w:hAnsi="Arial"/>
                <w:sz w:val="22"/>
                <w:szCs w:val="22"/>
                <w:b w:val="1"/>
                <w:bCs w:val="1"/>
                <w:color w:val="auto"/>
                <w:w w:val="95"/>
              </w:rPr>
              <w:t>&lt;&lt;Address 1&gt;&gt;</w:t>
            </w:r>
          </w:p>
        </w:tc>
        <w:tc>
          <w:tcPr>
            <w:tcW w:w="3720" w:type="dxa"/>
            <w:vAlign w:val="bottom"/>
            <w:gridSpan w:val="2"/>
          </w:tcPr>
          <w:p>
            <w:pPr>
              <w:ind w:left="120"/>
              <w:spacing w:after="0"/>
              <w:rPr>
                <w:sz w:val="20"/>
                <w:szCs w:val="20"/>
                <w:color w:val="auto"/>
              </w:rPr>
            </w:pPr>
            <w:r>
              <w:rPr>
                <w:rFonts w:ascii="Arial" w:cs="Arial" w:eastAsia="Arial" w:hAnsi="Arial"/>
                <w:sz w:val="22"/>
                <w:szCs w:val="22"/>
                <w:b w:val="1"/>
                <w:bCs w:val="1"/>
                <w:color w:val="auto"/>
                <w:w w:val="88"/>
              </w:rPr>
              <w:t>Plan: 2017 Performance Incentive Plan</w:t>
            </w:r>
          </w:p>
        </w:tc>
      </w:tr>
      <w:tr>
        <w:trPr>
          <w:trHeight w:val="230"/>
        </w:trPr>
        <w:tc>
          <w:tcPr>
            <w:tcW w:w="1520" w:type="dxa"/>
            <w:vAlign w:val="bottom"/>
          </w:tcPr>
          <w:p>
            <w:pPr>
              <w:spacing w:after="0" w:line="230" w:lineRule="exact"/>
              <w:rPr>
                <w:sz w:val="20"/>
                <w:szCs w:val="20"/>
                <w:color w:val="auto"/>
              </w:rPr>
            </w:pPr>
            <w:r>
              <w:rPr>
                <w:rFonts w:ascii="Arial" w:cs="Arial" w:eastAsia="Arial" w:hAnsi="Arial"/>
                <w:sz w:val="22"/>
                <w:szCs w:val="22"/>
                <w:b w:val="1"/>
                <w:bCs w:val="1"/>
                <w:color w:val="auto"/>
                <w:w w:val="95"/>
              </w:rPr>
              <w:t>&lt;&lt;Address 2&gt;&gt;</w:t>
            </w:r>
          </w:p>
        </w:tc>
        <w:tc>
          <w:tcPr>
            <w:tcW w:w="3720" w:type="dxa"/>
            <w:vAlign w:val="bottom"/>
            <w:gridSpan w:val="2"/>
          </w:tcPr>
          <w:p>
            <w:pPr>
              <w:ind w:left="120"/>
              <w:spacing w:after="0" w:line="230" w:lineRule="exact"/>
              <w:rPr>
                <w:sz w:val="20"/>
                <w:szCs w:val="20"/>
                <w:color w:val="auto"/>
              </w:rPr>
            </w:pPr>
            <w:r>
              <w:rPr>
                <w:rFonts w:ascii="Arial" w:cs="Arial" w:eastAsia="Arial" w:hAnsi="Arial"/>
                <w:sz w:val="22"/>
                <w:szCs w:val="22"/>
                <w:b w:val="1"/>
                <w:bCs w:val="1"/>
                <w:color w:val="auto"/>
              </w:rPr>
              <w:t>ID:</w:t>
            </w:r>
          </w:p>
        </w:tc>
      </w:tr>
      <w:tr>
        <w:trPr>
          <w:trHeight w:val="20"/>
        </w:trPr>
        <w:tc>
          <w:tcPr>
            <w:tcW w:w="1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Congratulations! Effective &lt;&lt;grant date&gt;&gt; (the “Grant Date”), you have been granted stock units (the “Performance Stock Units”) of Western Digital Corporation (the “Corporation”). These Performance Stock Units were granted under and are subject to the Corporation’s 2017 Performance Incentive Plan, as amended (the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Target Number of Performance Stock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Vesting Date: </w:t>
      </w:r>
      <w:r>
        <w:rPr>
          <w:rFonts w:ascii="Arial" w:cs="Arial" w:eastAsia="Arial" w:hAnsi="Arial"/>
          <w:sz w:val="22"/>
          <w:szCs w:val="22"/>
          <w:color w:val="auto"/>
        </w:rPr>
        <w:t>&lt;&lt;vesting date&gt;&gt;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Measurement Period covered by grant: </w:t>
      </w:r>
      <w:r>
        <w:rPr>
          <w:rFonts w:ascii="Arial" w:cs="Arial" w:eastAsia="Arial" w:hAnsi="Arial"/>
          <w:sz w:val="19"/>
          <w:szCs w:val="19"/>
          <w:color w:val="auto"/>
        </w:rPr>
        <w:t>Of the Total Target Number of Performance Stock Units subject to the award, [_______]</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Target Number of Performance Stock Units subject to the award correspond to a performance measurement period that begins [____________] and ends [__________] (the “First Measurement Period”). Of the Total Target Number of Performance Stock</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Units subject to the award, [_______] Target Number of Performance Stock Units subject to the award correspond to a performance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measurement period that begins [__________] and ends [____________] (the “Second Measurement Period”). The actual number</w:t>
      </w:r>
    </w:p>
    <w:p>
      <w:pPr>
        <w:spacing w:after="0" w:line="3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of Performance Stock Units that may become eligible to vest on the Vesting Date based on performance during a Measurement Period may range from [0%] to [200%] of the Target Number of Performance Stock Units subject to the award corresponding to that Measurement Period, subject to forfeiture under Section 8 of the attached Standard Terms and Conditions for Performance Stock Unit Award – Financial Measures (the “Standard Terms”).</w:t>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Your Performance Stock Unit award is subject to the terms and conditions of this Notice, the attached Standard Terms and the Plan. By accepting the award, you are agreeing to the terms of the award as set forth in those documents. You should read the Plan, the Prospectus for the Plan, and the Standard Terms. The Standard Terms and the Plan are each incorporated into and made a part of this Notice by this reference. You do not have to accept your award. If you do not agree to the terms of your award, you should promptly return this Notice to the Western Digital Corporation Stock Plans Administrator indicating that you do not wish to accept the award and your Performance Stock Units will be cancelled.</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ectPr>
          <w:pgSz w:w="11900" w:h="16838" w:orient="portrait"/>
          <w:cols w:equalWidth="0" w:num="1">
            <w:col w:w="11420"/>
          </w:cols>
          <w:pgMar w:left="240" w:top="279" w:right="239" w:bottom="1440" w:gutter="0" w:footer="0" w:header="0"/>
        </w:sectPr>
      </w:pPr>
    </w:p>
    <w:bookmarkStart w:id="74" w:name="page75"/>
    <w:bookmarkEnd w:id="74"/>
    <w:p>
      <w:pPr>
        <w:jc w:val="center"/>
        <w:ind w:right="40"/>
        <w:spacing w:after="0" w:line="262" w:lineRule="auto"/>
        <w:rPr>
          <w:sz w:val="20"/>
          <w:szCs w:val="20"/>
          <w:color w:val="auto"/>
        </w:rPr>
      </w:pPr>
      <w:r>
        <w:rPr>
          <w:rFonts w:ascii="Arial" w:cs="Arial" w:eastAsia="Arial" w:hAnsi="Arial"/>
          <w:sz w:val="22"/>
          <w:szCs w:val="22"/>
          <w:b w:val="1"/>
          <w:bCs w:val="1"/>
          <w:color w:val="auto"/>
        </w:rPr>
        <w:t xml:space="preserve">STANDARD TERMS AND CONDITIONS FOR PERFORMANCE STOCK UNIT AWARD – FINANCIAL MEASURES </w:t>
      </w:r>
      <w:r>
        <w:rPr>
          <w:rFonts w:ascii="Arial" w:cs="Arial" w:eastAsia="Arial" w:hAnsi="Arial"/>
          <w:sz w:val="22"/>
          <w:szCs w:val="22"/>
          <w:color w:val="auto"/>
        </w:rPr>
        <w:t>Amended and Restated 2017 Performance Incentive Plan</w:t>
      </w:r>
    </w:p>
    <w:p>
      <w:pPr>
        <w:spacing w:after="0" w:line="194" w:lineRule="exact"/>
        <w:rPr>
          <w:sz w:val="20"/>
          <w:szCs w:val="20"/>
          <w:color w:val="auto"/>
        </w:rPr>
      </w:pPr>
    </w:p>
    <w:p>
      <w:pPr>
        <w:ind w:left="1920" w:hanging="778"/>
        <w:spacing w:after="0"/>
        <w:tabs>
          <w:tab w:leader="none" w:pos="19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Stock Units Subject to Amended and Restated 2017 Performance Incentive Plan</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Performance Stock Unit Award (the “Award”) referred to in the attached Notice of Grant of Performance Stock Units and Performance Stock Unit Award Agreement (the “Notice”) was awarded under Western Digital Corporation’s (the “Corporation’s”) Amended and Restated 2017 Performance Incentive Plan, as amended (the “Plan”). Each Performance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The target number of Stock Units granted to the Participant shall be credited to an unfunded bookkeeping account maintained by the Corporation on behalf of the Participant (a “Stock Unit Account”).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Stock Units are subject to the terms and provisions of the Notice, these Standard Terms and Conditions for the Performance Stock Unit Award – Financial Measures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have the meanings set forth in the Plan or in the Notice, as applicable.</w:t>
      </w:r>
    </w:p>
    <w:p>
      <w:pPr>
        <w:spacing w:after="0" w:line="221" w:lineRule="exact"/>
        <w:rPr>
          <w:sz w:val="20"/>
          <w:szCs w:val="20"/>
          <w:color w:val="auto"/>
        </w:rPr>
      </w:pPr>
    </w:p>
    <w:p>
      <w:pPr>
        <w:ind w:left="1140"/>
        <w:spacing w:after="0"/>
        <w:tabs>
          <w:tab w:leader="none" w:pos="14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Award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and these Standard Terms, together (the “Award Agreement”), constitute the award agreement with respect to the Award pursuant to Section 5.2 of the Plan.</w:t>
      </w:r>
    </w:p>
    <w:p>
      <w:pPr>
        <w:spacing w:after="0" w:line="166" w:lineRule="exact"/>
        <w:rPr>
          <w:sz w:val="20"/>
          <w:szCs w:val="20"/>
          <w:color w:val="auto"/>
        </w:rPr>
      </w:pPr>
    </w:p>
    <w:p>
      <w:pPr>
        <w:ind w:left="1140"/>
        <w:spacing w:after="0"/>
        <w:tabs>
          <w:tab w:leader="none" w:pos="14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140"/>
        <w:spacing w:after="0"/>
        <w:tabs>
          <w:tab w:leader="none" w:pos="14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Vesting</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end of each Measurement Period as set forth in the Notice, the Administrator shall determine, in accordance with the performance goals and related criteria and methodology established by the Administrator for the applicable Measurement Period, the extent to which the performance goals have been achieved and the actual number of Stock Units becoming eligible to vest (subject to the following paragraph) based on performance during the applicable Measurement Period. Any Stock Units (including any related Stock Units credited as dividend equivalents pursuant to Section 5) corresponding to a particular Measurement Period that do not become eligible to vest based on performance during the applicable Measurement Period shall terminate as of the end of the applicable Measurement Period when the Administrator has determined the extent to which the performance goals have not been achieved as to that Measurement Period, and the Participant shall have no further rights with respect to such terminated Stock Units.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as otherwise provided in this Award Agreement, and subject to Section 8 below, the number of Stock Units becoming eligible to vest based on performance during each of the First Measurement Period and the Second Measurement Period shall vest on the Vesting Date. Except as expressly provided in Sections 7 and 8 below, vesting requires continued employment or service with the Corporation or one of its Subsidiaries through the Vesting Date as a condition to the vesting of any Stock Units subject to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ectPr>
          <w:pgSz w:w="11900" w:h="16838" w:orient="portrait"/>
          <w:cols w:equalWidth="0" w:num="1">
            <w:col w:w="11420"/>
          </w:cols>
          <w:pgMar w:left="240" w:top="369" w:right="239" w:bottom="1440" w:gutter="0" w:footer="0" w:header="0"/>
        </w:sectPr>
      </w:pPr>
    </w:p>
    <w:bookmarkStart w:id="75" w:name="page76"/>
    <w:bookmarkEnd w:id="75"/>
    <w:p>
      <w:pPr>
        <w:ind w:left="1140"/>
        <w:spacing w:after="0"/>
        <w:tabs>
          <w:tab w:leader="none" w:pos="14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Dividend Equivalent Rights Distributions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jc w:val="both"/>
        <w:ind w:firstLine="8"/>
        <w:spacing w:after="0" w:line="253" w:lineRule="auto"/>
        <w:tabs>
          <w:tab w:leader="none" w:pos="2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Stock Units remaining subject to the Award as of the related dividend payment record date, divided by (iii) the Fair Market Value of a share of Common Stock on the date of payment of such dividend. For these purposes, any Stock Units that vest and become payable in excess of the target number of Stock Units shall be considered to have been granted on the Grant Date set forth in the Notice. The Stock Units credited pursuant to the foregoing provisions of this Section 5 shall be subject to the same vesting, payment and other terms, conditions and restrictions as the original Stock Units to which they relate.</w:t>
      </w:r>
    </w:p>
    <w:p>
      <w:pPr>
        <w:spacing w:after="0" w:line="187" w:lineRule="exact"/>
        <w:rPr>
          <w:rFonts w:ascii="Arial" w:cs="Arial" w:eastAsia="Arial" w:hAnsi="Arial"/>
          <w:sz w:val="18"/>
          <w:szCs w:val="18"/>
          <w:color w:val="auto"/>
        </w:rPr>
      </w:pPr>
    </w:p>
    <w:p>
      <w:pPr>
        <w:ind w:left="1460" w:hanging="318"/>
        <w:spacing w:after="0"/>
        <w:tabs>
          <w:tab w:leader="none" w:pos="1460"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Timing and Manner of Payment of Stock Units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Section 7 below, any Stock Unit granted (or credited pursuant to Section 5) to the Participant that becomes vested (whether pursuant to Section 4, Section 7 or Section 8 hereof), shall be paid to the Participant following the Vesting Date and in the same calendar year in which the Vesting Date occurs. The Corporation shall make payment of a Stock Unit that has vested by delivering to the Participant a share of Common Stock (either by delivering one or more certificates for the shares deliverable or by entering such shares in book entry form, as determined by the Corporation in its sole discretion),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Section 7 hereof, or that are terminated pursuant to Section 7 or Section 8 hereof,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69" w:lineRule="exact"/>
        <w:rPr>
          <w:sz w:val="20"/>
          <w:szCs w:val="20"/>
          <w:color w:val="auto"/>
        </w:rPr>
      </w:pPr>
    </w:p>
    <w:p>
      <w:pPr>
        <w:ind w:left="1140"/>
        <w:spacing w:after="0"/>
        <w:tabs>
          <w:tab w:leader="none" w:pos="14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Change in Control Event</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connection with a transaction referenced in Section 7.2 of the Plan in connection with which the Corporation will not survive or will not survive as a public company in respect of its Common Stock, the Administrator may (without limiting the adjustment authority of Section 7.1 of the Plan and without limiting the flexibility of the Administrator to provide for the assumption, substitution or exchange of the Award pursuant to Section 7.2 of the Plan) provide that (i) payment for each Stock Unit that is otherwise outstanding on the date of such event and that becomes vested may be made in the form of cash in an amount equal to the fair market value of a share of Common Stock as of the date of the closing of such transaction, and/or (ii) that, as to any Stock Units outstanding with respect to a Measurement Period that has not ended on or prior to the date of such transaction,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However, notwithstanding anything otherwise provided in Section 7.2 of the Plan but subject to the following sentence, the time of payment of the Award may not be changed and shall be as set forth in Section 6 above. The Administrator may (notwithstanding the time of payment provisions of Sections 6 and 8 hereof) provide for the termination of the Stock Units subject to the Award in connection with the occurrence of a Change in Control Event in connection with which the Administrator has not made a provision for the substitution, assumption, exchange or other continuation of the Award; provided that (A) in such event, the portion of the Award that is outstanding and unvested immediately prior to such termination shall vest and become payable (as to any Stock Units outstanding with respect to a Measurement Period that has not ended on or prior to the date of Change in Control Event,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and (B) such acceleration, termination and payment of the Award satisfies the requirements of Treas. Reg. Section 1.409A-3(j)(4)(ix) (which requirements include the Change in Control Event qualifying as a change in the ownership or effective control of the Corporation, or a change in the ownership of a substantial portion of the assets of the Corporation, within the meaning of Treas. Reg. Section 1.409A-3(i)(5)).</w:t>
      </w:r>
    </w:p>
    <w:p>
      <w:pPr>
        <w:spacing w:after="0" w:line="166" w:lineRule="exact"/>
        <w:rPr>
          <w:sz w:val="20"/>
          <w:szCs w:val="20"/>
          <w:color w:val="auto"/>
        </w:rPr>
      </w:pPr>
    </w:p>
    <w:p>
      <w:pPr>
        <w:ind w:left="1140"/>
        <w:spacing w:after="0"/>
        <w:tabs>
          <w:tab w:leader="none" w:pos="14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Termination of Employment</w:t>
      </w:r>
    </w:p>
    <w:p>
      <w:pPr>
        <w:sectPr>
          <w:pgSz w:w="11900" w:h="16838" w:orient="portrait"/>
          <w:cols w:equalWidth="0" w:num="1">
            <w:col w:w="11420"/>
          </w:cols>
          <w:pgMar w:left="240" w:top="364" w:right="239" w:bottom="1440" w:gutter="0" w:footer="0" w:header="0"/>
        </w:sectPr>
      </w:pPr>
    </w:p>
    <w:bookmarkStart w:id="76" w:name="page77"/>
    <w:bookmarkEnd w:id="76"/>
    <w:p>
      <w:pPr>
        <w:jc w:val="both"/>
        <w:ind w:firstLine="8"/>
        <w:spacing w:after="0" w:line="291" w:lineRule="auto"/>
        <w:tabs>
          <w:tab w:leader="none" w:pos="40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Generally</w:t>
      </w:r>
      <w:r>
        <w:rPr>
          <w:rFonts w:ascii="Arial" w:cs="Arial" w:eastAsia="Arial" w:hAnsi="Arial"/>
          <w:sz w:val="16"/>
          <w:szCs w:val="16"/>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before the Vesting Date, the Participant’s Stock Units shall automatically be forfeited to the Corporation effective immediately following the Separation Date. If the Participant is entitled to any accelerated vesting pursuant to any provision below in this Section 8, any remaining unvested portion of the Participant’s Stock Units (after giving effect to such acceleration) shall automatically be forfeited to the Corporation effective as of immediately following the Separation Date.</w:t>
      </w:r>
    </w:p>
    <w:p>
      <w:pPr>
        <w:spacing w:after="0" w:line="167" w:lineRule="exact"/>
        <w:rPr>
          <w:rFonts w:ascii="Arial" w:cs="Arial" w:eastAsia="Arial" w:hAnsi="Arial"/>
          <w:sz w:val="16"/>
          <w:szCs w:val="16"/>
          <w:color w:val="auto"/>
        </w:rPr>
      </w:pPr>
    </w:p>
    <w:p>
      <w:pPr>
        <w:jc w:val="both"/>
        <w:ind w:firstLine="8"/>
        <w:spacing w:after="0" w:line="269" w:lineRule="auto"/>
        <w:tabs>
          <w:tab w:leader="none" w:pos="40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Death of the Participant</w:t>
      </w:r>
      <w:r>
        <w:rPr>
          <w:rFonts w:ascii="Arial" w:cs="Arial" w:eastAsia="Arial" w:hAnsi="Arial"/>
          <w:sz w:val="17"/>
          <w:szCs w:val="17"/>
          <w:color w:val="auto"/>
        </w:rPr>
        <w:t>. In the event of the Participant’s death prior to the Vesting Date and at a time when the Participant is employed by or providing services to the Corporation or any of its Subsidiaries, a portion of the Award shall vest on the Vesting Date and shall be paid to the Participant as provided in Section 6 above. In such event, the number of Stock Units corresponding to a Measurement Period with respect to the Award that shall become vested on the Vesting Date equals (i) the Employment Fraction (determined as set forth below) multiplied by (ii) the number of Stock Units subject to the Award corresponding to that Measurement Period that would have otherwise (had the Separation Date not occurred prior to the Vesting Date) become vested on the Vesting Date (determined before taking the acceleration contemplated by this Section 8(b)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 For purposes of this Section 8, the “Employment Fraction” equals a fraction (not greater than one), the numerator of which is the total number of calendar days in the period beginning with the first day of the Measurement Period through and including the Participant’s Separation Date, and the denominator of which is the total number of calendar days in the Measurement Period ([_____] days as to the First Measurement Period, and [________] days as to the Second Measurement Period).</w:t>
      </w:r>
    </w:p>
    <w:p>
      <w:pPr>
        <w:spacing w:after="0" w:line="179" w:lineRule="exact"/>
        <w:rPr>
          <w:rFonts w:ascii="Arial" w:cs="Arial" w:eastAsia="Arial" w:hAnsi="Arial"/>
          <w:sz w:val="17"/>
          <w:szCs w:val="17"/>
          <w:color w:val="auto"/>
        </w:rPr>
      </w:pPr>
    </w:p>
    <w:p>
      <w:pPr>
        <w:jc w:val="both"/>
        <w:ind w:firstLine="8"/>
        <w:spacing w:after="0" w:line="291" w:lineRule="auto"/>
        <w:tabs>
          <w:tab w:leader="none" w:pos="43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Retirement of the Participant</w:t>
      </w:r>
      <w:r>
        <w:rPr>
          <w:rFonts w:ascii="Arial" w:cs="Arial" w:eastAsia="Arial" w:hAnsi="Arial"/>
          <w:sz w:val="16"/>
          <w:szCs w:val="16"/>
          <w:color w:val="auto"/>
        </w:rPr>
        <w:t>. If the Participant Retires (as defined below) from the Corporation or one of its Subsidiaries before the Vesting Date, a portion of the Award shall vest on the Vesting Date and shall be paid to the Participant as provided in Section 6 above. In such event, the number of Stock Units that shall become vested on the Vesting Date equals (i) the Employment Fraction (determined as set forth in Section 8(b) above) multiplied by (ii) the number of Stock Units subject to the Award that would have otherwise (had the Separation Date not occurred prior to the Vesting Date) become vested on the Vesting Date (determined before taking the acceleration contemplated by this Section 8(c)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purposes of this Award Agreement, the Participant shall be deemed to have “Retired” (which term shall include “Retirement,” “Retire” and “Retires”) if the Participant retires from employment with the Corporation or one of its Subsidiaries for any reason other than Cause (as defined below) and other than due to the Participant’s death after satisfying all of the following requirements at the time of such retirement: (i) the Participant is at least 55 years of age, (ii) the Participant has five (5) or more whole years of credited service with the Corporation or any of its Subsidiaries ending on the date of such retirement, and (iii) the Participant’s age plus years of credited service with the Corporation or any of its Subsidiaries (including only whole years in the case of both age and credited service for purposes of this requirement) totals at least 70. The Administrator shall determine the Participant’s “years of credited service” under clauses (ii) and (iii) above; provided that, for such purposes,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 For clarity, Retirement is based on a termination of employment and not a termination of any other service relationship. However, if the Participant Retires and continues in another service capacity such that the Participant does not have a Separation Date in connection with his or her Retirement, the remaining portion of the Award not eligible to vest in connection with such Retirement shall remain eligible to vest through and until the Participant’s Separation Date should it occur before the Vesting Date (in connection with any such Separation Date the other provisions of this Section 8 shall apply as to such portion of the Award; in the event the Participant is entitled to accelerated vesting pursuant to Section 8(b), the provisions of Section 8(b) and not this Section 8(c) shall apply).</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this Award Agreement, “Cause” is used as defined in the Western Digital Corporation Executive Severance Plan or, if the Participant’s Separation Date occurs on or after a Change in Control Event, as defined in the Western Digital Corporation Amended and Restated Change of Control Severance Plan.</w:t>
      </w:r>
    </w:p>
    <w:p>
      <w:pPr>
        <w:sectPr>
          <w:pgSz w:w="11900" w:h="16838" w:orient="portrait"/>
          <w:cols w:equalWidth="0" w:num="1">
            <w:col w:w="11420"/>
          </w:cols>
          <w:pgMar w:left="240" w:top="368" w:right="239" w:bottom="1440" w:gutter="0" w:footer="0" w:header="0"/>
        </w:sectPr>
      </w:pPr>
    </w:p>
    <w:bookmarkStart w:id="77" w:name="page78"/>
    <w:bookmarkEnd w:id="77"/>
    <w:p>
      <w:pPr>
        <w:jc w:val="both"/>
        <w:ind w:firstLine="8"/>
        <w:spacing w:after="0" w:line="255" w:lineRule="auto"/>
        <w:tabs>
          <w:tab w:leader="none" w:pos="39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w:t>
      </w:r>
      <w:r>
        <w:rPr>
          <w:rFonts w:ascii="Arial" w:cs="Arial" w:eastAsia="Arial" w:hAnsi="Arial"/>
          <w:sz w:val="18"/>
          <w:szCs w:val="18"/>
          <w:color w:val="auto"/>
        </w:rPr>
        <w:t>. In the event the Participant’s employment terminates in circumstances as to which the Participant is entitled to severance benefits pursuant to the Western Digital Corporation Executive Severance Plan (or any applicable successor executive severance plan, as each is in effect at the time of such termination of employment, and only if such severance plan then otherwise applies with respect to the Participant) (“Pre-CIC Severance Plan”), the Participant shall be treated for purposes of the Award as though the Participant Retired on the Participant’s Separation Date and Section 8(c) shall apply; provided, however, that if any Stock Units subject to the Award would (before taking this paragraph into consideration) also be subject to accelerated vesting pursuant to Section 8(b) or 8(c) above, the Stock Units shall be subject to accelerated vesting pursuant to the section (Section 8(b) or 8(c) above) that would otherwise apply in the circumstances.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the Participant’s employment terminates in circumstances as to which the Participant is entitled to severance benefits pursuant to the Western Digital Corporation Amended and Restated Change of Control Severance Plan (or any applicable successor change of control severance plan, as each is in effect at the time of such termination of employment, and only if such severance plan then otherwise applies with respect to the Participant) (“CIC Severance Plan”), the extent to which the Award vests will be determined in accordance with the applicable provisions of the CIC Severance Plan. If the Stock Units subject to the Award would (before taking this paragraph into consideration) also be subject to accelerated vesting pursuant to the immediately preceding paragraph or Section 8(b) or 8(c) above, this paragraph (and not the immediately preceding paragraph or Section 8(b) or 8(c) above) shall apply; provided, however, that if the Participant does not satisfy any applicable conditions to severance benefits set forth in the applicable CIC Severance Plan, then the Participant shall remain entitled to any accelerated vesting that would otherwise apply pursuant to Section 8(b) or 8(c) above, as applicable.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clarity, any accelerated or additional vesting contemplated by this Section 8(d), whether with respect to a Pre-CIC Severance Plan or a CIC Severance Plan, is subject to the Participant satisfying any applicable conditions to severance benefits set forth in the applicable Pre-CIC Severance Plan or CIC Severance Plan (such as, without limitation, any eligibility and release requirements).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treatment of the Award in any circumstances as to which the Participant is entitled to severance benefits pursuant to a Pre-CIC Severance Plan (including, without limitation, the extent (if any) to which the Award vests or accelerates in such circumstances as well as the timing of payment of the Award), and the timing of payment of the Award in any circumstances as to which the Participant is entitled to severance benefits pursuant to a CIC Severance Plan, shall be governed by this Award Agreement and not by the Pre-CIC Severance Plan or CIC Severance Plan, as the case may be. As to the Award, this Award Agreement controls in the event of any inconsistency or conflict with a Pre-CIC Severance Plan or CIC Severance Plan, and to that extent this Award Agreement amends any applicable Pre-CIC Severance Plan or CIC Severance Plan as to the Award.</w:t>
      </w:r>
    </w:p>
    <w:p>
      <w:pPr>
        <w:spacing w:after="0" w:line="174" w:lineRule="exact"/>
        <w:rPr>
          <w:sz w:val="20"/>
          <w:szCs w:val="20"/>
          <w:color w:val="auto"/>
        </w:rPr>
      </w:pPr>
    </w:p>
    <w:p>
      <w:pPr>
        <w:ind w:left="1140"/>
        <w:spacing w:after="0"/>
        <w:tabs>
          <w:tab w:leader="none" w:pos="14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Administrator may accelerate the vesting of the Stock Units in such circumstances as it, in its sole discretion, may determine; provided that the time of payment of the Stock Units as otherwise set forth herein may not be changed.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169"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Withholding Taxes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or in connection with the crediting, vesting or payment of Stock Units, or any other time when tax withholding may be required with respect to the Award,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 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but only to the extent consistent with Treas. Reg. Section 1.409A-3(j)(4)(vi), reduce the number of Stock Units remaining subject to the Award, with each such Stock Unit to have a value for such purpose equal to the then fair market value of a share of Common Stock, to satisfy such withholding obligation at the applicable withholding rates.</w:t>
      </w:r>
    </w:p>
    <w:p>
      <w:pPr>
        <w:sectPr>
          <w:pgSz w:w="11900" w:h="16838" w:orient="portrait"/>
          <w:cols w:equalWidth="0" w:num="1">
            <w:col w:w="11420"/>
          </w:cols>
          <w:pgMar w:left="240" w:top="368" w:right="239" w:bottom="1440" w:gutter="0" w:footer="0" w:header="0"/>
        </w:sectPr>
      </w:pPr>
    </w:p>
    <w:bookmarkStart w:id="78" w:name="page79"/>
    <w:bookmarkEnd w:id="78"/>
    <w:p>
      <w:pPr>
        <w:ind w:left="1140"/>
        <w:spacing w:after="0"/>
        <w:tabs>
          <w:tab w:leader="none" w:pos="1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(i.e., upon the termination of a Stock Unit), or (b) transfers by will or the laws of descent and distribution.</w:t>
      </w:r>
    </w:p>
    <w:p>
      <w:pPr>
        <w:spacing w:after="0" w:line="162"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 Right to Employment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Rights as a Stockholder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184"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74"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Arbitration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(“Covered Claims”), shall be resolved in accordance with the terms and conditions of the Western Digital Technologies, Inc. Dispute Resolution Agreement (the “DRA”). If, however, Participant has opted out of the DRA pursuant to Section 3.3 of the DRA, any Covered Claims by Corporation or Participant shall be submitted to arbitration pursuant to this Section 15. Such arbitration shall be held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Except as otherwise stated herein, this Section 15 also requires arbitration of any disputes concerning the enforceability, interpretation, and/or implementation of this Section 15 and the arbitrability of any claims brought hereunder, which shall also be decided by an arbitrator. To the fullest extent permitted by applicable law, Participant and Corporation agree to bring any Covered Claims on an individual basis only, and not on a class, collective, joint, or representative basis. If, however, the preceding sentence be determined invalid or unenforceable with respect to any particular Covered Claim, than that Covered Claim will not proceed in arbitration but rather will be resolved in a court of competent jurisdiction. If that occurs, however, this Section 15 will still be fully enforceable as to all other Covered Claims, which must be resolved in arbitration on an individual basis. Any arbitrable</w:t>
      </w:r>
    </w:p>
    <w:p>
      <w:pPr>
        <w:sectPr>
          <w:pgSz w:w="11900" w:h="16838" w:orient="portrait"/>
          <w:cols w:equalWidth="0" w:num="1">
            <w:col w:w="11420"/>
          </w:cols>
          <w:pgMar w:left="240" w:top="364" w:right="239" w:bottom="1440" w:gutter="0" w:footer="0" w:header="0"/>
        </w:sectPr>
      </w:pPr>
    </w:p>
    <w:bookmarkStart w:id="79" w:name="page80"/>
    <w:bookmarkEnd w:id="79"/>
    <w:p>
      <w:pPr>
        <w:jc w:val="both"/>
        <w:spacing w:after="0" w:line="286" w:lineRule="auto"/>
        <w:rPr>
          <w:sz w:val="20"/>
          <w:szCs w:val="20"/>
          <w:color w:val="auto"/>
        </w:rPr>
      </w:pPr>
      <w:r>
        <w:rPr>
          <w:rFonts w:ascii="Arial" w:cs="Arial" w:eastAsia="Arial" w:hAnsi="Arial"/>
          <w:sz w:val="16"/>
          <w:szCs w:val="16"/>
          <w:color w:val="auto"/>
        </w:rPr>
        <w:t>claims in arbitration will be resolved first and the parties agree to seek a stay of any non-arbitrable claims until the full completion of the arbitral process. Any claim that the requirement in this Section 15 that Covered Claims be arbitrated on an individual basis only is invalid, unenforceable, unconscionable, void or voidable may be determined only by a court of competent jurisdiction and not by an Arbitrator. Final resolution of any dispute through arbitration may include any and all remedies that may be obtained in a court. Statutes of limitation for Covered Claims submitted to arbitration under this Section 15 shall be the same as they would be if those claims were brought in court.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Corporation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arbitrator may not award attorneys’ fees to a party that would not otherwise be entitled to such an award under the applicable statute. The parties acknowledge and agree that they are hereby waiving any rights to trial by jury in any action, proceeding or counterclaim brought by either of the parties against the other in connection with any matter whatsoever arising out of or in any way connected with any Covered Claim(s), either by virtue of Participant’s acceptance without opting out of the DRA or, if Participant did opt out of the DRA, by virtue of the provisions of this Section 15.</w:t>
      </w:r>
    </w:p>
    <w:p>
      <w:pPr>
        <w:spacing w:after="0" w:line="168"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Except as otherwise provided by Section 15, if the arbitrator selected in accordance with Section 15 above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except as otherwise provided by Section 15, it is the parties’ intent that any order striking any portion of this Award Agreement and/or the Plan should modify the stricken terms as narrowly as possible to give as much effect as possible to the intentions of the parties hereunder.</w:t>
      </w:r>
    </w:p>
    <w:p>
      <w:pPr>
        <w:spacing w:after="0" w:line="174"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Award Agreement (including these Standard Terms) and the Plan together constitute the entire agreement and supersede all prior understandings and agreements, written or oral, of the parties hereto with respect to the subject matter hereof. However, this Award Agreement shall not supersede or in any way affect the DRA, which shall remain in full force and effect, unless Participant opted out of the DRA pursuant to the provisions therein.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pacing w:after="0" w:line="178"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Appendix</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Award shall be subject to any additional terms and conditions for non-U.S. employees set forth in Appendix A attached hereto (“Appendix A”) and any terms and conditions for the Participant’s country set forth in Appendix B attached hereto (“Appendix B”). Moreover, if the Participant relocates to one of the countries included in Appendix B, the terms and conditions</w:t>
      </w:r>
    </w:p>
    <w:p>
      <w:pPr>
        <w:sectPr>
          <w:pgSz w:w="11900" w:h="16838" w:orient="portrait"/>
          <w:cols w:equalWidth="0" w:num="1">
            <w:col w:w="11420"/>
          </w:cols>
          <w:pgMar w:left="240" w:top="368" w:right="2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66"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Imposition of Other Requirements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62"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21"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No Advice Regarding Grant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ectPr>
          <w:pgSz w:w="11900" w:h="16838" w:orient="portrait"/>
          <w:cols w:equalWidth="0" w:num="1">
            <w:col w:w="11420"/>
          </w:cols>
          <w:pgMar w:left="240" w:top="368" w:right="23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PERFORMANCE STOCK UNIT AWARD – FINANCIAL MEASURES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Performance Measures and Goals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[To be inserted]</w:t>
      </w:r>
    </w:p>
    <w:p>
      <w:pPr>
        <w:sectPr>
          <w:pgSz w:w="11900" w:h="16838" w:orient="portrait"/>
          <w:cols w:equalWidth="0" w:num="1">
            <w:col w:w="9019"/>
          </w:cols>
          <w:pgMar w:left="1440" w:top="369"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ADDITIONAL TERMS AND CONDITIONS OF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EMPLOYEES</w:t>
      </w:r>
    </w:p>
    <w:p>
      <w:pPr>
        <w:spacing w:after="0" w:line="200" w:lineRule="exact"/>
        <w:rPr>
          <w:sz w:val="20"/>
          <w:szCs w:val="20"/>
          <w:color w:val="auto"/>
        </w:rPr>
      </w:pPr>
    </w:p>
    <w:p>
      <w:pPr>
        <w:spacing w:after="0" w:line="245" w:lineRule="exact"/>
        <w:rPr>
          <w:sz w:val="20"/>
          <w:szCs w:val="20"/>
          <w:color w:val="auto"/>
        </w:rPr>
      </w:pPr>
    </w:p>
    <w:p>
      <w:pPr>
        <w:ind w:left="1480" w:hanging="338"/>
        <w:spacing w:after="0"/>
        <w:tabs>
          <w:tab w:leader="none" w:pos="1480" w:val="left"/>
        </w:tabs>
        <w:numPr>
          <w:ilvl w:val="0"/>
          <w:numId w:val="25"/>
        </w:numPr>
        <w:rPr>
          <w:rFonts w:ascii="Arial" w:cs="Arial" w:eastAsia="Arial" w:hAnsi="Arial"/>
          <w:sz w:val="22"/>
          <w:szCs w:val="22"/>
          <w:b w:val="1"/>
          <w:bCs w:val="1"/>
          <w:color w:val="auto"/>
        </w:rPr>
      </w:pPr>
      <w:r>
        <w:rPr>
          <w:rFonts w:ascii="Arial" w:cs="Arial" w:eastAsia="Arial" w:hAnsi="Arial"/>
          <w:sz w:val="18"/>
          <w:szCs w:val="18"/>
          <w:b w:val="1"/>
          <w:bCs w:val="1"/>
          <w:color w:val="auto"/>
        </w:rPr>
        <w:t>Terms of Plan Participation for Non-U.S. Participants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Arial" w:cs="Arial" w:eastAsia="Arial" w:hAnsi="Arial"/>
          <w:sz w:val="16"/>
          <w:szCs w:val="16"/>
          <w:i w:val="1"/>
          <w:iCs w:val="1"/>
          <w:color w:val="auto"/>
        </w:rPr>
        <w:t>Capitalized terms used but not defined in this Appendix A shall have the same meanings assigned to them in the Plan and/or Award Agreement.</w:t>
      </w:r>
    </w:p>
    <w:p>
      <w:pPr>
        <w:spacing w:after="0" w:line="172" w:lineRule="exact"/>
        <w:rPr>
          <w:sz w:val="20"/>
          <w:szCs w:val="20"/>
          <w:color w:val="auto"/>
        </w:rPr>
      </w:pPr>
    </w:p>
    <w:p>
      <w:pPr>
        <w:ind w:left="1480" w:hanging="338"/>
        <w:spacing w:after="0"/>
        <w:tabs>
          <w:tab w:leader="none" w:pos="1480" w:val="left"/>
        </w:tabs>
        <w:numPr>
          <w:ilvl w:val="0"/>
          <w:numId w:val="26"/>
        </w:numPr>
        <w:rPr>
          <w:rFonts w:ascii="Arial" w:cs="Arial" w:eastAsia="Arial" w:hAnsi="Arial"/>
          <w:sz w:val="22"/>
          <w:szCs w:val="22"/>
          <w:b w:val="1"/>
          <w:bCs w:val="1"/>
          <w:color w:val="auto"/>
        </w:rPr>
      </w:pPr>
      <w:r>
        <w:rPr>
          <w:rFonts w:ascii="Arial" w:cs="Arial" w:eastAsia="Arial" w:hAnsi="Arial"/>
          <w:sz w:val="18"/>
          <w:szCs w:val="18"/>
          <w:b w:val="1"/>
          <w:bCs w:val="1"/>
          <w:color w:val="auto"/>
        </w:rPr>
        <w:t>Withholding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10 of the Standard Terms: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Award and legally applicable to the Participant (“Tax-Related Items”)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Stock Units, including, but not limited to, the grant, vesting or settlement of the Stock Units, the subsequent sale of shares of Common Stock acquired pursuant to such settlement and the receipt of any dividends and/or any dividend equivalents; and (b) do not commit to and are under no obligation to structure the terms of the grant or any aspect of the Stock Units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and Section 10 of the Standard Terms. In addition, the Participant authorizes withholding from proceeds of the sale of shares of Common Stock acquired upon settlement of the Stock Units either through a voluntary sale or through a mandatory sale arranged by the Corporation (on the Participant’s behalf pursuant to this authorization without further consent). If the Participant is subject to Section 16 of the Exchange Act, then withholding for Tax-Related Items shall be satisfied in accordance with Section 8.5 of the Plan, Section 10 of the Standard Terms, and the withholding methodology approved by the Administrator for officers subject to Section 16 of the Exchange Act.</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Depending on the withholding method, the Corporation and/or the Employer may withhold or account for Tax-Related Items by considering applicable minimum withholding amounts or other applicable withholding rates, including maximum applicable rates in the Participant's jurisdiction(s), in which case the Participant may receive a refund of any over-withheld amount in cash and will have no entitlement to the equivalent in Common Stock. If the Tax-Related Items are satisfied by withholding in shares of Common Stock, for tax purposes, the Participant is deemed to have been issued the full number of shares subject to the vested Stock Units, notwithstanding that a number of the Shares are held back solely for the purpose of paying the Tax-Related Items.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 Corporation may refuse to issue or deliver the shares of Common Stock or the proceeds from the sale of shares if the Participant fails to comply with the Participant’s obligations in connection with the Tax-Related Items.</w:t>
      </w:r>
    </w:p>
    <w:p>
      <w:pPr>
        <w:sectPr>
          <w:pgSz w:w="11900" w:h="16838" w:orient="portrait"/>
          <w:cols w:equalWidth="0" w:num="1">
            <w:col w:w="11420"/>
          </w:cols>
          <w:pgMar w:left="240" w:top="364" w:right="239" w:bottom="1440" w:gutter="0" w:footer="0" w:header="0"/>
        </w:sectPr>
      </w:pPr>
    </w:p>
    <w:bookmarkStart w:id="83" w:name="page84"/>
    <w:bookmarkEnd w:id="83"/>
    <w:p>
      <w:pPr>
        <w:ind w:left="1480" w:hanging="338"/>
        <w:spacing w:after="0"/>
        <w:tabs>
          <w:tab w:leader="none" w:pos="1480" w:val="left"/>
        </w:tabs>
        <w:numPr>
          <w:ilvl w:val="0"/>
          <w:numId w:val="27"/>
        </w:numPr>
        <w:rPr>
          <w:rFonts w:ascii="Arial" w:cs="Arial" w:eastAsia="Arial" w:hAnsi="Arial"/>
          <w:sz w:val="22"/>
          <w:szCs w:val="22"/>
          <w:b w:val="1"/>
          <w:bCs w:val="1"/>
          <w:color w:val="auto"/>
        </w:rPr>
      </w:pPr>
      <w:r>
        <w:rPr>
          <w:rFonts w:ascii="Arial" w:cs="Arial" w:eastAsia="Arial" w:hAnsi="Arial"/>
          <w:sz w:val="18"/>
          <w:szCs w:val="18"/>
          <w:b w:val="1"/>
          <w:bCs w:val="1"/>
          <w:color w:val="auto"/>
        </w:rPr>
        <w:t>Nature of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Stock Units and any shares of Common Stock, the Participant acknowledges, understands and agrees that:</w:t>
      </w:r>
    </w:p>
    <w:p>
      <w:pPr>
        <w:spacing w:after="0" w:line="252" w:lineRule="exact"/>
        <w:rPr>
          <w:sz w:val="20"/>
          <w:szCs w:val="20"/>
          <w:color w:val="auto"/>
        </w:rPr>
      </w:pPr>
    </w:p>
    <w:p>
      <w:pPr>
        <w:ind w:firstLine="1305"/>
        <w:spacing w:after="0" w:line="324" w:lineRule="auto"/>
        <w:tabs>
          <w:tab w:leader="none" w:pos="1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70" w:lineRule="exact"/>
        <w:rPr>
          <w:rFonts w:ascii="Arial" w:cs="Arial" w:eastAsia="Arial" w:hAnsi="Arial"/>
          <w:sz w:val="18"/>
          <w:szCs w:val="18"/>
          <w:color w:val="auto"/>
        </w:rPr>
      </w:pPr>
    </w:p>
    <w:p>
      <w:pPr>
        <w:ind w:firstLine="1305"/>
        <w:spacing w:after="0" w:line="324" w:lineRule="auto"/>
        <w:tabs>
          <w:tab w:leader="none" w:pos="18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grant of the Stock Units is exceptional, voluntary and occasional and does not create any contractual or other right to receive future grants of Stock Units, or benefits in lieu of Stock Units, even if Stock Units have been granted in the past;</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decisions with respect to future Stock Units or other grants, if any, will be at the sole discretion of the Corporation;</w:t>
      </w:r>
    </w:p>
    <w:p>
      <w:pPr>
        <w:spacing w:after="0" w:line="265" w:lineRule="exact"/>
        <w:rPr>
          <w:rFonts w:ascii="Arial" w:cs="Arial" w:eastAsia="Arial" w:hAnsi="Arial"/>
          <w:sz w:val="18"/>
          <w:szCs w:val="18"/>
          <w:color w:val="auto"/>
        </w:rPr>
      </w:pPr>
    </w:p>
    <w:p>
      <w:pPr>
        <w:ind w:left="1840" w:hanging="535"/>
        <w:spacing w:after="0"/>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Participant is voluntary participating in the Plan;</w:t>
      </w:r>
    </w:p>
    <w:p>
      <w:pPr>
        <w:spacing w:after="0" w:line="265" w:lineRule="exact"/>
        <w:rPr>
          <w:rFonts w:ascii="Arial" w:cs="Arial" w:eastAsia="Arial" w:hAnsi="Arial"/>
          <w:sz w:val="18"/>
          <w:szCs w:val="18"/>
          <w:color w:val="auto"/>
        </w:rPr>
      </w:pPr>
    </w:p>
    <w:p>
      <w:pPr>
        <w:ind w:right="20" w:firstLine="1305"/>
        <w:spacing w:after="0" w:line="324" w:lineRule="auto"/>
        <w:tabs>
          <w:tab w:leader="none" w:pos="1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intended to replace any pension rights or compensation;</w:t>
      </w:r>
    </w:p>
    <w:p>
      <w:pPr>
        <w:spacing w:after="0" w:line="170" w:lineRule="exact"/>
        <w:rPr>
          <w:rFonts w:ascii="Arial" w:cs="Arial" w:eastAsia="Arial" w:hAnsi="Arial"/>
          <w:sz w:val="18"/>
          <w:szCs w:val="18"/>
          <w:color w:val="auto"/>
        </w:rPr>
      </w:pPr>
    </w:p>
    <w:p>
      <w:pPr>
        <w:jc w:val="both"/>
        <w:ind w:firstLine="1305"/>
        <w:spacing w:after="0" w:line="304"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201" w:lineRule="exact"/>
        <w:rPr>
          <w:rFonts w:ascii="Arial" w:cs="Arial" w:eastAsia="Arial" w:hAnsi="Arial"/>
          <w:sz w:val="18"/>
          <w:szCs w:val="18"/>
          <w:color w:val="auto"/>
        </w:rPr>
      </w:pPr>
    </w:p>
    <w:p>
      <w:pPr>
        <w:ind w:left="1740" w:hanging="435"/>
        <w:spacing w:after="0"/>
        <w:tabs>
          <w:tab w:leader="none" w:pos="1740" w:val="left"/>
        </w:tabs>
        <w:numPr>
          <w:ilvl w:val="0"/>
          <w:numId w:val="28"/>
        </w:numPr>
        <w:rPr>
          <w:rFonts w:ascii="Arial" w:cs="Arial" w:eastAsia="Arial" w:hAnsi="Arial"/>
          <w:sz w:val="19"/>
          <w:szCs w:val="19"/>
          <w:color w:val="auto"/>
        </w:rPr>
      </w:pPr>
      <w:r>
        <w:rPr>
          <w:rFonts w:ascii="Arial" w:cs="Arial" w:eastAsia="Arial" w:hAnsi="Arial"/>
          <w:sz w:val="16"/>
          <w:szCs w:val="16"/>
          <w:color w:val="auto"/>
        </w:rPr>
        <w:t>the future value of the shares of Common Stock underlying the Stock Units is unknown, indeterminable, and cannot be predicted with</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certainty;</w:t>
      </w:r>
    </w:p>
    <w:p>
      <w:pPr>
        <w:spacing w:after="0" w:line="279" w:lineRule="exact"/>
        <w:rPr>
          <w:rFonts w:ascii="Arial" w:cs="Arial" w:eastAsia="Arial" w:hAnsi="Arial"/>
          <w:sz w:val="19"/>
          <w:szCs w:val="19"/>
          <w:color w:val="auto"/>
        </w:rPr>
      </w:pPr>
    </w:p>
    <w:p>
      <w:pPr>
        <w:ind w:firstLine="1305"/>
        <w:spacing w:after="0" w:line="350" w:lineRule="auto"/>
        <w:tabs>
          <w:tab w:leader="none" w:pos="1798" w:val="left"/>
        </w:tabs>
        <w:numPr>
          <w:ilvl w:val="0"/>
          <w:numId w:val="28"/>
        </w:numPr>
        <w:rPr>
          <w:rFonts w:ascii="Arial" w:cs="Arial" w:eastAsia="Arial" w:hAnsi="Arial"/>
          <w:sz w:val="19"/>
          <w:szCs w:val="19"/>
          <w:color w:val="auto"/>
        </w:rPr>
      </w:pPr>
      <w:r>
        <w:rPr>
          <w:rFonts w:ascii="Arial" w:cs="Arial" w:eastAsia="Arial" w:hAnsi="Arial"/>
          <w:sz w:val="16"/>
          <w:szCs w:val="16"/>
          <w:color w:val="auto"/>
        </w:rPr>
        <w:t>unless otherwise agreed with the Corporation, the Stock Units and the shares of Common Stock acquired under the Plan, and the income and value of same, are not granted as consideration for, or in connection with, the service the Participant may provide as a director of any Subsidiary;</w:t>
      </w:r>
    </w:p>
    <w:p>
      <w:pPr>
        <w:spacing w:after="0" w:line="155" w:lineRule="exact"/>
        <w:rPr>
          <w:rFonts w:ascii="Arial" w:cs="Arial" w:eastAsia="Arial" w:hAnsi="Arial"/>
          <w:sz w:val="19"/>
          <w:szCs w:val="19"/>
          <w:color w:val="auto"/>
        </w:rPr>
      </w:pPr>
    </w:p>
    <w:p>
      <w:pPr>
        <w:jc w:val="both"/>
        <w:ind w:firstLine="1305"/>
        <w:spacing w:after="0" w:line="301" w:lineRule="auto"/>
        <w:tabs>
          <w:tab w:leader="none" w:pos="1687" w:val="left"/>
        </w:tabs>
        <w:numPr>
          <w:ilvl w:val="0"/>
          <w:numId w:val="28"/>
        </w:numPr>
        <w:rPr>
          <w:rFonts w:ascii="Arial" w:cs="Arial" w:eastAsia="Arial" w:hAnsi="Arial"/>
          <w:sz w:val="21"/>
          <w:szCs w:val="21"/>
          <w:color w:val="auto"/>
        </w:rPr>
      </w:pPr>
      <w:r>
        <w:rPr>
          <w:rFonts w:ascii="Arial" w:cs="Arial" w:eastAsia="Arial" w:hAnsi="Arial"/>
          <w:sz w:val="17"/>
          <w:szCs w:val="17"/>
          <w:color w:val="auto"/>
        </w:rPr>
        <w:t>no claim or entitlement to compensation or damages shall arise from forfeiture of the Stock Units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206" w:lineRule="exact"/>
        <w:rPr>
          <w:rFonts w:ascii="Arial" w:cs="Arial" w:eastAsia="Arial" w:hAnsi="Arial"/>
          <w:sz w:val="21"/>
          <w:szCs w:val="21"/>
          <w:color w:val="auto"/>
        </w:rPr>
      </w:pPr>
    </w:p>
    <w:p>
      <w:pPr>
        <w:jc w:val="both"/>
        <w:ind w:firstLine="1305"/>
        <w:spacing w:after="0" w:line="280" w:lineRule="auto"/>
        <w:tabs>
          <w:tab w:leader="none" w:pos="1697" w:val="left"/>
        </w:tabs>
        <w:numPr>
          <w:ilvl w:val="0"/>
          <w:numId w:val="28"/>
        </w:numPr>
        <w:rPr>
          <w:rFonts w:ascii="Arial" w:cs="Arial" w:eastAsia="Arial" w:hAnsi="Arial"/>
          <w:sz w:val="22"/>
          <w:szCs w:val="22"/>
          <w:color w:val="auto"/>
        </w:rPr>
      </w:pPr>
      <w:r>
        <w:rPr>
          <w:rFonts w:ascii="Arial" w:cs="Arial" w:eastAsia="Arial" w:hAnsi="Arial"/>
          <w:sz w:val="18"/>
          <w:szCs w:val="18"/>
          <w:color w:val="auto"/>
        </w:rPr>
        <w:t>unless otherwise provided in the Plan or by the Corporation in its discretion, the Stock Units and the benefits evidenced by the Award Agreement do not create any entitlement to have the Stock Units or any such benefits transferred to, or assumed by, another company nor to be exchanged, cashed out or substituted for, in connection with any corporate transaction affecting the shares; and</w:t>
      </w:r>
    </w:p>
    <w:p>
      <w:pPr>
        <w:spacing w:after="0" w:line="221" w:lineRule="exact"/>
        <w:rPr>
          <w:rFonts w:ascii="Arial" w:cs="Arial" w:eastAsia="Arial" w:hAnsi="Arial"/>
          <w:sz w:val="22"/>
          <w:szCs w:val="22"/>
          <w:color w:val="auto"/>
        </w:rPr>
      </w:pPr>
    </w:p>
    <w:p>
      <w:pPr>
        <w:jc w:val="both"/>
        <w:ind w:firstLine="1305"/>
        <w:spacing w:after="0" w:line="280" w:lineRule="auto"/>
        <w:tabs>
          <w:tab w:leader="none" w:pos="1834" w:val="left"/>
        </w:tabs>
        <w:numPr>
          <w:ilvl w:val="0"/>
          <w:numId w:val="28"/>
        </w:numPr>
        <w:rPr>
          <w:rFonts w:ascii="Arial" w:cs="Arial" w:eastAsia="Arial" w:hAnsi="Arial"/>
          <w:sz w:val="22"/>
          <w:szCs w:val="22"/>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Stock Units or of any amounts due to the Participant pursuant to the vesting of the Stock Units or the subsequent sale of any shares of Common Stock acquired upon vesting.</w:t>
      </w:r>
    </w:p>
    <w:p>
      <w:pPr>
        <w:spacing w:after="0" w:line="199" w:lineRule="exact"/>
        <w:rPr>
          <w:sz w:val="20"/>
          <w:szCs w:val="20"/>
          <w:color w:val="auto"/>
        </w:rPr>
      </w:pPr>
    </w:p>
    <w:p>
      <w:pPr>
        <w:ind w:left="1480" w:hanging="338"/>
        <w:spacing w:after="0"/>
        <w:tabs>
          <w:tab w:leader="none" w:pos="1480" w:val="left"/>
        </w:tabs>
        <w:numPr>
          <w:ilvl w:val="0"/>
          <w:numId w:val="29"/>
        </w:numPr>
        <w:rPr>
          <w:rFonts w:ascii="Arial" w:cs="Arial" w:eastAsia="Arial" w:hAnsi="Arial"/>
          <w:sz w:val="22"/>
          <w:szCs w:val="22"/>
          <w:b w:val="1"/>
          <w:bCs w:val="1"/>
          <w:color w:val="auto"/>
        </w:rPr>
      </w:pPr>
      <w:r>
        <w:rPr>
          <w:rFonts w:ascii="Arial" w:cs="Arial" w:eastAsia="Arial" w:hAnsi="Arial"/>
          <w:sz w:val="18"/>
          <w:szCs w:val="18"/>
          <w:b w:val="1"/>
          <w:bCs w:val="1"/>
          <w:color w:val="auto"/>
        </w:rPr>
        <w:t>Data Privacy</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By accepting the Stock Units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 mentioned herein, including recipients located in countries which do not adduce an adequate level of protection from a European (or other non-U.S.) data protection law perspective, for the purposes described herein.</w:t>
      </w:r>
    </w:p>
    <w:p>
      <w:pPr>
        <w:sectPr>
          <w:pgSz w:w="11900" w:h="16838" w:orient="portrait"/>
          <w:cols w:equalWidth="0" w:num="1">
            <w:col w:w="11420"/>
          </w:cols>
          <w:pgMar w:left="240" w:top="602" w:right="239" w:bottom="1440" w:gutter="0" w:footer="0" w:header="0"/>
        </w:sectPr>
      </w:pPr>
    </w:p>
    <w:bookmarkStart w:id="84" w:name="page85"/>
    <w:bookmarkEnd w:id="84"/>
    <w:p>
      <w:pPr>
        <w:jc w:val="both"/>
        <w:ind w:left="-1200" w:firstLine="1305"/>
        <w:spacing w:after="0" w:line="304" w:lineRule="auto"/>
        <w:tabs>
          <w:tab w:leader="none" w:pos="955"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Declaration of Consent</w:t>
      </w:r>
      <w:r>
        <w:rPr>
          <w:rFonts w:ascii="Arial" w:cs="Arial" w:eastAsia="Arial" w:hAnsi="Arial"/>
          <w:sz w:val="18"/>
          <w:szCs w:val="18"/>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Stock Unit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88" w:lineRule="exact"/>
        <w:rPr>
          <w:rFonts w:ascii="Arial" w:cs="Arial" w:eastAsia="Arial" w:hAnsi="Arial"/>
          <w:sz w:val="18"/>
          <w:szCs w:val="18"/>
          <w:b w:val="1"/>
          <w:bCs w:val="1"/>
          <w:i w:val="1"/>
          <w:iCs w:val="1"/>
          <w:color w:val="auto"/>
        </w:rPr>
      </w:pPr>
    </w:p>
    <w:p>
      <w:pPr>
        <w:jc w:val="both"/>
        <w:ind w:left="-1200" w:firstLine="1305"/>
        <w:spacing w:after="0" w:line="322" w:lineRule="auto"/>
        <w:tabs>
          <w:tab w:leader="none" w:pos="955"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Data Processing and Legal Basis</w:t>
      </w:r>
      <w:r>
        <w:rPr>
          <w:rFonts w:ascii="Arial" w:cs="Arial" w:eastAsia="Arial" w:hAnsi="Arial"/>
          <w:sz w:val="17"/>
          <w:szCs w:val="17"/>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Stock Units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76" w:lineRule="exact"/>
        <w:rPr>
          <w:rFonts w:ascii="Arial" w:cs="Arial" w:eastAsia="Arial" w:hAnsi="Arial"/>
          <w:sz w:val="17"/>
          <w:szCs w:val="17"/>
          <w:b w:val="1"/>
          <w:bCs w:val="1"/>
          <w:i w:val="1"/>
          <w:iCs w:val="1"/>
          <w:color w:val="auto"/>
        </w:rPr>
      </w:pPr>
    </w:p>
    <w:p>
      <w:pPr>
        <w:jc w:val="both"/>
        <w:ind w:left="-1200" w:firstLine="1305"/>
        <w:spacing w:after="0" w:line="370" w:lineRule="auto"/>
        <w:tabs>
          <w:tab w:leader="none" w:pos="944" w:val="left"/>
        </w:tabs>
        <w:numPr>
          <w:ilvl w:val="0"/>
          <w:numId w:val="3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acquired under the Plan and that the Participant will be asked to agree on separate terms and data processing practices with the service provider, which is a condition of the Participant’s ability to participate in the Plan.</w:t>
      </w:r>
    </w:p>
    <w:p>
      <w:pPr>
        <w:spacing w:after="0" w:line="150" w:lineRule="exact"/>
        <w:rPr>
          <w:rFonts w:ascii="Arial" w:cs="Arial" w:eastAsia="Arial" w:hAnsi="Arial"/>
          <w:sz w:val="15"/>
          <w:szCs w:val="15"/>
          <w:b w:val="1"/>
          <w:bCs w:val="1"/>
          <w:i w:val="1"/>
          <w:iCs w:val="1"/>
          <w:color w:val="auto"/>
        </w:rPr>
      </w:pPr>
    </w:p>
    <w:p>
      <w:pPr>
        <w:jc w:val="both"/>
        <w:ind w:left="-1200" w:firstLine="1305"/>
        <w:spacing w:after="0" w:line="340" w:lineRule="auto"/>
        <w:tabs>
          <w:tab w:leader="none" w:pos="955"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Otherwise, transfers of personal data from the EU to the United States can be made on the basis of Standard Contractual Clauses approved by the European Commission or other appropriate safeguards permissible under the applicable law. If the Participant is located in the EU or EEA,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67" w:lineRule="exact"/>
        <w:rPr>
          <w:rFonts w:ascii="Arial" w:cs="Arial" w:eastAsia="Arial" w:hAnsi="Arial"/>
          <w:sz w:val="16"/>
          <w:szCs w:val="16"/>
          <w:b w:val="1"/>
          <w:bCs w:val="1"/>
          <w:i w:val="1"/>
          <w:iCs w:val="1"/>
          <w:color w:val="auto"/>
        </w:rPr>
      </w:pPr>
    </w:p>
    <w:p>
      <w:pPr>
        <w:jc w:val="both"/>
        <w:ind w:left="-1200" w:firstLine="1305"/>
        <w:spacing w:after="0" w:line="346" w:lineRule="auto"/>
        <w:tabs>
          <w:tab w:leader="none" w:pos="944"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xml:space="preserve"> The Participant understands that the Corporation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Corporation’s legal basis for the processing of the Participant’s Personal Data would be compliance with the relevant laws or regulations or the pursuit by the Corporation of respective legitimate interests not outweighed by the Participant’s interests, rights or freedoms. When the Corporation no longer needs the Participant’s Personal Data for any of the above purposes, the Participant understands the Corporation will remove it from its systems.</w:t>
      </w:r>
    </w:p>
    <w:p>
      <w:pPr>
        <w:spacing w:after="0" w:line="164" w:lineRule="exact"/>
        <w:rPr>
          <w:rFonts w:ascii="Arial" w:cs="Arial" w:eastAsia="Arial" w:hAnsi="Arial"/>
          <w:sz w:val="16"/>
          <w:szCs w:val="16"/>
          <w:b w:val="1"/>
          <w:bCs w:val="1"/>
          <w:i w:val="1"/>
          <w:iCs w:val="1"/>
          <w:color w:val="auto"/>
        </w:rPr>
      </w:pPr>
    </w:p>
    <w:p>
      <w:pPr>
        <w:jc w:val="both"/>
        <w:ind w:left="-1200" w:firstLine="1305"/>
        <w:spacing w:after="0" w:line="322" w:lineRule="auto"/>
        <w:tabs>
          <w:tab w:leader="none" w:pos="925"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Voluntariness and Consequences of Denial/Withdrawal of Consent</w:t>
      </w:r>
      <w:r>
        <w:rPr>
          <w:rFonts w:ascii="Arial" w:cs="Arial" w:eastAsia="Arial" w:hAnsi="Arial"/>
          <w:sz w:val="17"/>
          <w:szCs w:val="17"/>
          <w:b w:val="1"/>
          <w:bCs w:val="1"/>
          <w:i w:val="1"/>
          <w:iCs w:val="1"/>
          <w:color w:val="auto"/>
        </w:rPr>
        <w:t>. The Participant understands that the Participant’s participation in the Plan and the Participant’s grant of consent is purely voluntary. The Participant may deny or later withdraw the Participant’s consent at any time, with future effect and for any or no reason. If the Participant denies or later withdraws the Participant’s consent, the Corporation can no longer offer the Participant participation in the Plan or offer other awards to the Participant or administer or maintain such awards and the Participant would no longer be able to participate in the Plan. The Participant further understands that denial or withdrawal of the Participant’s consent would not affect the Participant’s status or salary as an employee or the Participant’s career and that the Participant would merely forfeit the opportunities associated with the Plan.</w:t>
      </w:r>
    </w:p>
    <w:p>
      <w:pPr>
        <w:sectPr>
          <w:pgSz w:w="11900" w:h="16838" w:orient="portrait"/>
          <w:cols w:equalWidth="0" w:num="1">
            <w:col w:w="10220"/>
          </w:cols>
          <w:pgMar w:left="1440" w:top="395" w:right="239" w:bottom="1440" w:gutter="0" w:footer="0" w:header="0"/>
        </w:sectPr>
      </w:pPr>
    </w:p>
    <w:bookmarkStart w:id="85" w:name="page86"/>
    <w:bookmarkEnd w:id="85"/>
    <w:p>
      <w:pPr>
        <w:jc w:val="both"/>
        <w:ind w:firstLine="1305"/>
        <w:spacing w:after="0" w:line="357" w:lineRule="auto"/>
        <w:tabs>
          <w:tab w:leader="none" w:pos="2155" w:val="left"/>
        </w:tabs>
        <w:numPr>
          <w:ilvl w:val="1"/>
          <w:numId w:val="3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w:t>
      </w:r>
    </w:p>
    <w:p>
      <w:pPr>
        <w:jc w:val="both"/>
        <w:ind w:firstLine="8"/>
        <w:spacing w:after="0" w:line="323" w:lineRule="auto"/>
        <w:tabs>
          <w:tab w:leader="none" w:pos="247"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77" w:lineRule="exact"/>
        <w:rPr>
          <w:rFonts w:ascii="Arial" w:cs="Arial" w:eastAsia="Arial" w:hAnsi="Arial"/>
          <w:sz w:val="17"/>
          <w:szCs w:val="17"/>
          <w:b w:val="1"/>
          <w:bCs w:val="1"/>
          <w:i w:val="1"/>
          <w:iCs w:val="1"/>
          <w:color w:val="auto"/>
        </w:rPr>
      </w:pPr>
    </w:p>
    <w:p>
      <w:pPr>
        <w:jc w:val="both"/>
        <w:ind w:firstLine="1305"/>
        <w:spacing w:after="0" w:line="322" w:lineRule="auto"/>
        <w:tabs>
          <w:tab w:leader="none" w:pos="2165" w:val="left"/>
        </w:tabs>
        <w:numPr>
          <w:ilvl w:val="1"/>
          <w:numId w:val="32"/>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Alternate Basis and Additional Consents.</w:t>
      </w:r>
      <w:r>
        <w:rPr>
          <w:rFonts w:ascii="Arial" w:cs="Arial" w:eastAsia="Arial" w:hAnsi="Arial"/>
          <w:sz w:val="17"/>
          <w:szCs w:val="17"/>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383" w:lineRule="exact"/>
        <w:rPr>
          <w:sz w:val="20"/>
          <w:szCs w:val="20"/>
          <w:color w:val="auto"/>
        </w:rPr>
      </w:pPr>
    </w:p>
    <w:p>
      <w:pPr>
        <w:ind w:left="1480" w:hanging="338"/>
        <w:spacing w:after="0"/>
        <w:tabs>
          <w:tab w:leader="none" w:pos="1480" w:val="left"/>
        </w:tabs>
        <w:numPr>
          <w:ilvl w:val="0"/>
          <w:numId w:val="33"/>
        </w:numPr>
        <w:rPr>
          <w:rFonts w:ascii="Arial" w:cs="Arial" w:eastAsia="Arial" w:hAnsi="Arial"/>
          <w:sz w:val="22"/>
          <w:szCs w:val="22"/>
          <w:b w:val="1"/>
          <w:bCs w:val="1"/>
          <w:color w:val="auto"/>
        </w:rPr>
      </w:pPr>
      <w:r>
        <w:rPr>
          <w:rFonts w:ascii="Arial" w:cs="Arial" w:eastAsia="Arial" w:hAnsi="Arial"/>
          <w:sz w:val="18"/>
          <w:szCs w:val="18"/>
          <w:b w:val="1"/>
          <w:bCs w:val="1"/>
          <w:color w:val="auto"/>
        </w:rPr>
        <w:t>Electronic Delivery and Acceptance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Stock Units. Further, the Participant agrees to participate in the Plan through an on-line or electronic system established and maintained by the Corporation or by a third party designated by the Corporation.</w:t>
      </w:r>
    </w:p>
    <w:p>
      <w:pPr>
        <w:spacing w:after="0" w:line="200" w:lineRule="exact"/>
        <w:rPr>
          <w:sz w:val="20"/>
          <w:szCs w:val="20"/>
          <w:color w:val="auto"/>
        </w:rPr>
      </w:pPr>
    </w:p>
    <w:p>
      <w:pPr>
        <w:spacing w:after="0" w:line="215" w:lineRule="exact"/>
        <w:rPr>
          <w:sz w:val="20"/>
          <w:szCs w:val="20"/>
          <w:color w:val="auto"/>
        </w:rPr>
      </w:pPr>
    </w:p>
    <w:p>
      <w:pPr>
        <w:ind w:left="1480" w:hanging="338"/>
        <w:spacing w:after="0"/>
        <w:tabs>
          <w:tab w:leader="none" w:pos="1480" w:val="left"/>
        </w:tabs>
        <w:numPr>
          <w:ilvl w:val="0"/>
          <w:numId w:val="34"/>
        </w:numPr>
        <w:rPr>
          <w:rFonts w:ascii="Arial" w:cs="Arial" w:eastAsia="Arial" w:hAnsi="Arial"/>
          <w:sz w:val="22"/>
          <w:szCs w:val="22"/>
          <w:b w:val="1"/>
          <w:bCs w:val="1"/>
          <w:color w:val="auto"/>
        </w:rPr>
      </w:pPr>
      <w:r>
        <w:rPr>
          <w:rFonts w:ascii="Arial" w:cs="Arial" w:eastAsia="Arial" w:hAnsi="Arial"/>
          <w:sz w:val="18"/>
          <w:szCs w:val="18"/>
          <w:b w:val="1"/>
          <w:bCs w:val="1"/>
          <w:color w:val="auto"/>
        </w:rPr>
        <w:t>Insider Trading/ Market Abuse Laws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By participating in the Plan, 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8"/>
          <w:szCs w:val="18"/>
          <w:i w:val="1"/>
          <w:iCs w:val="1"/>
          <w:color w:val="auto"/>
        </w:rPr>
        <w:t>e.g.</w:t>
      </w:r>
      <w:r>
        <w:rPr>
          <w:rFonts w:ascii="Arial" w:cs="Arial" w:eastAsia="Arial" w:hAnsi="Arial"/>
          <w:sz w:val="18"/>
          <w:szCs w:val="18"/>
          <w:color w:val="auto"/>
        </w:rPr>
        <w:t>, the Stock Units) or rights linked to the value of Common Stock (</w:t>
      </w:r>
      <w:r>
        <w:rPr>
          <w:rFonts w:ascii="Arial" w:cs="Arial" w:eastAsia="Arial" w:hAnsi="Arial"/>
          <w:sz w:val="18"/>
          <w:szCs w:val="18"/>
          <w:i w:val="1"/>
          <w:iCs w:val="1"/>
          <w:color w:val="auto"/>
        </w:rPr>
        <w:t>e.g.</w:t>
      </w:r>
      <w:r>
        <w:rPr>
          <w:rFonts w:ascii="Arial" w:cs="Arial" w:eastAsia="Arial" w:hAnsi="Arial"/>
          <w:sz w:val="18"/>
          <w:szCs w:val="18"/>
          <w:color w:val="auto"/>
        </w:rPr>
        <w:t>, phantom awards, futures) during such times as the Participant is considered to have “inside information” regarding the Corporation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211" w:lineRule="exact"/>
        <w:rPr>
          <w:sz w:val="20"/>
          <w:szCs w:val="20"/>
          <w:color w:val="auto"/>
        </w:rPr>
      </w:pPr>
    </w:p>
    <w:p>
      <w:pPr>
        <w:ind w:left="1480" w:hanging="338"/>
        <w:spacing w:after="0"/>
        <w:tabs>
          <w:tab w:leader="none" w:pos="1480" w:val="left"/>
        </w:tabs>
        <w:numPr>
          <w:ilvl w:val="0"/>
          <w:numId w:val="35"/>
        </w:numPr>
        <w:rPr>
          <w:rFonts w:ascii="Arial" w:cs="Arial" w:eastAsia="Arial" w:hAnsi="Arial"/>
          <w:sz w:val="22"/>
          <w:szCs w:val="22"/>
          <w:b w:val="1"/>
          <w:bCs w:val="1"/>
          <w:color w:val="auto"/>
        </w:rPr>
      </w:pPr>
      <w:r>
        <w:rPr>
          <w:rFonts w:ascii="Arial" w:cs="Arial" w:eastAsia="Arial" w:hAnsi="Arial"/>
          <w:sz w:val="18"/>
          <w:szCs w:val="18"/>
          <w:b w:val="1"/>
          <w:bCs w:val="1"/>
          <w:color w:val="auto"/>
        </w:rPr>
        <w:t>Exchange Control, Tax and/or Foreign Asset/Account Reporting</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Stock Units or dividends paid</w:t>
      </w:r>
    </w:p>
    <w:p>
      <w:pPr>
        <w:sectPr>
          <w:pgSz w:w="11900" w:h="16838" w:orient="portrait"/>
          <w:cols w:equalWidth="0" w:num="1">
            <w:col w:w="11420"/>
          </w:cols>
          <w:pgMar w:left="240" w:top="395" w:right="239" w:bottom="1440" w:gutter="0" w:footer="0" w:header="0"/>
        </w:sectPr>
      </w:pPr>
    </w:p>
    <w:bookmarkStart w:id="86" w:name="page87"/>
    <w:bookmarkEnd w:id="86"/>
    <w:p>
      <w:pPr>
        <w:jc w:val="both"/>
        <w:spacing w:after="0" w:line="297" w:lineRule="auto"/>
        <w:rPr>
          <w:sz w:val="20"/>
          <w:szCs w:val="20"/>
          <w:color w:val="auto"/>
        </w:rPr>
      </w:pPr>
      <w:r>
        <w:rPr>
          <w:rFonts w:ascii="Arial" w:cs="Arial" w:eastAsia="Arial" w:hAnsi="Arial"/>
          <w:sz w:val="16"/>
          <w:szCs w:val="16"/>
          <w:color w:val="auto"/>
        </w:rPr>
        <w:t>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76" w:lineRule="exact"/>
        <w:rPr>
          <w:sz w:val="20"/>
          <w:szCs w:val="20"/>
          <w:color w:val="auto"/>
        </w:rPr>
      </w:pPr>
    </w:p>
    <w:p>
      <w:pPr>
        <w:ind w:left="1480" w:hanging="338"/>
        <w:spacing w:after="0"/>
        <w:tabs>
          <w:tab w:leader="none" w:pos="1480" w:val="left"/>
        </w:tabs>
        <w:numPr>
          <w:ilvl w:val="0"/>
          <w:numId w:val="36"/>
        </w:numPr>
        <w:rPr>
          <w:rFonts w:ascii="Arial" w:cs="Arial" w:eastAsia="Arial" w:hAnsi="Arial"/>
          <w:sz w:val="22"/>
          <w:szCs w:val="22"/>
          <w:b w:val="1"/>
          <w:bCs w:val="1"/>
          <w:color w:val="auto"/>
        </w:rPr>
      </w:pPr>
      <w:r>
        <w:rPr>
          <w:rFonts w:ascii="Arial" w:cs="Arial" w:eastAsia="Arial" w:hAnsi="Arial"/>
          <w:sz w:val="18"/>
          <w:szCs w:val="18"/>
          <w:b w:val="1"/>
          <w:bCs w:val="1"/>
          <w:color w:val="auto"/>
        </w:rPr>
        <w:t>Language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acknowledges that he or she is sufficiently proficient in English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ectPr>
          <w:pgSz w:w="11900" w:h="16838" w:orient="portrait"/>
          <w:cols w:equalWidth="0" w:num="1">
            <w:col w:w="11420"/>
          </w:cols>
          <w:pgMar w:left="240" w:top="368" w:right="239" w:bottom="1440" w:gutter="0" w:footer="0" w:header="0"/>
        </w:sectPr>
      </w:pPr>
    </w:p>
    <w:bookmarkStart w:id="87" w:name="page88"/>
    <w:bookmarkEnd w:id="87"/>
    <w:p>
      <w:pPr>
        <w:jc w:val="right"/>
        <w:ind w:right="20"/>
        <w:spacing w:after="0"/>
        <w:rPr>
          <w:sz w:val="20"/>
          <w:szCs w:val="20"/>
          <w:color w:val="auto"/>
        </w:rPr>
      </w:pPr>
      <w:r>
        <w:rPr>
          <w:rFonts w:ascii="Arial" w:cs="Arial" w:eastAsia="Arial" w:hAnsi="Arial"/>
          <w:sz w:val="18"/>
          <w:szCs w:val="18"/>
          <w:b w:val="1"/>
          <w:bCs w:val="1"/>
          <w:color w:val="auto"/>
        </w:rPr>
        <w:t>Western Digital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1869440" cy="31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869440" cy="317500"/>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5601 Great Oaks Parkway</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San Jose, California 95119</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(408)717-6000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Grant of Performance Stock Units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Performance Stock Unit Award Agreement – TSR Measure</w:t>
      </w:r>
    </w:p>
    <w:p>
      <w:pPr>
        <w:spacing w:after="0" w:line="200" w:lineRule="exact"/>
        <w:rPr>
          <w:sz w:val="20"/>
          <w:szCs w:val="20"/>
          <w:color w:val="auto"/>
        </w:rPr>
      </w:pPr>
    </w:p>
    <w:p>
      <w:pPr>
        <w:spacing w:after="0" w:line="212"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&lt;&lt;Name&gt;&gt;</w:t>
      </w:r>
      <w:r>
        <w:rPr>
          <w:sz w:val="20"/>
          <w:szCs w:val="20"/>
          <w:color w:val="auto"/>
        </w:rPr>
        <w:tab/>
      </w:r>
      <w:r>
        <w:rPr>
          <w:rFonts w:ascii="Arial" w:cs="Arial" w:eastAsia="Arial" w:hAnsi="Arial"/>
          <w:sz w:val="19"/>
          <w:szCs w:val="19"/>
          <w:b w:val="1"/>
          <w:bCs w:val="1"/>
          <w:color w:val="auto"/>
        </w:rPr>
        <w:t>Award Number:</w:t>
      </w:r>
    </w:p>
    <w:p>
      <w:pPr>
        <w:spacing w:after="0" w:line="28"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b w:val="1"/>
          <w:bCs w:val="1"/>
          <w:color w:val="auto"/>
        </w:rPr>
        <w:t>&lt;&lt;Address 1&gt;&gt;</w:t>
      </w:r>
      <w:r>
        <w:rPr>
          <w:sz w:val="20"/>
          <w:szCs w:val="20"/>
          <w:color w:val="auto"/>
        </w:rPr>
        <w:tab/>
      </w:r>
      <w:r>
        <w:rPr>
          <w:rFonts w:ascii="Arial" w:cs="Arial" w:eastAsia="Arial" w:hAnsi="Arial"/>
          <w:sz w:val="19"/>
          <w:szCs w:val="19"/>
          <w:b w:val="1"/>
          <w:bCs w:val="1"/>
          <w:color w:val="auto"/>
        </w:rPr>
        <w:t>Plan: 2017 Performance Incentive Plan</w:t>
      </w:r>
    </w:p>
    <w:p>
      <w:pPr>
        <w:spacing w:after="0" w:line="17"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b w:val="1"/>
          <w:bCs w:val="1"/>
          <w:color w:val="auto"/>
        </w:rPr>
        <w:t>&lt;&lt;Address 2&gt;&gt;</w:t>
        <w:tab/>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Congratulations! Effective &lt;&lt;grant date&gt;&gt; (the “Grant Date”), you have been granted stock units (the “Performance Stock Units”) of Western Digital Corporation (the “Corporation”). These Performance Stock Units were granted under and are subject to the Corporation’s 2017 Performance Incentive Plan, as amended (the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Target Number of Performance Stock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Vesting Date: </w:t>
      </w:r>
      <w:r>
        <w:rPr>
          <w:rFonts w:ascii="Arial" w:cs="Arial" w:eastAsia="Arial" w:hAnsi="Arial"/>
          <w:sz w:val="22"/>
          <w:szCs w:val="22"/>
          <w:color w:val="auto"/>
        </w:rPr>
        <w:t>&lt;&lt;vesting date&gt;&gt;</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Measurement Period covered by grant: </w:t>
      </w:r>
      <w:r>
        <w:rPr>
          <w:rFonts w:ascii="Arial" w:cs="Arial" w:eastAsia="Arial" w:hAnsi="Arial"/>
          <w:sz w:val="19"/>
          <w:szCs w:val="19"/>
          <w:color w:val="auto"/>
        </w:rPr>
        <w:t>The “Measurement Period” applicable to the Performance Stock Units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 is the performance measurement period that begins [__________] and ends [______________]. The actual number of</w:t>
      </w:r>
    </w:p>
    <w:p>
      <w:pPr>
        <w:jc w:val="both"/>
        <w:spacing w:after="0" w:line="244" w:lineRule="auto"/>
        <w:rPr>
          <w:sz w:val="20"/>
          <w:szCs w:val="20"/>
          <w:color w:val="auto"/>
        </w:rPr>
      </w:pPr>
      <w:r>
        <w:rPr>
          <w:rFonts w:ascii="Arial" w:cs="Arial" w:eastAsia="Arial" w:hAnsi="Arial"/>
          <w:sz w:val="22"/>
          <w:szCs w:val="22"/>
          <w:color w:val="auto"/>
        </w:rPr>
        <w:t xml:space="preserve">Performance Stock Units that may become eligible to vest on the Vesting Date based on performance during the Measurement Period may range from [0%] to [200%] of the Total Target Number of Performance Stock Units subject to the award, subject to forfeiture under Section 8 of the attached Standard Terms and Conditions for Performance Stock Unit Award </w:t>
      </w:r>
      <w:r>
        <w:rPr>
          <w:rFonts w:ascii="Arial" w:cs="Arial" w:eastAsia="Arial" w:hAnsi="Arial"/>
          <w:sz w:val="22"/>
          <w:szCs w:val="22"/>
          <w:b w:val="1"/>
          <w:bCs w:val="1"/>
          <w:color w:val="auto"/>
        </w:rPr>
        <w:t>–</w:t>
      </w:r>
      <w:r>
        <w:rPr>
          <w:rFonts w:ascii="Arial" w:cs="Arial" w:eastAsia="Arial" w:hAnsi="Arial"/>
          <w:sz w:val="22"/>
          <w:szCs w:val="22"/>
          <w:color w:val="auto"/>
        </w:rPr>
        <w:t xml:space="preserve"> TSR Measure (the “Standard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Your Performance Stock Unit award is subject to the terms and conditions of this Notice, the attached Standard Terms and the Plan. By accepting the award, you are agreeing to the terms of the award as set forth in those documents. You should read the Plan, the Prospectus for the Plan, and the Standard Terms. The Standard Terms and the Plan are each incorporated into and made a part of this Notice by this reference. You do not have to accept your award. If you do not agree to the terms of your award, you should promptly return this Notice to the Western Digital Corporation Stock Plans Administrator indicating that you do not wish to accept the award and your Performance Stock Units will be cancelled.</w:t>
      </w:r>
    </w:p>
    <w:p>
      <w:pPr>
        <w:spacing w:after="0" w:line="180" w:lineRule="exact"/>
        <w:rPr>
          <w:sz w:val="20"/>
          <w:szCs w:val="20"/>
          <w:color w:val="auto"/>
        </w:rPr>
      </w:pPr>
    </w:p>
    <w:p>
      <w:pPr>
        <w:ind w:right="360"/>
        <w:spacing w:after="0" w:line="253" w:lineRule="auto"/>
        <w:rPr>
          <w:sz w:val="20"/>
          <w:szCs w:val="20"/>
          <w:color w:val="auto"/>
        </w:rPr>
      </w:pPr>
      <w:r>
        <w:rPr>
          <w:rFonts w:ascii="Arial" w:cs="Arial" w:eastAsia="Arial" w:hAnsi="Arial"/>
          <w:sz w:val="22"/>
          <w:szCs w:val="22"/>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ectPr>
          <w:pgSz w:w="11900" w:h="16838" w:orient="portrait"/>
          <w:cols w:equalWidth="0" w:num="1">
            <w:col w:w="11420"/>
          </w:cols>
          <w:pgMar w:left="240" w:top="283" w:right="239" w:bottom="1440" w:gutter="0" w:footer="0" w:header="0"/>
        </w:sectPr>
      </w:pPr>
    </w:p>
    <w:bookmarkStart w:id="88" w:name="page89"/>
    <w:bookmarkEnd w:id="88"/>
    <w:p>
      <w:pPr>
        <w:jc w:val="center"/>
        <w:ind w:right="60"/>
        <w:spacing w:after="0"/>
        <w:rPr>
          <w:sz w:val="20"/>
          <w:szCs w:val="20"/>
          <w:color w:val="auto"/>
        </w:rPr>
      </w:pPr>
      <w:r>
        <w:rPr>
          <w:rFonts w:ascii="Arial" w:cs="Arial" w:eastAsia="Arial" w:hAnsi="Arial"/>
          <w:sz w:val="22"/>
          <w:szCs w:val="22"/>
          <w:b w:val="1"/>
          <w:bCs w:val="1"/>
          <w:color w:val="auto"/>
        </w:rPr>
        <w:t>STANDARD TERMS AND CONDITIONS FOR</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PERFORMANCE STOCK UNIT AWARD - TSR MEASURE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Amended and Restated 2017 Performance Incentive Plan</w:t>
      </w:r>
    </w:p>
    <w:p>
      <w:pPr>
        <w:spacing w:after="0" w:line="20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Performance Stock Units Subject to Amended and Restated 2017 Performance Incentive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Performance Stock Unit Award (the “Award”) referred to in the attached Notice of Grant of Performance Stock Units and Performance Stock Unit Award Agreement (the “Notice”) was awarded under Western Digital Corporation’s (the “Corporation’s”) Amended and Restated 2017 Performance Incentive Plan, as amended (the “Plan”). Each Performance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The target number of Stock Units granted to the Participant shall be credited to an unfunded bookkeeping account maintained by the Corporation on behalf of the Participant (a “Stock Unit Account”).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Stock Units are subject to the terms and provisions of the Notice, these Standard Terms and Conditions for the Performance Stock Unit Award – TSR Measure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have the meanings set forth in the Plan or in the Notice, as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Award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and these Standard Terms, together (the “Award Agreement”), constitute the award agreement with respect to the Award pursuant to Section 5.2 of the Plan.</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Vesting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end of the Measurement Period as set forth in the Notice, the Administrator shall determine, in accordance with the performance goals and related criteria and methodology established by the Administrator for the Measurement Period, the extent to which the performance goals have been achieved and the actual number of Stock Units becoming eligible to vest (subject to the following paragraph) based on performance during the Measurement Period. Any Stock Units (including any related Stock Units credited as dividend equivalents pursuant to Section 5) that do not become eligible to vest based on performance during the Measurement Period shall terminate as of the end of the Measurement Period when the Administrator has determined the extent to which the performance goal has not been achieved for the Measurement Period, and the Participant shall have no further rights with respect to such terminated Stock Units.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Except as otherwise provided in this Award Agreement, and subject to Section 8 below, the number of Stock Units becoming eligible to vest based on performance during the Measurement Period shall vest on the Vesting Date. Except as expressly provided in Sections 7 and 8 below, vesting requires continued employment or service with the Corporation or one of its Subsidiaries through the Vesting Date as a condition to the vesting of any Stock Units subject to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ectPr>
          <w:pgSz w:w="11900" w:h="16838" w:orient="portrait"/>
          <w:cols w:equalWidth="0" w:num="1">
            <w:col w:w="11420"/>
          </w:cols>
          <w:pgMar w:left="240" w:top="368" w:right="239" w:bottom="1440" w:gutter="0" w:footer="0" w:header="0"/>
        </w:sectPr>
      </w:pPr>
    </w:p>
    <w:bookmarkStart w:id="89" w:name="page90"/>
    <w:bookmarkEnd w:id="89"/>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Dividend Equivalent Rights Distributions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jc w:val="both"/>
        <w:ind w:firstLine="8"/>
        <w:spacing w:after="0" w:line="253" w:lineRule="auto"/>
        <w:tabs>
          <w:tab w:leader="none" w:pos="2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Stock Units remaining subject to the Award as of the related dividend payment record date, divided by (iii) the Fair Market Value of a share of Common Stock on the date of payment of such dividend. For these purposes, any Stock Units that vest and become payable in excess of the target number of Stock Units shall be considered to have been granted on the Grant Date set forth in the Notice. The Stock Units credited pursuant to the foregoing provisions of this Section 5 shall be subject to the same vesting, payment and other terms, conditions and restrictions as the original Stock Units to which they relate.</w:t>
      </w:r>
    </w:p>
    <w:p>
      <w:pPr>
        <w:spacing w:after="0" w:line="1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Timing and Manner of Payment of Stock Units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Section 7 below, any Stock Unit granted (or credited pursuant to Section 5) to the Participant that becomes vested (whether pursuant to Section 4, Section 7 or Section 8 hereof), shall be paid to the Participant following the Vesting Date and in the same calendar year in which the Vesting Date occurs. The Corporation shall make payment of a Stock Unit that has vested by delivering to the Participant a share of Common Stock (either by delivering one or more certificates for the shares deliverable or by entering such shares in book entry form, as determined by the Corporation in its sole discretion),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Section 7 hereof, or that are terminated pursuant to Section 7 or Section 8 hereof,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Change in Control Event</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connection with a transaction referenced in Section 7.2 of the Plan in connection with which the Corporation will not survive or will not survive as a public company in respect of its Common Stock, the Administrator may (without limiting the adjustment authority of Section 7.1 of the Plan and without limiting the flexibility of the Administrator to provide for the assumption, substitution or exchange of the Award pursuant to Section 7.2 of the Plan) provide that (i) payment for each Stock Unit that is otherwise outstanding on the date of such event and that becomes vested may be made in the form of cash in an amount equal to the fair market value of a share of Common Stock as of the date of the closing of such transaction, and/or (ii) that, as to any Stock Units outstanding with respect to a Measurement Period that has not ended on or prior to the date of such transaction,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However, notwithstanding anything otherwise provided in Section 7.2 of the Plan but subject to the following sentence, the time of payment of the Award may not be changed and shall be as set forth in Section 6 above. The Administrator may (notwithstanding the time of payment provisions of Sections 6 and 8 hereof) provide for the termination of the Stock Units subject to the Award in connection with the occurrence of a Change in Control Event in connection with which the Administrator has not made a provision for the substitution, assumption, exchange or other continuation of the Award; provided that (A) in such event, the portion of the Award that is outstanding and unvested immediately prior to such termination shall vest and become payable (as to any Stock Units outstanding with respect to a Measurement Period that has not ended on or prior to the date of Change in Control Event,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and (B) such acceleration, termination and payment of the Award satisfies the requirements of Treas. Reg. Section 1.409A-3(j)(4)(ix) (which requirements include the Change in Control Event qualifying as a change in the ownership or effective control of the Corporation, or a change in the ownership of a substantial portion of the assets of the Corporation, within the meaning of Treas. Reg. Section 1.409A-3(i)(5)).</w:t>
      </w:r>
    </w:p>
    <w:p>
      <w:pPr>
        <w:sectPr>
          <w:pgSz w:w="11900" w:h="16838" w:orient="portrait"/>
          <w:cols w:equalWidth="0" w:num="1">
            <w:col w:w="11420"/>
          </w:cols>
          <w:pgMar w:left="240" w:top="364" w:right="239" w:bottom="1440" w:gutter="0" w:footer="0" w:header="0"/>
        </w:sectPr>
      </w:pPr>
    </w:p>
    <w:bookmarkStart w:id="90" w:name="page91"/>
    <w:bookmarkEnd w:id="90"/>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Termination of Employment</w:t>
      </w:r>
    </w:p>
    <w:p>
      <w:pPr>
        <w:spacing w:after="0" w:line="229" w:lineRule="exact"/>
        <w:rPr>
          <w:sz w:val="20"/>
          <w:szCs w:val="20"/>
          <w:color w:val="auto"/>
        </w:rPr>
      </w:pPr>
    </w:p>
    <w:p>
      <w:pPr>
        <w:jc w:val="both"/>
        <w:ind w:firstLine="8"/>
        <w:spacing w:after="0" w:line="291" w:lineRule="auto"/>
        <w:tabs>
          <w:tab w:leader="none" w:pos="40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Generally</w:t>
      </w:r>
      <w:r>
        <w:rPr>
          <w:rFonts w:ascii="Arial" w:cs="Arial" w:eastAsia="Arial" w:hAnsi="Arial"/>
          <w:sz w:val="16"/>
          <w:szCs w:val="16"/>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before the Vesting Date, the Participant’s Stock Units shall automatically be forfeited to the Corporation effective immediately following the Separation Date. If the Participant is entitled to any accelerated vesting pursuant to any provision below in this Section 8, any remaining unvested portion of the Participant’s Stock Units (after giving effect to such acceleration) shall automatically be forfeited to the Corporation effective as of immediately following the Separation Date.</w:t>
      </w:r>
    </w:p>
    <w:p>
      <w:pPr>
        <w:spacing w:after="0" w:line="167" w:lineRule="exact"/>
        <w:rPr>
          <w:rFonts w:ascii="Arial" w:cs="Arial" w:eastAsia="Arial" w:hAnsi="Arial"/>
          <w:sz w:val="16"/>
          <w:szCs w:val="16"/>
          <w:color w:val="auto"/>
        </w:rPr>
      </w:pPr>
    </w:p>
    <w:p>
      <w:pPr>
        <w:jc w:val="both"/>
        <w:ind w:firstLine="8"/>
        <w:spacing w:after="0" w:line="288" w:lineRule="auto"/>
        <w:tabs>
          <w:tab w:leader="none" w:pos="40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Death of the Participant</w:t>
      </w:r>
      <w:r>
        <w:rPr>
          <w:rFonts w:ascii="Arial" w:cs="Arial" w:eastAsia="Arial" w:hAnsi="Arial"/>
          <w:sz w:val="16"/>
          <w:szCs w:val="16"/>
          <w:color w:val="auto"/>
        </w:rPr>
        <w:t>. In the event of the Participant’s death prior to the Vesting Date and at a time when the Participant is employed by or providing services to the Corporation or any of its Subsidiaries, a portion of the Award shall vest on the Vesting Date and shall be paid to the Participant as provided in Section 6 above. In such event, the number of Stock Units that shall become vested on the Vesting Date equals (i) the Employment Fraction (determined as set forth below) multiplied by (ii) the number of Stock Units subject to the Award that would have otherwise (had the Separation Date not occurred prior to the Vesting Date) become vested on the Vesting Date (determined before taking the acceleration contemplated by this Section 8(b)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 For purposes of this Section 8, the “Employment Fraction” equals a fraction (not greater than one), the numerator of which is the total number of calendar days in the period beginning with the first day of the Measurement Period through and including the Participant’s Separation Date, and the denominator of which is the total number of calendar days in the Measurement Period ([_______] days).</w:t>
      </w:r>
    </w:p>
    <w:p>
      <w:pPr>
        <w:spacing w:after="0" w:line="169" w:lineRule="exact"/>
        <w:rPr>
          <w:rFonts w:ascii="Arial" w:cs="Arial" w:eastAsia="Arial" w:hAnsi="Arial"/>
          <w:sz w:val="16"/>
          <w:szCs w:val="16"/>
          <w:color w:val="auto"/>
        </w:rPr>
      </w:pPr>
    </w:p>
    <w:p>
      <w:pPr>
        <w:jc w:val="both"/>
        <w:ind w:firstLine="8"/>
        <w:spacing w:after="0" w:line="291" w:lineRule="auto"/>
        <w:tabs>
          <w:tab w:leader="none" w:pos="434"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Retirement of the Participant</w:t>
      </w:r>
      <w:r>
        <w:rPr>
          <w:rFonts w:ascii="Arial" w:cs="Arial" w:eastAsia="Arial" w:hAnsi="Arial"/>
          <w:sz w:val="16"/>
          <w:szCs w:val="16"/>
          <w:color w:val="auto"/>
        </w:rPr>
        <w:t>. If the Participant Retires (as defined below) from the Corporation or one of its Subsidiaries before the Vesting Date, a portion of the Award shall vest on the Vesting Date and shall be paid to the Participant as provided in Section 6 above. In such event, the number of Stock Units that shall become vested on the Vesting Date equals (i) the Employment Fraction (determined as set forth in Section 8(b) above) multiplied by (ii) the number of Stock Units subject to the Award that would have otherwise (had the Separation Date not occurred prior to the Vesting Date) become vested on the Vesting Date (determined before taking the acceleration contemplated by this Section 8(c)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purposes of this Award Agreement, the Participant shall be deemed to have “Retired” (which term shall include “Retirement,” “Retire” and “Retires”) if the Participant retires from employment with the Corporation or one of its Subsidiaries for any reason other than Cause (as defined below) and other than due to the Participant’s death after satisfying all of the following requirements at the time of such retirement: (i) the Participant is at least 55 years of age, (ii) the Participant has five (5) or more whole years of credited service with the Corporation or any of its Subsidiaries ending on the date of such retirement, and (iii) the Participant’s age plus years of credited service with the Corporation or any of its Subsidiaries (including only whole years in the case of both age and credited service for purposes of this requirement) totals at least 70. The Administrator shall determine the Participant’s “years of credited service” under clauses (ii) and (iii) above; provided that, for such purposes,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 For clarity, Retirement is based on a termination of employment and not a termination of any other service relationship. However, if the Participant Retires and continues in another service capacity such that the Participant does not have a Separation Date in connection with his or her Retirement, the remaining portion of the Award not eligible to vest in connection with such Retirement shall remain eligible to vest through and until the Participant’s Separation Date should it occur before the Vesting Date (in connection with any such Separation Date the other provisions of this Section 8 shall apply as to such portion of the Award; in the event the Participant is entitled to accelerated vesting pursuant to Section 8(b), the provisions of Section 8(b) and not this Section 8(c) shall apply).</w:t>
      </w:r>
    </w:p>
    <w:p>
      <w:pPr>
        <w:sectPr>
          <w:pgSz w:w="11900" w:h="16838" w:orient="portrait"/>
          <w:cols w:equalWidth="0" w:num="1">
            <w:col w:w="11420"/>
          </w:cols>
          <w:pgMar w:left="240" w:top="364" w:right="239" w:bottom="1440" w:gutter="0" w:footer="0" w:header="0"/>
        </w:sectPr>
      </w:pPr>
    </w:p>
    <w:bookmarkStart w:id="91" w:name="page92"/>
    <w:bookmarkEnd w:id="91"/>
    <w:p>
      <w:pPr>
        <w:jc w:val="both"/>
        <w:spacing w:after="0" w:line="264" w:lineRule="auto"/>
        <w:rPr>
          <w:sz w:val="20"/>
          <w:szCs w:val="20"/>
          <w:color w:val="auto"/>
        </w:rPr>
      </w:pPr>
      <w:r>
        <w:rPr>
          <w:rFonts w:ascii="Arial" w:cs="Arial" w:eastAsia="Arial" w:hAnsi="Arial"/>
          <w:sz w:val="18"/>
          <w:szCs w:val="18"/>
          <w:color w:val="auto"/>
        </w:rPr>
        <w:t>For purposes of this Award Agreement, “Cause” is used as defined in the Western Digital Corporation Executive Severance Plan or, if the Participant’s Separation Date occurs on or after a Change in Control Event, as defined in the Western Digital Corporation Amended and Restated Change of Control Severance Plan.</w:t>
      </w:r>
    </w:p>
    <w:p>
      <w:pPr>
        <w:spacing w:after="0" w:line="181" w:lineRule="exact"/>
        <w:rPr>
          <w:sz w:val="20"/>
          <w:szCs w:val="20"/>
          <w:color w:val="auto"/>
        </w:rPr>
      </w:pPr>
    </w:p>
    <w:p>
      <w:pPr>
        <w:jc w:val="both"/>
        <w:ind w:firstLine="8"/>
        <w:spacing w:after="0" w:line="255" w:lineRule="auto"/>
        <w:tabs>
          <w:tab w:leader="none" w:pos="39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w:t>
      </w:r>
      <w:r>
        <w:rPr>
          <w:rFonts w:ascii="Arial" w:cs="Arial" w:eastAsia="Arial" w:hAnsi="Arial"/>
          <w:sz w:val="18"/>
          <w:szCs w:val="18"/>
          <w:color w:val="auto"/>
        </w:rPr>
        <w:t>. In the event the Participant’s employment terminates in circumstances as to which the Participant is entitled to severance benefits pursuant to the Western Digital Corporation Executive Severance Plan (or any applicable successor executive severance plan, as each is in effect at the time of such termination of employment, and only if such severance plan then otherwise applies with respect to the Participant) (“Pre-CIC Severance Plan”), the Participant shall be treated for purposes of the Award as though the Participant Retired on the Participant’s Separation Date and Section 8(c) shall apply; provided, however, that if any Stock Units subject to the Award would (before taking this paragraph into consideration) also be subject to accelerated vesting pursuant to Section 8(b) or 8(c) above, the Stock Units shall be subject to accelerated vesting pursuant to the section (Section 8(b) or 8(c) above) that would otherwise apply in the circumstances.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the Participant’s employment terminates in circumstances as to which the Participant is entitled to severance benefits pursuant to the Western Digital Corporation Amended and Restated Change of Control Severance Plan (or any applicable successor change of control severance plan, as each is in effect at the time of such termination of employment, and only if such severance plan then otherwise applies with respect to the Participant) (“CIC Severance Plan”), the extent to which the Award vests will be determined in accordance with the applicable provisions of the CIC Severance Plan. If the Stock Units subject to the Award would (before taking this paragraph into consideration) also be subject to accelerated vesting pursuant to the immediately preceding paragraph or Section 8(b) or 8(c) above, this paragraph (and not the immediately preceding paragraph or Section 8(b) or 8(c) above) shall apply; provided, however, that if the Participant does not satisfy any applicable conditions to severance benefits set forth in the applicable CIC Severance Plan, then the Participant shall remain entitled to any accelerated vesting that would otherwise apply pursuant to Section 8(b) or 8(c) above, as applicable.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clarity, any accelerated or additional vesting contemplated by this Section 8(d), whether with respect to a Pre-CIC Severance Plan or a CIC Severance Plan, is subject to the Participant satisfying any applicable conditions to severance benefits set forth in the applicable Pre-CIC Severance Plan or CIC Severance Plan (such as, without limitation, any eligibility and release requirements).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treatment of the Award in any circumstances as to which the Participant is entitled to severance benefits pursuant to a Pre-CIC Severance Plan (including, without limitation, the extent (if any) to which the Award vests or accelerates in such circumstances as well as the timing of payment of the Award), and the timing of payment of the Award in any circumstances as to which the Participant is entitled to severance benefits pursuant to a CIC Severance Plan, shall be governed by this Award Agreement and not by the Pre-CIC Severance Plan or CIC Severance Plan, as the case may be. As to the Award, this Award Agreement controls in the event of any inconsistency or conflict with a Pre-CIC Severance Plan or CIC Severance Plan, and to that extent this Award Agreement amends any applicable Pre-CIC Severance Plan or CIC Severance Plan as to the Award.</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Administrator may accelerate the vesting of the Stock Units in such circumstances as it, in its sole discretion, may determine; provided that the time of payment of the Stock Units as otherwise set forth herein may not be changed.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Withholding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or in connection with the crediting, vesting or payment of Stock Units, or any other time when tax withholding may be required with respect to the Award,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w:t>
      </w:r>
    </w:p>
    <w:p>
      <w:pPr>
        <w:sectPr>
          <w:pgSz w:w="11900" w:h="16838" w:orient="portrait"/>
          <w:cols w:equalWidth="0" w:num="1">
            <w:col w:w="11420"/>
          </w:cols>
          <w:pgMar w:left="240" w:top="368" w:right="239" w:bottom="1440" w:gutter="0" w:footer="0" w:header="0"/>
        </w:sectPr>
      </w:pPr>
    </w:p>
    <w:bookmarkStart w:id="92" w:name="page93"/>
    <w:bookmarkEnd w:id="92"/>
    <w:p>
      <w:pPr>
        <w:jc w:val="both"/>
        <w:spacing w:after="0" w:line="272" w:lineRule="auto"/>
        <w:rPr>
          <w:sz w:val="20"/>
          <w:szCs w:val="20"/>
          <w:color w:val="auto"/>
        </w:rPr>
      </w:pPr>
      <w:r>
        <w:rPr>
          <w:rFonts w:ascii="Arial" w:cs="Arial" w:eastAsia="Arial" w:hAnsi="Arial"/>
          <w:sz w:val="17"/>
          <w:szCs w:val="17"/>
          <w:color w:val="auto"/>
        </w:rPr>
        <w:t>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but only to the extent consistent with Treas. Reg. Section 1.409A-3(j)(4)(vi), reduce the number of Stock Units remaining subject to the Award, with each such Stock Unit to have a value for such purpose equal to the then fair market value of a share of Common Stock, to satisfy such withholding obligation at the applicable withholding rates.</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(i.e., upon the termination of a Stock Unit), or (b) transfers by will or the laws of descent and distribution.</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 Right to Employment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Rights as a Stockholder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Arbitration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(“Covered Claims”), shall be resolved in accordance with the terms and conditions of the Western Digital Technologies, Inc. Dispute Resolution Agreement (the “DRA”). If, however, Participant has opted out of the DRA pursuant to Section 3.3 of the DRA, any Covered Claims by Corporation or Participant shall be submitted to arbitration pursuant to this Section 15. Such arbitration shall be held in Orange County, California, U.S.A., before a sole arbitrator selected from Judicial Arbitration and Mediation Services, Inc., Orange, California, or its</w:t>
      </w:r>
    </w:p>
    <w:p>
      <w:pPr>
        <w:sectPr>
          <w:pgSz w:w="11900" w:h="16838" w:orient="portrait"/>
          <w:cols w:equalWidth="0" w:num="1">
            <w:col w:w="11420"/>
          </w:cols>
          <w:pgMar w:left="240" w:top="368" w:right="239" w:bottom="1440" w:gutter="0" w:footer="0" w:header="0"/>
        </w:sectPr>
      </w:pPr>
    </w:p>
    <w:bookmarkStart w:id="93" w:name="page94"/>
    <w:bookmarkEnd w:id="93"/>
    <w:p>
      <w:pPr>
        <w:jc w:val="both"/>
        <w:spacing w:after="0" w:line="267" w:lineRule="auto"/>
        <w:rPr>
          <w:sz w:val="20"/>
          <w:szCs w:val="20"/>
          <w:color w:val="auto"/>
        </w:rPr>
      </w:pPr>
      <w:r>
        <w:rPr>
          <w:rFonts w:ascii="Arial" w:cs="Arial" w:eastAsia="Arial" w:hAnsi="Arial"/>
          <w:sz w:val="17"/>
          <w:szCs w:val="17"/>
          <w:color w:val="auto"/>
        </w:rPr>
        <w:t>successor (“JAMS”),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Except as otherwise stated herein, this Section 15 also requires arbitration of any disputes concerning the enforceability, interpretation, and/or implementation of this Section 15 and the arbitrability of any claims brought hereunder, which shall also be decided by an arbitrator. To the fullest extent permitted by applicable law, Participant and Corporation agree to bring any Covered Claims on an individual basis only, and not on a class, collective, joint, or representative basis. If, however, the preceding sentence be determined invalid or unenforceable with respect to any particular Covered Claim, than that Covered Claim will not proceed in arbitration but rather will be resolved in a court of competent jurisdiction. If that occurs, however, this Section 15 will still be fully enforceable as to all other Covered Claims, which must be resolved in arbitration on an individual basis. Any arbitrable claims in arbitration will be resolved first and the parties agree to seek a stay of any non-arbitrable claims until the full completion of the arbitral process. Any claim that the requirement in this Section 15 that Covered Claims be arbitrated on an individual basis only is invalid, unenforceable, unconscionable, void or voidable may be determined only by a court of competent jurisdiction and not by an Arbitrator. Final resolution of any dispute through arbitration may include any and all remedies that may be obtained in a court. Statutes of limitation for Covered Claims submitted to arbitration under this Section 15 shall be the same as they would be if those claims were brought in court.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Corporation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arbitrator may not award attorneys’ fees to a party that would not otherwise be entitled to such an award under the applicable statute. The parties acknowledge and agree that they are hereby waiving any rights to trial by jury in any action, proceeding or counterclaim brought by either of the parties against the other in connection with any matter whatsoever arising out of or in any way connected with any Covered Claim(s), either by virtue of Participant’s acceptance without opting out of the DRA or, if Participant did opt out of the DRA, by virtue of the provisions of this Section 15.</w:t>
      </w:r>
    </w:p>
    <w:p>
      <w:pPr>
        <w:spacing w:after="0" w:line="1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Except as otherwise provided by Section 15, if the arbitrator selected in accordance with Section 15 above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except as otherwise provided by Section 15, it is the parties’ intent that any order striking any portion of this Award Agreement and/or the Plan should modify the stricken terms as narrowly as possible to give as much effect as possible to the intentions of the parties hereunder.</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Award Agreement (including these Standard Terms) and the Plan together constitute the entire agreement and supersede all prior understandings and agreements, written or oral, of the parties hereto with respect to the subject matter hereof. However, this Award Agreement shall not supersede or in any way affect the DRA, which shall remain in full force and effect, unless Participant opted out of the DRA pursuant to the provisions therein. The Plan and this Award Agreement may be amended pursuant to Section 8.6 of the Plan. Such amendment must be in writing and signed by the Corporation. The Corporation may, however, unilaterally waive any provision hereof in writing to the extent</w:t>
      </w:r>
    </w:p>
    <w:p>
      <w:pPr>
        <w:sectPr>
          <w:pgSz w:w="11900" w:h="16838" w:orient="portrait"/>
          <w:cols w:equalWidth="0" w:num="1">
            <w:col w:w="11420"/>
          </w:cols>
          <w:pgMar w:left="240" w:top="368" w:right="239" w:bottom="1440" w:gutter="0" w:footer="0" w:header="0"/>
        </w:sectPr>
      </w:pPr>
    </w:p>
    <w:bookmarkStart w:id="94" w:name="page95"/>
    <w:bookmarkEnd w:id="94"/>
    <w:p>
      <w:pPr>
        <w:jc w:val="both"/>
        <w:spacing w:after="0" w:line="302" w:lineRule="auto"/>
        <w:rPr>
          <w:sz w:val="20"/>
          <w:szCs w:val="20"/>
          <w:color w:val="auto"/>
        </w:rPr>
      </w:pPr>
      <w:r>
        <w:rPr>
          <w:rFonts w:ascii="Arial" w:cs="Arial" w:eastAsia="Arial" w:hAnsi="Arial"/>
          <w:sz w:val="16"/>
          <w:szCs w:val="16"/>
          <w:color w:val="auto"/>
        </w:rPr>
        <w:t>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Appendix</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Award shall be subject to any additional terms and conditions for non-U.S. employees set forth in Appendix A attached hereto (“Appendix A”) and any terms and conditions for the Participant’s country set forth in Appendix B 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Imposition of Other Requirements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No Advice Regarding Grant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ectPr>
          <w:pgSz w:w="11900" w:h="16838" w:orient="portrait"/>
          <w:cols w:equalWidth="0" w:num="1">
            <w:col w:w="11420"/>
          </w:cols>
          <w:pgMar w:left="240" w:top="368" w:right="239"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PERFORMANCE STOCK UNIT AWARD – TSR MEASURE</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Performance Measures and Goals</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[To be inserted]</w:t>
      </w:r>
    </w:p>
    <w:p>
      <w:pPr>
        <w:sectPr>
          <w:pgSz w:w="11900" w:h="16838" w:orient="portrait"/>
          <w:cols w:equalWidth="0" w:num="1">
            <w:col w:w="9019"/>
          </w:cols>
          <w:pgMar w:left="1440" w:top="369"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ADDITIONAL TERMS AND CONDITIONS OF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EMPLOYEES</w:t>
      </w:r>
    </w:p>
    <w:p>
      <w:pPr>
        <w:spacing w:after="0" w:line="229" w:lineRule="exact"/>
        <w:rPr>
          <w:sz w:val="20"/>
          <w:szCs w:val="20"/>
          <w:color w:val="auto"/>
        </w:rPr>
      </w:pPr>
    </w:p>
    <w:p>
      <w:pPr>
        <w:ind w:left="1480" w:hanging="338"/>
        <w:spacing w:after="0"/>
        <w:tabs>
          <w:tab w:leader="none" w:pos="1480" w:val="left"/>
        </w:tabs>
        <w:numPr>
          <w:ilvl w:val="0"/>
          <w:numId w:val="40"/>
        </w:numPr>
        <w:rPr>
          <w:rFonts w:ascii="Arial" w:cs="Arial" w:eastAsia="Arial" w:hAnsi="Arial"/>
          <w:sz w:val="22"/>
          <w:szCs w:val="22"/>
          <w:b w:val="1"/>
          <w:bCs w:val="1"/>
          <w:color w:val="auto"/>
        </w:rPr>
      </w:pPr>
      <w:r>
        <w:rPr>
          <w:rFonts w:ascii="Arial" w:cs="Arial" w:eastAsia="Arial" w:hAnsi="Arial"/>
          <w:sz w:val="18"/>
          <w:szCs w:val="18"/>
          <w:b w:val="1"/>
          <w:bCs w:val="1"/>
          <w:color w:val="auto"/>
        </w:rPr>
        <w:t>Terms of Plan Participation for Non-U.S. Participants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Arial" w:cs="Arial" w:eastAsia="Arial" w:hAnsi="Arial"/>
          <w:sz w:val="16"/>
          <w:szCs w:val="16"/>
          <w:i w:val="1"/>
          <w:iCs w:val="1"/>
          <w:color w:val="auto"/>
        </w:rPr>
        <w:t>Capitalized terms used but not defined in this Appendix A shall have the same meanings assigned to them in the Plan and/or Award Agreement.</w:t>
      </w:r>
    </w:p>
    <w:p>
      <w:pPr>
        <w:spacing w:after="0" w:line="172" w:lineRule="exact"/>
        <w:rPr>
          <w:sz w:val="20"/>
          <w:szCs w:val="20"/>
          <w:color w:val="auto"/>
        </w:rPr>
      </w:pPr>
    </w:p>
    <w:p>
      <w:pPr>
        <w:ind w:left="1480" w:hanging="338"/>
        <w:spacing w:after="0"/>
        <w:tabs>
          <w:tab w:leader="none" w:pos="1480" w:val="left"/>
        </w:tabs>
        <w:numPr>
          <w:ilvl w:val="0"/>
          <w:numId w:val="41"/>
        </w:numPr>
        <w:rPr>
          <w:rFonts w:ascii="Arial" w:cs="Arial" w:eastAsia="Arial" w:hAnsi="Arial"/>
          <w:sz w:val="22"/>
          <w:szCs w:val="22"/>
          <w:b w:val="1"/>
          <w:bCs w:val="1"/>
          <w:color w:val="auto"/>
        </w:rPr>
      </w:pPr>
      <w:r>
        <w:rPr>
          <w:rFonts w:ascii="Arial" w:cs="Arial" w:eastAsia="Arial" w:hAnsi="Arial"/>
          <w:sz w:val="18"/>
          <w:szCs w:val="18"/>
          <w:b w:val="1"/>
          <w:bCs w:val="1"/>
          <w:color w:val="auto"/>
        </w:rPr>
        <w:t>Withholding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10 of the Standard Terms: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Award and legally applicable to the Participant (“Tax-Related Items”)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Stock Units, including, but not limited to, the grant, vesting or settlement of the Stock Units, the subsequent sale of shares of Common Stock acquired pursuant to such settlement and the receipt of any dividends and/or any dividend equivalents; and (b) do not commit to and are under no obligation to structure the terms of the grant or any aspect of the Stock Units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and Section 10 of the Standard Terms. In addition, the Participant authorizes withholding from proceeds of the sale of shares of Common Stock acquired upon settlement of the Stock Units either through a voluntary sale or through a mandatory sale arranged by the Corporation (on the Participant’s behalf pursuant to this authorization without further consent). If the Participant is subject to Section 16 of the Exchange Act, then withholding for Tax-Related Items shall be satisfied in accordance with Section 8.5 of the Plan, Section 10 of the Standard Terms, and the withholding methodology approved by the Administrator for officers subject to Section 16 of the Exchange Act.</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Depending on the withholding method, the Corporation and/or the Employer may withhold or account for Tax-Related Items by considering applicable minimum withholding amounts or other applicable withholding rates, including maximum applicable rates in the Participant's jurisdiction(s), in which case the Participant may receive a refund of any over-withheld amount in cash and will have no entitlement to the equivalent in Common Stock. If the Tax-Related Items are satisfied by withholding in shares of Common Stock, for tax purposes, the Participant is deemed to have been issued the full number of shares subject to the vested Stock Units, notwithstanding that a number of the Shares are held back solely for the purpose of paying the Tax-Related Items.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 Corporation may refuse</w:t>
      </w:r>
    </w:p>
    <w:p>
      <w:pPr>
        <w:sectPr>
          <w:pgSz w:w="11900" w:h="16838" w:orient="portrait"/>
          <w:cols w:equalWidth="0" w:num="1">
            <w:col w:w="11420"/>
          </w:cols>
          <w:pgMar w:left="240" w:top="580" w:right="239" w:bottom="1440" w:gutter="0" w:footer="0" w:header="0"/>
        </w:sectPr>
      </w:pPr>
    </w:p>
    <w:bookmarkStart w:id="97" w:name="page98"/>
    <w:bookmarkEnd w:id="97"/>
    <w:p>
      <w:pPr>
        <w:spacing w:after="0" w:line="277" w:lineRule="auto"/>
        <w:rPr>
          <w:sz w:val="20"/>
          <w:szCs w:val="20"/>
          <w:color w:val="auto"/>
        </w:rPr>
      </w:pPr>
      <w:r>
        <w:rPr>
          <w:rFonts w:ascii="Arial" w:cs="Arial" w:eastAsia="Arial" w:hAnsi="Arial"/>
          <w:sz w:val="18"/>
          <w:szCs w:val="18"/>
          <w:color w:val="auto"/>
        </w:rPr>
        <w:t>to issue or deliver the shares of Common Stock or the proceeds from the sale of shares if the Participant fails to comply with the Participant’s obligations in connection with the Tax-Related Items.</w:t>
      </w:r>
    </w:p>
    <w:p>
      <w:pPr>
        <w:spacing w:after="0" w:line="188" w:lineRule="exact"/>
        <w:rPr>
          <w:sz w:val="20"/>
          <w:szCs w:val="20"/>
          <w:color w:val="auto"/>
        </w:rPr>
      </w:pPr>
    </w:p>
    <w:p>
      <w:pPr>
        <w:ind w:left="1480" w:hanging="338"/>
        <w:spacing w:after="0"/>
        <w:tabs>
          <w:tab w:leader="none" w:pos="1480" w:val="left"/>
        </w:tabs>
        <w:numPr>
          <w:ilvl w:val="0"/>
          <w:numId w:val="42"/>
        </w:numPr>
        <w:rPr>
          <w:rFonts w:ascii="Arial" w:cs="Arial" w:eastAsia="Arial" w:hAnsi="Arial"/>
          <w:sz w:val="22"/>
          <w:szCs w:val="22"/>
          <w:b w:val="1"/>
          <w:bCs w:val="1"/>
          <w:color w:val="auto"/>
        </w:rPr>
      </w:pPr>
      <w:r>
        <w:rPr>
          <w:rFonts w:ascii="Arial" w:cs="Arial" w:eastAsia="Arial" w:hAnsi="Arial"/>
          <w:sz w:val="18"/>
          <w:szCs w:val="18"/>
          <w:b w:val="1"/>
          <w:bCs w:val="1"/>
          <w:color w:val="auto"/>
        </w:rPr>
        <w:t>Nature of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Stock Units and any shares of Common Stock, the Participant acknowledges, understands and agrees that:</w:t>
      </w:r>
    </w:p>
    <w:p>
      <w:pPr>
        <w:spacing w:after="0" w:line="252" w:lineRule="exact"/>
        <w:rPr>
          <w:sz w:val="20"/>
          <w:szCs w:val="20"/>
          <w:color w:val="auto"/>
        </w:rPr>
      </w:pPr>
    </w:p>
    <w:p>
      <w:pPr>
        <w:ind w:firstLine="1305"/>
        <w:spacing w:after="0" w:line="324" w:lineRule="auto"/>
        <w:tabs>
          <w:tab w:leader="none" w:pos="21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70" w:lineRule="exact"/>
        <w:rPr>
          <w:rFonts w:ascii="Arial" w:cs="Arial" w:eastAsia="Arial" w:hAnsi="Arial"/>
          <w:sz w:val="18"/>
          <w:szCs w:val="18"/>
          <w:color w:val="auto"/>
        </w:rPr>
      </w:pPr>
    </w:p>
    <w:p>
      <w:pPr>
        <w:ind w:firstLine="1305"/>
        <w:spacing w:after="0" w:line="324" w:lineRule="auto"/>
        <w:tabs>
          <w:tab w:leader="none" w:pos="21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grant of the Stock Units is exceptional, voluntary and occasional and does not create any contractual or other right to receive future grants of Stock Units, or benefits in lieu of Stock Units, even if Stock Units have been granted in the past;</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decisions with respect to future Stock Units or other grants, if any, will be at the sole discretion of the Corporation;</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Participant is voluntary participating in the Plan;</w:t>
      </w:r>
    </w:p>
    <w:p>
      <w:pPr>
        <w:spacing w:after="0" w:line="265" w:lineRule="exact"/>
        <w:rPr>
          <w:rFonts w:ascii="Arial" w:cs="Arial" w:eastAsia="Arial" w:hAnsi="Arial"/>
          <w:sz w:val="18"/>
          <w:szCs w:val="18"/>
          <w:color w:val="auto"/>
        </w:rPr>
      </w:pPr>
    </w:p>
    <w:p>
      <w:pPr>
        <w:ind w:firstLine="1305"/>
        <w:spacing w:after="0" w:line="324" w:lineRule="auto"/>
        <w:tabs>
          <w:tab w:leader="none" w:pos="21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intended to replace any pension rights or compensation;</w:t>
      </w:r>
    </w:p>
    <w:p>
      <w:pPr>
        <w:spacing w:after="0" w:line="170" w:lineRule="exact"/>
        <w:rPr>
          <w:rFonts w:ascii="Arial" w:cs="Arial" w:eastAsia="Arial" w:hAnsi="Arial"/>
          <w:sz w:val="18"/>
          <w:szCs w:val="18"/>
          <w:color w:val="auto"/>
        </w:rPr>
      </w:pPr>
    </w:p>
    <w:p>
      <w:pPr>
        <w:jc w:val="both"/>
        <w:ind w:firstLine="1305"/>
        <w:spacing w:after="0" w:line="304" w:lineRule="auto"/>
        <w:tabs>
          <w:tab w:leader="none" w:pos="21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188" w:lineRule="exact"/>
        <w:rPr>
          <w:rFonts w:ascii="Arial" w:cs="Arial" w:eastAsia="Arial" w:hAnsi="Arial"/>
          <w:sz w:val="18"/>
          <w:szCs w:val="18"/>
          <w:color w:val="auto"/>
        </w:rPr>
      </w:pPr>
    </w:p>
    <w:p>
      <w:pPr>
        <w:ind w:left="2160" w:hanging="855"/>
        <w:spacing w:after="0"/>
        <w:tabs>
          <w:tab w:leader="none" w:pos="2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future value of the shares of Common Stock underlying the Stock Units is unknown, indeterminable, and cannot be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predicted with certainty;</w:t>
      </w:r>
    </w:p>
    <w:p>
      <w:pPr>
        <w:spacing w:after="0" w:line="265" w:lineRule="exact"/>
        <w:rPr>
          <w:rFonts w:ascii="Arial" w:cs="Arial" w:eastAsia="Arial" w:hAnsi="Arial"/>
          <w:sz w:val="17"/>
          <w:szCs w:val="17"/>
          <w:color w:val="auto"/>
        </w:rPr>
      </w:pPr>
    </w:p>
    <w:p>
      <w:pPr>
        <w:jc w:val="both"/>
        <w:ind w:firstLine="1305"/>
        <w:spacing w:after="0" w:line="311" w:lineRule="auto"/>
        <w:tabs>
          <w:tab w:leader="none" w:pos="21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otherwise agreed with the Corporation, the Stock Units and the shares of Common Stock acquired under the Plan, and the income and value of same, are not granted as consideration for, or in connection with, the service the Participant may provide as a director of any Subsidiary;</w:t>
      </w:r>
    </w:p>
    <w:p>
      <w:pPr>
        <w:spacing w:after="0" w:line="181" w:lineRule="exact"/>
        <w:rPr>
          <w:rFonts w:ascii="Arial" w:cs="Arial" w:eastAsia="Arial" w:hAnsi="Arial"/>
          <w:sz w:val="18"/>
          <w:szCs w:val="18"/>
          <w:color w:val="auto"/>
        </w:rPr>
      </w:pPr>
    </w:p>
    <w:p>
      <w:pPr>
        <w:jc w:val="both"/>
        <w:ind w:firstLine="1305"/>
        <w:spacing w:after="0" w:line="336" w:lineRule="auto"/>
        <w:tabs>
          <w:tab w:leader="none" w:pos="21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Stock Units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64" w:lineRule="exact"/>
        <w:rPr>
          <w:rFonts w:ascii="Arial" w:cs="Arial" w:eastAsia="Arial" w:hAnsi="Arial"/>
          <w:sz w:val="17"/>
          <w:szCs w:val="17"/>
          <w:color w:val="auto"/>
        </w:rPr>
      </w:pPr>
    </w:p>
    <w:p>
      <w:pPr>
        <w:jc w:val="both"/>
        <w:ind w:firstLine="1305"/>
        <w:spacing w:after="0" w:line="311" w:lineRule="auto"/>
        <w:tabs>
          <w:tab w:leader="none" w:pos="21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Corporation in its discretion, the Stock Units and the benefits evidenced by the Award Agreement do not create any entitlement to have the Stock Units or any such benefits transferred to, or assumed by, another company nor to be exchanged, cashed out or substituted for, in connection with any corporate transaction affecting the shares; and</w:t>
      </w:r>
    </w:p>
    <w:p>
      <w:pPr>
        <w:spacing w:after="0" w:line="181" w:lineRule="exact"/>
        <w:rPr>
          <w:rFonts w:ascii="Arial" w:cs="Arial" w:eastAsia="Arial" w:hAnsi="Arial"/>
          <w:sz w:val="18"/>
          <w:szCs w:val="18"/>
          <w:color w:val="auto"/>
        </w:rPr>
      </w:pPr>
    </w:p>
    <w:p>
      <w:pPr>
        <w:jc w:val="both"/>
        <w:ind w:firstLine="1305"/>
        <w:spacing w:after="0" w:line="311" w:lineRule="auto"/>
        <w:tabs>
          <w:tab w:leader="none" w:pos="21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Stock Units or of any amounts due to the Participant pursuant to the vesting of the Stock Units or the subsequent sale of any shares of Common Stock acquired upon vesting.</w:t>
      </w:r>
    </w:p>
    <w:p>
      <w:pPr>
        <w:spacing w:after="0" w:line="172" w:lineRule="exact"/>
        <w:rPr>
          <w:sz w:val="20"/>
          <w:szCs w:val="20"/>
          <w:color w:val="auto"/>
        </w:rPr>
      </w:pPr>
    </w:p>
    <w:p>
      <w:pPr>
        <w:ind w:left="1480" w:hanging="338"/>
        <w:spacing w:after="0"/>
        <w:tabs>
          <w:tab w:leader="none" w:pos="1480" w:val="left"/>
        </w:tabs>
        <w:numPr>
          <w:ilvl w:val="0"/>
          <w:numId w:val="44"/>
        </w:numPr>
        <w:rPr>
          <w:rFonts w:ascii="Arial" w:cs="Arial" w:eastAsia="Arial" w:hAnsi="Arial"/>
          <w:sz w:val="22"/>
          <w:szCs w:val="22"/>
          <w:b w:val="1"/>
          <w:bCs w:val="1"/>
          <w:color w:val="auto"/>
        </w:rPr>
      </w:pPr>
      <w:r>
        <w:rPr>
          <w:rFonts w:ascii="Arial" w:cs="Arial" w:eastAsia="Arial" w:hAnsi="Arial"/>
          <w:sz w:val="18"/>
          <w:szCs w:val="18"/>
          <w:b w:val="1"/>
          <w:bCs w:val="1"/>
          <w:color w:val="auto"/>
        </w:rPr>
        <w:t>Data Privacy</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By accepting the Stock Units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w:t>
      </w:r>
    </w:p>
    <w:p>
      <w:pPr>
        <w:sectPr>
          <w:pgSz w:w="11900" w:h="16838" w:orient="portrait"/>
          <w:cols w:equalWidth="0" w:num="1">
            <w:col w:w="11420"/>
          </w:cols>
          <w:pgMar w:left="240" w:top="368" w:right="239" w:bottom="1440" w:gutter="0" w:footer="0" w:header="0"/>
        </w:sectPr>
      </w:pPr>
    </w:p>
    <w:bookmarkStart w:id="98" w:name="page99"/>
    <w:bookmarkEnd w:id="98"/>
    <w:p>
      <w:pPr>
        <w:spacing w:after="0" w:line="277" w:lineRule="auto"/>
        <w:rPr>
          <w:sz w:val="20"/>
          <w:szCs w:val="20"/>
          <w:color w:val="auto"/>
        </w:rPr>
      </w:pPr>
      <w:r>
        <w:rPr>
          <w:rFonts w:ascii="Arial" w:cs="Arial" w:eastAsia="Arial" w:hAnsi="Arial"/>
          <w:sz w:val="18"/>
          <w:szCs w:val="18"/>
          <w:b w:val="1"/>
          <w:bCs w:val="1"/>
          <w:i w:val="1"/>
          <w:iCs w:val="1"/>
          <w:color w:val="auto"/>
        </w:rPr>
        <w:t>mentioned herein, including recipients located in countries which do not adduce an adequate level of protection from a European (or other non-U.S.) data protection law perspective, for the purposes described herein.</w:t>
      </w:r>
    </w:p>
    <w:p>
      <w:pPr>
        <w:spacing w:after="0" w:line="197" w:lineRule="exact"/>
        <w:rPr>
          <w:sz w:val="20"/>
          <w:szCs w:val="20"/>
          <w:color w:val="auto"/>
        </w:rPr>
      </w:pPr>
    </w:p>
    <w:p>
      <w:pPr>
        <w:jc w:val="both"/>
        <w:ind w:firstLine="1305"/>
        <w:spacing w:after="0" w:line="304" w:lineRule="auto"/>
        <w:tabs>
          <w:tab w:leader="none" w:pos="2155"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Declaration of Consent</w:t>
      </w:r>
      <w:r>
        <w:rPr>
          <w:rFonts w:ascii="Arial" w:cs="Arial" w:eastAsia="Arial" w:hAnsi="Arial"/>
          <w:sz w:val="18"/>
          <w:szCs w:val="18"/>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Stock Unit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88" w:lineRule="exact"/>
        <w:rPr>
          <w:rFonts w:ascii="Arial" w:cs="Arial" w:eastAsia="Arial" w:hAnsi="Arial"/>
          <w:sz w:val="18"/>
          <w:szCs w:val="18"/>
          <w:b w:val="1"/>
          <w:bCs w:val="1"/>
          <w:i w:val="1"/>
          <w:iCs w:val="1"/>
          <w:color w:val="auto"/>
        </w:rPr>
      </w:pPr>
    </w:p>
    <w:p>
      <w:pPr>
        <w:jc w:val="both"/>
        <w:ind w:firstLine="1305"/>
        <w:spacing w:after="0" w:line="322" w:lineRule="auto"/>
        <w:tabs>
          <w:tab w:leader="none" w:pos="2155" w:val="left"/>
        </w:tabs>
        <w:numPr>
          <w:ilvl w:val="0"/>
          <w:numId w:val="4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Data Processing and Legal Basis</w:t>
      </w:r>
      <w:r>
        <w:rPr>
          <w:rFonts w:ascii="Arial" w:cs="Arial" w:eastAsia="Arial" w:hAnsi="Arial"/>
          <w:sz w:val="17"/>
          <w:szCs w:val="17"/>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Stock Units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76" w:lineRule="exact"/>
        <w:rPr>
          <w:rFonts w:ascii="Arial" w:cs="Arial" w:eastAsia="Arial" w:hAnsi="Arial"/>
          <w:sz w:val="17"/>
          <w:szCs w:val="17"/>
          <w:b w:val="1"/>
          <w:bCs w:val="1"/>
          <w:i w:val="1"/>
          <w:iCs w:val="1"/>
          <w:color w:val="auto"/>
        </w:rPr>
      </w:pPr>
    </w:p>
    <w:p>
      <w:pPr>
        <w:jc w:val="both"/>
        <w:ind w:firstLine="1305"/>
        <w:spacing w:after="0" w:line="370" w:lineRule="auto"/>
        <w:tabs>
          <w:tab w:leader="none" w:pos="2144" w:val="left"/>
        </w:tabs>
        <w:numPr>
          <w:ilvl w:val="0"/>
          <w:numId w:val="4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acquired under the Plan and that the Participant will be asked to agree on separate terms and data processing practices with the service provider, which is a condition of the Participant’s ability to participate in the Plan.</w:t>
      </w:r>
    </w:p>
    <w:p>
      <w:pPr>
        <w:spacing w:after="0" w:line="150" w:lineRule="exact"/>
        <w:rPr>
          <w:rFonts w:ascii="Arial" w:cs="Arial" w:eastAsia="Arial" w:hAnsi="Arial"/>
          <w:sz w:val="15"/>
          <w:szCs w:val="15"/>
          <w:b w:val="1"/>
          <w:bCs w:val="1"/>
          <w:i w:val="1"/>
          <w:iCs w:val="1"/>
          <w:color w:val="auto"/>
        </w:rPr>
      </w:pPr>
    </w:p>
    <w:p>
      <w:pPr>
        <w:jc w:val="both"/>
        <w:ind w:firstLine="1305"/>
        <w:spacing w:after="0" w:line="340" w:lineRule="auto"/>
        <w:tabs>
          <w:tab w:leader="none" w:pos="2155" w:val="left"/>
        </w:tabs>
        <w:numPr>
          <w:ilvl w:val="0"/>
          <w:numId w:val="4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Otherwise, transfers of personal data from the EU to the United States can be made on the basis of Standard Contractual Clauses approved by the European Commission or other appropriate safeguards permissible under the applicable law. If the Participant is located in the EU or EEA,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67" w:lineRule="exact"/>
        <w:rPr>
          <w:rFonts w:ascii="Arial" w:cs="Arial" w:eastAsia="Arial" w:hAnsi="Arial"/>
          <w:sz w:val="16"/>
          <w:szCs w:val="16"/>
          <w:b w:val="1"/>
          <w:bCs w:val="1"/>
          <w:i w:val="1"/>
          <w:iCs w:val="1"/>
          <w:color w:val="auto"/>
        </w:rPr>
      </w:pPr>
    </w:p>
    <w:p>
      <w:pPr>
        <w:jc w:val="both"/>
        <w:ind w:firstLine="1305"/>
        <w:spacing w:after="0" w:line="346" w:lineRule="auto"/>
        <w:tabs>
          <w:tab w:leader="none" w:pos="2144" w:val="left"/>
        </w:tabs>
        <w:numPr>
          <w:ilvl w:val="0"/>
          <w:numId w:val="4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xml:space="preserve"> The Participant understands that the Corporation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Corporation’s legal basis for the processing of the Participant’s Personal Data would be compliance with the relevant laws or regulations or the pursuit by the Corporation of respective legitimate interests not outweighed by the Participant’s interests, rights or freedoms. When the Corporation no longer needs the Participant’s Personal Data for any of the above purposes, the Participant understands the Corporation will remove it from its systems.</w:t>
      </w:r>
    </w:p>
    <w:p>
      <w:pPr>
        <w:sectPr>
          <w:pgSz w:w="11900" w:h="16838" w:orient="portrait"/>
          <w:cols w:equalWidth="0" w:num="1">
            <w:col w:w="11420"/>
          </w:cols>
          <w:pgMar w:left="240" w:top="368" w:right="239" w:bottom="1440" w:gutter="0" w:footer="0" w:header="0"/>
        </w:sectPr>
      </w:pPr>
    </w:p>
    <w:bookmarkStart w:id="99" w:name="page100"/>
    <w:bookmarkEnd w:id="99"/>
    <w:p>
      <w:pPr>
        <w:jc w:val="both"/>
        <w:ind w:firstLine="1305"/>
        <w:spacing w:after="0" w:line="322" w:lineRule="auto"/>
        <w:tabs>
          <w:tab w:leader="none" w:pos="2125" w:val="left"/>
        </w:tabs>
        <w:numPr>
          <w:ilvl w:val="1"/>
          <w:numId w:val="4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Voluntariness and Consequences of Denial/Withdrawal of Consent</w:t>
      </w:r>
      <w:r>
        <w:rPr>
          <w:rFonts w:ascii="Arial" w:cs="Arial" w:eastAsia="Arial" w:hAnsi="Arial"/>
          <w:sz w:val="17"/>
          <w:szCs w:val="17"/>
          <w:b w:val="1"/>
          <w:bCs w:val="1"/>
          <w:i w:val="1"/>
          <w:iCs w:val="1"/>
          <w:color w:val="auto"/>
        </w:rPr>
        <w:t>. The Participant understands that the Participant’s participation in the Plan and the Participant’s grant of consent is purely voluntary. The Participant may deny or later withdraw the Participant’s consent at any time, with future effect and for any or no reason. If the Participant denies or later withdraws the Participant’s consent, the Corporation can no longer offer the Participant participation in the Plan or offer other awards to the Participant or administer or maintain such awards and the Participant would no longer be able to participate in the Plan. The Participant further understands that denial or withdrawal of the Participant’s consent would not affect the Participant’s status or salary as an employee or the Participant’s career and that the Participant would merely forfeit the opportunities associated with the Plan.</w:t>
      </w:r>
    </w:p>
    <w:p>
      <w:pPr>
        <w:spacing w:after="0" w:line="176" w:lineRule="exact"/>
        <w:rPr>
          <w:rFonts w:ascii="Arial" w:cs="Arial" w:eastAsia="Arial" w:hAnsi="Arial"/>
          <w:sz w:val="17"/>
          <w:szCs w:val="17"/>
          <w:b w:val="1"/>
          <w:bCs w:val="1"/>
          <w:i w:val="1"/>
          <w:iCs w:val="1"/>
          <w:color w:val="auto"/>
        </w:rPr>
      </w:pPr>
    </w:p>
    <w:p>
      <w:pPr>
        <w:jc w:val="both"/>
        <w:ind w:firstLine="1305"/>
        <w:spacing w:after="0" w:line="357" w:lineRule="auto"/>
        <w:tabs>
          <w:tab w:leader="none" w:pos="2155" w:val="left"/>
        </w:tabs>
        <w:numPr>
          <w:ilvl w:val="1"/>
          <w:numId w:val="4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w:t>
      </w:r>
    </w:p>
    <w:p>
      <w:pPr>
        <w:jc w:val="both"/>
        <w:ind w:firstLine="8"/>
        <w:spacing w:after="0" w:line="323" w:lineRule="auto"/>
        <w:tabs>
          <w:tab w:leader="none" w:pos="247" w:val="left"/>
        </w:tabs>
        <w:numPr>
          <w:ilvl w:val="0"/>
          <w:numId w:val="4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77" w:lineRule="exact"/>
        <w:rPr>
          <w:rFonts w:ascii="Arial" w:cs="Arial" w:eastAsia="Arial" w:hAnsi="Arial"/>
          <w:sz w:val="17"/>
          <w:szCs w:val="17"/>
          <w:b w:val="1"/>
          <w:bCs w:val="1"/>
          <w:i w:val="1"/>
          <w:iCs w:val="1"/>
          <w:color w:val="auto"/>
        </w:rPr>
      </w:pPr>
    </w:p>
    <w:p>
      <w:pPr>
        <w:jc w:val="both"/>
        <w:ind w:firstLine="1305"/>
        <w:spacing w:after="0" w:line="322" w:lineRule="auto"/>
        <w:tabs>
          <w:tab w:leader="none" w:pos="2165" w:val="left"/>
        </w:tabs>
        <w:numPr>
          <w:ilvl w:val="1"/>
          <w:numId w:val="47"/>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Alternate Basis and Additional Consents.</w:t>
      </w:r>
      <w:r>
        <w:rPr>
          <w:rFonts w:ascii="Arial" w:cs="Arial" w:eastAsia="Arial" w:hAnsi="Arial"/>
          <w:sz w:val="17"/>
          <w:szCs w:val="17"/>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383" w:lineRule="exact"/>
        <w:rPr>
          <w:sz w:val="20"/>
          <w:szCs w:val="20"/>
          <w:color w:val="auto"/>
        </w:rPr>
      </w:pPr>
    </w:p>
    <w:p>
      <w:pPr>
        <w:ind w:left="1480" w:hanging="338"/>
        <w:spacing w:after="0"/>
        <w:tabs>
          <w:tab w:leader="none" w:pos="1480" w:val="left"/>
        </w:tabs>
        <w:numPr>
          <w:ilvl w:val="0"/>
          <w:numId w:val="48"/>
        </w:numPr>
        <w:rPr>
          <w:rFonts w:ascii="Arial" w:cs="Arial" w:eastAsia="Arial" w:hAnsi="Arial"/>
          <w:sz w:val="22"/>
          <w:szCs w:val="22"/>
          <w:b w:val="1"/>
          <w:bCs w:val="1"/>
          <w:color w:val="auto"/>
        </w:rPr>
      </w:pPr>
      <w:r>
        <w:rPr>
          <w:rFonts w:ascii="Arial" w:cs="Arial" w:eastAsia="Arial" w:hAnsi="Arial"/>
          <w:sz w:val="18"/>
          <w:szCs w:val="18"/>
          <w:b w:val="1"/>
          <w:bCs w:val="1"/>
          <w:color w:val="auto"/>
        </w:rPr>
        <w:t>Electronic Delivery and Acceptance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Stock Units. Further, the Participant agrees to participate in the Plan through an on-line or electronic system established and maintained by the Corporation or by a third party designated by the Corporation.</w:t>
      </w:r>
    </w:p>
    <w:p>
      <w:pPr>
        <w:spacing w:after="0" w:line="200" w:lineRule="exact"/>
        <w:rPr>
          <w:sz w:val="20"/>
          <w:szCs w:val="20"/>
          <w:color w:val="auto"/>
        </w:rPr>
      </w:pPr>
    </w:p>
    <w:p>
      <w:pPr>
        <w:spacing w:after="0" w:line="215" w:lineRule="exact"/>
        <w:rPr>
          <w:sz w:val="20"/>
          <w:szCs w:val="20"/>
          <w:color w:val="auto"/>
        </w:rPr>
      </w:pPr>
    </w:p>
    <w:p>
      <w:pPr>
        <w:ind w:left="1480" w:hanging="338"/>
        <w:spacing w:after="0"/>
        <w:tabs>
          <w:tab w:leader="none" w:pos="1480" w:val="left"/>
        </w:tabs>
        <w:numPr>
          <w:ilvl w:val="0"/>
          <w:numId w:val="49"/>
        </w:numPr>
        <w:rPr>
          <w:rFonts w:ascii="Arial" w:cs="Arial" w:eastAsia="Arial" w:hAnsi="Arial"/>
          <w:sz w:val="22"/>
          <w:szCs w:val="22"/>
          <w:b w:val="1"/>
          <w:bCs w:val="1"/>
          <w:color w:val="auto"/>
        </w:rPr>
      </w:pPr>
      <w:r>
        <w:rPr>
          <w:rFonts w:ascii="Arial" w:cs="Arial" w:eastAsia="Arial" w:hAnsi="Arial"/>
          <w:sz w:val="18"/>
          <w:szCs w:val="18"/>
          <w:b w:val="1"/>
          <w:bCs w:val="1"/>
          <w:color w:val="auto"/>
        </w:rPr>
        <w:t>Insider Trading/ Market Abuse Laws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participating in the Plan, 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8"/>
          <w:szCs w:val="18"/>
          <w:i w:val="1"/>
          <w:iCs w:val="1"/>
          <w:color w:val="auto"/>
        </w:rPr>
        <w:t>e.g.</w:t>
      </w:r>
      <w:r>
        <w:rPr>
          <w:rFonts w:ascii="Arial" w:cs="Arial" w:eastAsia="Arial" w:hAnsi="Arial"/>
          <w:sz w:val="18"/>
          <w:szCs w:val="18"/>
          <w:color w:val="auto"/>
        </w:rPr>
        <w:t>, the Stock Units) or rights linked to the value of Common Stock (</w:t>
      </w:r>
      <w:r>
        <w:rPr>
          <w:rFonts w:ascii="Arial" w:cs="Arial" w:eastAsia="Arial" w:hAnsi="Arial"/>
          <w:sz w:val="18"/>
          <w:szCs w:val="18"/>
          <w:i w:val="1"/>
          <w:iCs w:val="1"/>
          <w:color w:val="auto"/>
        </w:rPr>
        <w:t>e.g.</w:t>
      </w:r>
      <w:r>
        <w:rPr>
          <w:rFonts w:ascii="Arial" w:cs="Arial" w:eastAsia="Arial" w:hAnsi="Arial"/>
          <w:sz w:val="18"/>
          <w:szCs w:val="18"/>
          <w:color w:val="auto"/>
        </w:rPr>
        <w:t>, phantom awards, futures) during such times as the Participant is considered to have “inside information” regarding the Corporation (as defined by the laws or regulations in the Participant’s country). Local</w:t>
      </w:r>
    </w:p>
    <w:p>
      <w:pPr>
        <w:sectPr>
          <w:pgSz w:w="11900" w:h="16838" w:orient="portrait"/>
          <w:cols w:equalWidth="0" w:num="1">
            <w:col w:w="11420"/>
          </w:cols>
          <w:pgMar w:left="240" w:top="395" w:right="239" w:bottom="1440" w:gutter="0" w:footer="0" w:header="0"/>
        </w:sectPr>
      </w:pPr>
    </w:p>
    <w:bookmarkStart w:id="100" w:name="page101"/>
    <w:bookmarkEnd w:id="100"/>
    <w:p>
      <w:pPr>
        <w:jc w:val="both"/>
        <w:spacing w:after="0" w:line="276" w:lineRule="auto"/>
        <w:rPr>
          <w:sz w:val="20"/>
          <w:szCs w:val="20"/>
          <w:color w:val="auto"/>
        </w:rPr>
      </w:pPr>
      <w:r>
        <w:rPr>
          <w:rFonts w:ascii="Arial" w:cs="Arial" w:eastAsia="Arial" w:hAnsi="Arial"/>
          <w:sz w:val="17"/>
          <w:szCs w:val="17"/>
          <w:color w:val="auto"/>
        </w:rPr>
        <w:t>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190" w:lineRule="exact"/>
        <w:rPr>
          <w:sz w:val="20"/>
          <w:szCs w:val="20"/>
          <w:color w:val="auto"/>
        </w:rPr>
      </w:pPr>
    </w:p>
    <w:p>
      <w:pPr>
        <w:ind w:left="1480" w:hanging="338"/>
        <w:spacing w:after="0"/>
        <w:tabs>
          <w:tab w:leader="none" w:pos="1480" w:val="left"/>
        </w:tabs>
        <w:numPr>
          <w:ilvl w:val="0"/>
          <w:numId w:val="50"/>
        </w:numPr>
        <w:rPr>
          <w:rFonts w:ascii="Arial" w:cs="Arial" w:eastAsia="Arial" w:hAnsi="Arial"/>
          <w:sz w:val="22"/>
          <w:szCs w:val="22"/>
          <w:b w:val="1"/>
          <w:bCs w:val="1"/>
          <w:color w:val="auto"/>
        </w:rPr>
      </w:pPr>
      <w:r>
        <w:rPr>
          <w:rFonts w:ascii="Arial" w:cs="Arial" w:eastAsia="Arial" w:hAnsi="Arial"/>
          <w:sz w:val="18"/>
          <w:szCs w:val="18"/>
          <w:b w:val="1"/>
          <w:bCs w:val="1"/>
          <w:color w:val="auto"/>
        </w:rPr>
        <w:t>Exchange Control, Tax and/or Foreign Asset/Account Reporting</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Stock Units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97" w:lineRule="exact"/>
        <w:rPr>
          <w:sz w:val="20"/>
          <w:szCs w:val="20"/>
          <w:color w:val="auto"/>
        </w:rPr>
      </w:pPr>
    </w:p>
    <w:p>
      <w:pPr>
        <w:ind w:left="1480" w:hanging="338"/>
        <w:spacing w:after="0"/>
        <w:tabs>
          <w:tab w:leader="none" w:pos="1480" w:val="left"/>
        </w:tabs>
        <w:numPr>
          <w:ilvl w:val="0"/>
          <w:numId w:val="51"/>
        </w:numPr>
        <w:rPr>
          <w:rFonts w:ascii="Arial" w:cs="Arial" w:eastAsia="Arial" w:hAnsi="Arial"/>
          <w:sz w:val="22"/>
          <w:szCs w:val="22"/>
          <w:b w:val="1"/>
          <w:bCs w:val="1"/>
          <w:color w:val="auto"/>
        </w:rPr>
      </w:pPr>
      <w:r>
        <w:rPr>
          <w:rFonts w:ascii="Arial" w:cs="Arial" w:eastAsia="Arial" w:hAnsi="Arial"/>
          <w:sz w:val="18"/>
          <w:szCs w:val="18"/>
          <w:b w:val="1"/>
          <w:bCs w:val="1"/>
          <w:color w:val="auto"/>
        </w:rPr>
        <w:t>Language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acknowledges that he or she is sufficiently proficient in English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ectPr>
          <w:pgSz w:w="11900" w:h="16838" w:orient="portrait"/>
          <w:cols w:equalWidth="0" w:num="1">
            <w:col w:w="11420"/>
          </w:cols>
          <w:pgMar w:left="240" w:top="368" w:right="239" w:bottom="1440" w:gutter="0" w:footer="0" w:header="0"/>
        </w:sectPr>
      </w:pPr>
    </w:p>
    <w:bookmarkStart w:id="101" w:name="page102"/>
    <w:bookmarkEnd w:id="101"/>
    <w:p>
      <w:pPr>
        <w:jc w:val="right"/>
        <w:ind w:right="20"/>
        <w:spacing w:after="0"/>
        <w:rPr>
          <w:sz w:val="20"/>
          <w:szCs w:val="20"/>
          <w:color w:val="auto"/>
        </w:rPr>
      </w:pPr>
      <w:r>
        <w:rPr>
          <w:rFonts w:ascii="Arial" w:cs="Arial" w:eastAsia="Arial" w:hAnsi="Arial"/>
          <w:sz w:val="18"/>
          <w:szCs w:val="18"/>
          <w:b w:val="1"/>
          <w:bCs w:val="1"/>
          <w:color w:val="auto"/>
        </w:rPr>
        <w:t>Western Digital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186944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869440" cy="317500"/>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5601 Great Oaks Parkway</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San Jose, California 95119</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(408)717-6000</w:t>
      </w:r>
    </w:p>
    <w:p>
      <w:pPr>
        <w:spacing w:after="0" w:line="200" w:lineRule="exact"/>
        <w:rPr>
          <w:sz w:val="20"/>
          <w:szCs w:val="20"/>
          <w:color w:val="auto"/>
        </w:rPr>
      </w:pPr>
    </w:p>
    <w:p>
      <w:pPr>
        <w:spacing w:after="0" w:line="32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Notice of Grant of Restricted Stock Units</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and Restricted Stock Unit Award Agreement – Vice President and Above</w:t>
      </w:r>
    </w:p>
    <w:p>
      <w:pPr>
        <w:spacing w:after="0" w:line="200" w:lineRule="exact"/>
        <w:rPr>
          <w:sz w:val="20"/>
          <w:szCs w:val="20"/>
          <w:color w:val="auto"/>
        </w:rPr>
      </w:pPr>
    </w:p>
    <w:p>
      <w:pPr>
        <w:spacing w:after="0" w:line="252" w:lineRule="exact"/>
        <w:rPr>
          <w:sz w:val="20"/>
          <w:szCs w:val="20"/>
          <w:color w:val="auto"/>
        </w:rPr>
      </w:pPr>
    </w:p>
    <w:p>
      <w:pPr>
        <w:spacing w:after="0"/>
        <w:tabs>
          <w:tab w:leader="none" w:pos="1620" w:val="left"/>
          <w:tab w:leader="none" w:pos="3360" w:val="left"/>
        </w:tabs>
        <w:rPr>
          <w:sz w:val="20"/>
          <w:szCs w:val="20"/>
          <w:color w:val="auto"/>
        </w:rPr>
      </w:pPr>
      <w:r>
        <w:rPr>
          <w:rFonts w:ascii="Arial" w:cs="Arial" w:eastAsia="Arial" w:hAnsi="Arial"/>
          <w:sz w:val="22"/>
          <w:szCs w:val="22"/>
          <w:b w:val="1"/>
          <w:bCs w:val="1"/>
          <w:color w:val="auto"/>
        </w:rPr>
        <w:t>«fn» «mn» «ln»</w:t>
        <w:tab/>
        <w:t>Award Number:</w:t>
      </w:r>
      <w:r>
        <w:rPr>
          <w:sz w:val="20"/>
          <w:szCs w:val="20"/>
          <w:color w:val="auto"/>
        </w:rPr>
        <w:tab/>
      </w:r>
      <w:r>
        <w:rPr>
          <w:rFonts w:ascii="Arial" w:cs="Arial" w:eastAsia="Arial" w:hAnsi="Arial"/>
          <w:sz w:val="19"/>
          <w:szCs w:val="19"/>
          <w:b w:val="1"/>
          <w:bCs w:val="1"/>
          <w:color w:val="auto"/>
        </w:rPr>
        <w:t>«nbr»</w:t>
      </w:r>
    </w:p>
    <w:p>
      <w:pPr>
        <w:spacing w:after="0" w:line="28" w:lineRule="exact"/>
        <w:rPr>
          <w:sz w:val="20"/>
          <w:szCs w:val="20"/>
          <w:color w:val="auto"/>
        </w:rPr>
      </w:pPr>
    </w:p>
    <w:p>
      <w:pPr>
        <w:spacing w:after="0"/>
        <w:tabs>
          <w:tab w:leader="none" w:pos="760" w:val="left"/>
          <w:tab w:leader="none" w:pos="1460" w:val="left"/>
        </w:tabs>
        <w:rPr>
          <w:sz w:val="20"/>
          <w:szCs w:val="20"/>
          <w:color w:val="auto"/>
        </w:rPr>
      </w:pPr>
      <w:r>
        <w:rPr>
          <w:rFonts w:ascii="Arial" w:cs="Arial" w:eastAsia="Arial" w:hAnsi="Arial"/>
          <w:sz w:val="22"/>
          <w:szCs w:val="22"/>
          <w:b w:val="1"/>
          <w:bCs w:val="1"/>
          <w:color w:val="auto"/>
        </w:rPr>
        <w:t>«ad1»</w:t>
        <w:tab/>
        <w:t>Plan:</w:t>
      </w:r>
      <w:r>
        <w:rPr>
          <w:sz w:val="20"/>
          <w:szCs w:val="20"/>
          <w:color w:val="auto"/>
        </w:rPr>
        <w:tab/>
      </w:r>
      <w:r>
        <w:rPr>
          <w:rFonts w:ascii="Arial" w:cs="Arial" w:eastAsia="Arial" w:hAnsi="Arial"/>
          <w:sz w:val="19"/>
          <w:szCs w:val="19"/>
          <w:b w:val="1"/>
          <w:bCs w:val="1"/>
          <w:color w:val="auto"/>
        </w:rPr>
        <w:t>2017 Performance Incentive Plan</w:t>
      </w:r>
    </w:p>
    <w:p>
      <w:pPr>
        <w:spacing w:after="0" w:line="4" w:lineRule="exact"/>
        <w:rPr>
          <w:sz w:val="20"/>
          <w:szCs w:val="20"/>
          <w:color w:val="auto"/>
        </w:rPr>
      </w:pPr>
    </w:p>
    <w:p>
      <w:pPr>
        <w:spacing w:after="0"/>
        <w:tabs>
          <w:tab w:leader="none" w:pos="760" w:val="left"/>
          <w:tab w:leader="none" w:pos="1280" w:val="left"/>
        </w:tabs>
        <w:rPr>
          <w:sz w:val="20"/>
          <w:szCs w:val="20"/>
          <w:color w:val="auto"/>
        </w:rPr>
      </w:pPr>
      <w:r>
        <w:rPr>
          <w:rFonts w:ascii="Arial" w:cs="Arial" w:eastAsia="Arial" w:hAnsi="Arial"/>
          <w:sz w:val="22"/>
          <w:szCs w:val="22"/>
          <w:b w:val="1"/>
          <w:bCs w:val="1"/>
          <w:color w:val="auto"/>
        </w:rPr>
        <w:t>«ad2»</w:t>
        <w:tab/>
        <w:t>ID:</w:t>
      </w:r>
      <w:r>
        <w:rPr>
          <w:sz w:val="20"/>
          <w:szCs w:val="20"/>
          <w:color w:val="auto"/>
        </w:rPr>
        <w:tab/>
      </w:r>
      <w:r>
        <w:rPr>
          <w:rFonts w:ascii="Arial" w:cs="Arial" w:eastAsia="Arial" w:hAnsi="Arial"/>
          <w:sz w:val="19"/>
          <w:szCs w:val="19"/>
          <w:b w:val="1"/>
          <w:bCs w:val="1"/>
          <w:color w:val="auto"/>
        </w:rPr>
        <w:t>«id»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«cty», «st»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288988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Congratulations! Effective &lt;&lt;grant date&gt;&gt; (the “Grant Date”), you have been granted stock units (the “Restricted Stock Units”) of Western Digital Corporation. The Restricted Stock Units were granted under and are subject to the Corporation’s 2017 Performance Incentive Plan, as amended (the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345" w:lineRule="exact"/>
        <w:rPr>
          <w:sz w:val="20"/>
          <w:szCs w:val="20"/>
          <w:color w:val="auto"/>
        </w:rPr>
      </w:pPr>
    </w:p>
    <w:tbl>
      <w:tblPr>
        <w:tblLayout w:type="fixed"/>
        <w:tblInd w:w="2140" w:type="dxa"/>
        <w:tblCellMar>
          <w:top w:w="0" w:type="dxa"/>
          <w:left w:w="0" w:type="dxa"/>
          <w:bottom w:w="0" w:type="dxa"/>
          <w:right w:w="0" w:type="dxa"/>
        </w:tblCellMar>
      </w:tblPr>
      <w:tr>
        <w:trPr>
          <w:trHeight w:val="253"/>
        </w:trPr>
        <w:tc>
          <w:tcPr>
            <w:tcW w:w="1820" w:type="dxa"/>
            <w:vAlign w:val="bottom"/>
            <w:gridSpan w:val="2"/>
          </w:tcPr>
          <w:p>
            <w:pPr>
              <w:jc w:val="center"/>
              <w:ind w:right="800"/>
              <w:spacing w:after="0"/>
              <w:rPr>
                <w:sz w:val="20"/>
                <w:szCs w:val="20"/>
                <w:color w:val="auto"/>
              </w:rPr>
            </w:pPr>
            <w:r>
              <w:rPr>
                <w:rFonts w:ascii="Arial" w:cs="Arial" w:eastAsia="Arial" w:hAnsi="Arial"/>
                <w:sz w:val="22"/>
                <w:szCs w:val="22"/>
                <w:color w:val="auto"/>
                <w:w w:val="91"/>
              </w:rPr>
              <w:t>Stock Units</w:t>
            </w:r>
          </w:p>
        </w:tc>
        <w:tc>
          <w:tcPr>
            <w:tcW w:w="2460" w:type="dxa"/>
            <w:vAlign w:val="bottom"/>
            <w:gridSpan w:val="3"/>
          </w:tcPr>
          <w:p>
            <w:pPr>
              <w:ind w:left="820"/>
              <w:spacing w:after="0"/>
              <w:rPr>
                <w:sz w:val="20"/>
                <w:szCs w:val="20"/>
                <w:color w:val="auto"/>
              </w:rPr>
            </w:pPr>
            <w:r>
              <w:rPr>
                <w:rFonts w:ascii="Arial" w:cs="Arial" w:eastAsia="Arial" w:hAnsi="Arial"/>
                <w:sz w:val="22"/>
                <w:szCs w:val="22"/>
                <w:color w:val="auto"/>
              </w:rPr>
              <w:t>Vest Type</w:t>
            </w:r>
          </w:p>
        </w:tc>
        <w:tc>
          <w:tcPr>
            <w:tcW w:w="1560" w:type="dxa"/>
            <w:vAlign w:val="bottom"/>
            <w:gridSpan w:val="2"/>
          </w:tcPr>
          <w:p>
            <w:pPr>
              <w:jc w:val="center"/>
              <w:ind w:left="672"/>
              <w:spacing w:after="0"/>
              <w:rPr>
                <w:sz w:val="20"/>
                <w:szCs w:val="20"/>
                <w:color w:val="auto"/>
              </w:rPr>
            </w:pPr>
            <w:r>
              <w:rPr>
                <w:rFonts w:ascii="Arial" w:cs="Arial" w:eastAsia="Arial" w:hAnsi="Arial"/>
                <w:sz w:val="22"/>
                <w:szCs w:val="22"/>
                <w:color w:val="auto"/>
                <w:w w:val="91"/>
              </w:rPr>
              <w:t>Full Vest</w:t>
            </w:r>
          </w:p>
        </w:tc>
      </w:tr>
      <w:tr>
        <w:trPr>
          <w:trHeight w:val="328"/>
        </w:trPr>
        <w:tc>
          <w:tcPr>
            <w:tcW w:w="10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6"/>
              </w:rPr>
              <w:t>«sp1»</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2"/>
              </w:rPr>
              <w:t>«vtpr1»</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«vdp1»</w:t>
            </w:r>
          </w:p>
        </w:tc>
      </w:tr>
      <w:tr>
        <w:trPr>
          <w:trHeight w:val="297"/>
        </w:trPr>
        <w:tc>
          <w:tcPr>
            <w:tcW w:w="1820" w:type="dxa"/>
            <w:vAlign w:val="bottom"/>
            <w:gridSpan w:val="2"/>
          </w:tcPr>
          <w:p>
            <w:pPr>
              <w:jc w:val="center"/>
              <w:ind w:right="780"/>
              <w:spacing w:after="0"/>
              <w:rPr>
                <w:sz w:val="20"/>
                <w:szCs w:val="20"/>
                <w:color w:val="auto"/>
              </w:rPr>
            </w:pPr>
            <w:r>
              <w:rPr>
                <w:rFonts w:ascii="Arial" w:cs="Arial" w:eastAsia="Arial" w:hAnsi="Arial"/>
                <w:sz w:val="22"/>
                <w:szCs w:val="22"/>
                <w:color w:val="auto"/>
                <w:w w:val="86"/>
              </w:rPr>
              <w:t>«sp2»</w:t>
            </w:r>
          </w:p>
        </w:tc>
        <w:tc>
          <w:tcPr>
            <w:tcW w:w="820" w:type="dxa"/>
            <w:vAlign w:val="bottom"/>
          </w:tcPr>
          <w:p>
            <w:pPr>
              <w:spacing w:after="0"/>
              <w:rPr>
                <w:sz w:val="24"/>
                <w:szCs w:val="2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22"/>
                <w:szCs w:val="22"/>
                <w:color w:val="auto"/>
                <w:w w:val="90"/>
              </w:rPr>
              <w:t>«vtp2»</w:t>
            </w:r>
          </w:p>
        </w:tc>
        <w:tc>
          <w:tcPr>
            <w:tcW w:w="7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2"/>
                <w:szCs w:val="22"/>
                <w:color w:val="auto"/>
                <w:w w:val="88"/>
              </w:rPr>
              <w:t>«vdp2»</w:t>
            </w:r>
          </w:p>
        </w:tc>
      </w:tr>
      <w:tr>
        <w:trPr>
          <w:trHeight w:val="297"/>
        </w:trPr>
        <w:tc>
          <w:tcPr>
            <w:tcW w:w="1820" w:type="dxa"/>
            <w:vAlign w:val="bottom"/>
            <w:gridSpan w:val="2"/>
          </w:tcPr>
          <w:p>
            <w:pPr>
              <w:jc w:val="center"/>
              <w:ind w:right="780"/>
              <w:spacing w:after="0"/>
              <w:rPr>
                <w:sz w:val="20"/>
                <w:szCs w:val="20"/>
                <w:color w:val="auto"/>
              </w:rPr>
            </w:pPr>
            <w:r>
              <w:rPr>
                <w:rFonts w:ascii="Arial" w:cs="Arial" w:eastAsia="Arial" w:hAnsi="Arial"/>
                <w:sz w:val="22"/>
                <w:szCs w:val="22"/>
                <w:color w:val="auto"/>
                <w:w w:val="86"/>
              </w:rPr>
              <w:t>«sp3»</w:t>
            </w:r>
          </w:p>
        </w:tc>
        <w:tc>
          <w:tcPr>
            <w:tcW w:w="820" w:type="dxa"/>
            <w:vAlign w:val="bottom"/>
          </w:tcPr>
          <w:p>
            <w:pPr>
              <w:spacing w:after="0"/>
              <w:rPr>
                <w:sz w:val="24"/>
                <w:szCs w:val="2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22"/>
                <w:szCs w:val="22"/>
                <w:color w:val="auto"/>
                <w:w w:val="90"/>
              </w:rPr>
              <w:t>«vtp3»</w:t>
            </w:r>
          </w:p>
        </w:tc>
        <w:tc>
          <w:tcPr>
            <w:tcW w:w="7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2"/>
                <w:szCs w:val="22"/>
                <w:color w:val="auto"/>
                <w:w w:val="88"/>
              </w:rPr>
              <w:t>«vdp3»</w:t>
            </w:r>
          </w:p>
        </w:tc>
      </w:tr>
      <w:tr>
        <w:trPr>
          <w:trHeight w:val="297"/>
        </w:trPr>
        <w:tc>
          <w:tcPr>
            <w:tcW w:w="1820" w:type="dxa"/>
            <w:vAlign w:val="bottom"/>
            <w:gridSpan w:val="2"/>
          </w:tcPr>
          <w:p>
            <w:pPr>
              <w:jc w:val="center"/>
              <w:ind w:right="780"/>
              <w:spacing w:after="0"/>
              <w:rPr>
                <w:sz w:val="20"/>
                <w:szCs w:val="20"/>
                <w:color w:val="auto"/>
              </w:rPr>
            </w:pPr>
            <w:r>
              <w:rPr>
                <w:rFonts w:ascii="Arial" w:cs="Arial" w:eastAsia="Arial" w:hAnsi="Arial"/>
                <w:sz w:val="22"/>
                <w:szCs w:val="22"/>
                <w:color w:val="auto"/>
                <w:w w:val="86"/>
              </w:rPr>
              <w:t>«sp4»</w:t>
            </w:r>
          </w:p>
        </w:tc>
        <w:tc>
          <w:tcPr>
            <w:tcW w:w="820" w:type="dxa"/>
            <w:vAlign w:val="bottom"/>
          </w:tcPr>
          <w:p>
            <w:pPr>
              <w:spacing w:after="0"/>
              <w:rPr>
                <w:sz w:val="24"/>
                <w:szCs w:val="2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22"/>
                <w:szCs w:val="22"/>
                <w:color w:val="auto"/>
                <w:w w:val="90"/>
              </w:rPr>
              <w:t>«vtp4»</w:t>
            </w:r>
          </w:p>
        </w:tc>
        <w:tc>
          <w:tcPr>
            <w:tcW w:w="7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2"/>
                <w:szCs w:val="22"/>
                <w:color w:val="auto"/>
                <w:w w:val="88"/>
              </w:rPr>
              <w:t>«vdp4»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288988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Your Restricted Stock Unit award is subject to the terms and conditions of this Notice, the attached Standard Terms and Conditions for Restricted Stock Unit Awards – Vice President and Above (including any terms and conditions set forth in any appendices attached hereto collectively, the “Standard Terms”) and the Plan. By accepting the award, you are agreeing to the terms of the award as set forth in those documents. You should read the Plan, the Prospectus for the Plan, and the Standard Terms. The Standard Terms and the Plan are each incorporated into and made a part of this Notice by this reference. You do not have to accept your award. If you do not agree to the terms of your award, you should promptly return this Notice to the Western Digital Corporation Stock Plans Administrator indicating that you do not wish to accept the award and your Restricted Stock Units will be cancelled.</w:t>
      </w:r>
    </w:p>
    <w:p>
      <w:pPr>
        <w:spacing w:after="0" w:line="17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3" w:right="239" w:bottom="1440" w:gutter="0" w:footer="0" w:header="0"/>
        </w:sectPr>
      </w:pPr>
    </w:p>
    <w:bookmarkStart w:id="102" w:name="page103"/>
    <w:bookmarkEnd w:id="102"/>
    <w:p>
      <w:pPr>
        <w:jc w:val="center"/>
        <w:ind w:right="60"/>
        <w:spacing w:after="0"/>
        <w:rPr>
          <w:sz w:val="20"/>
          <w:szCs w:val="20"/>
          <w:color w:val="auto"/>
        </w:rPr>
      </w:pPr>
      <w:r>
        <w:rPr>
          <w:rFonts w:ascii="Arial" w:cs="Arial" w:eastAsia="Arial" w:hAnsi="Arial"/>
          <w:sz w:val="22"/>
          <w:szCs w:val="22"/>
          <w:b w:val="1"/>
          <w:bCs w:val="1"/>
          <w:color w:val="auto"/>
        </w:rPr>
        <w:t>STANDARD TERMS AND CONDITIONS FOR</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RESTRICTED STOCK UNIT AWARD – VICE PRESIDENT AND ABOVE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2017 Performance Incentive Plan</w:t>
      </w:r>
    </w:p>
    <w:p>
      <w:pPr>
        <w:spacing w:after="0" w:line="20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 Subject to Amended and Restated 2017 Performance Incentive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Restricted Stock Unit Award (the “Award”) referred to in the attached Notice of Grant of Restricted Stock Units and Restricted Stock Unit Award Agreement – Vice President and Above (the “Notice”) was awarded under Western Digital Corporation’s (the “Corporation’s”) Amended and Restated 2017 Performance Incentive Plan, as amended (the “Plan”). Each Restricted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Stock Units granted to the Participant shall be credited to an unfunded bookkeeping account maintained by the Corporation on behalf of the Participant (a “Stock Unit Account”).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Stock Units are subject to the terms and provisions of the Notice, these Standard Terms and Conditions for the Restricted Stock Unit Award – Vice President and Above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have the meanings set forth in the Plan or in the Notice, as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Award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and these Standard Terms, together (the “Award Agreement”), constitute the award agreement with respect to the Award pursuant to Section 5.2 of the Plan.</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Vesting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Except as otherwise provided in this Award Agreement, the Award shall vest and become nonforfeitable in percentage installments of the aggregate number of Stock Units as set forth in the Notice. Except as expressly provided in Sections 7 and 8 below, vesting requires continued employment or service with the Corporation or one of its Subsidiaries through each applicable vesting date as a condition to the vesting of the applicable installment of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Dividend Equivalent Rights Distributions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jc w:val="both"/>
        <w:ind w:firstLine="8"/>
        <w:spacing w:after="0" w:line="277" w:lineRule="auto"/>
        <w:tabs>
          <w:tab w:leader="none" w:pos="26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number of Stock Units remaining subject to the Award as of the related dividend payment record date, divided by (iii) the Fair Market Value of a share of Common Stock on the date of payment of such dividend. The Stock Units credited pursuant to the foregoing provisions of this Section 5 shall be subject to the same vesting, payment and other terms, conditions and restrictions as the original Stock Units to which they relate.</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Timing and Manner of Payment of Stock Units</w:t>
      </w:r>
    </w:p>
    <w:p>
      <w:pPr>
        <w:sectPr>
          <w:pgSz w:w="11900" w:h="16838" w:orient="portrait"/>
          <w:cols w:equalWidth="0" w:num="1">
            <w:col w:w="11420"/>
          </w:cols>
          <w:pgMar w:left="240" w:top="369" w:right="239" w:bottom="1440" w:gutter="0" w:footer="0" w:header="0"/>
        </w:sectPr>
      </w:pPr>
    </w:p>
    <w:bookmarkStart w:id="103" w:name="page104"/>
    <w:bookmarkEnd w:id="103"/>
    <w:p>
      <w:pPr>
        <w:jc w:val="both"/>
        <w:spacing w:after="0" w:line="268" w:lineRule="auto"/>
        <w:rPr>
          <w:sz w:val="20"/>
          <w:szCs w:val="20"/>
          <w:color w:val="auto"/>
        </w:rPr>
      </w:pPr>
      <w:r>
        <w:rPr>
          <w:rFonts w:ascii="Arial" w:cs="Arial" w:eastAsia="Arial" w:hAnsi="Arial"/>
          <w:sz w:val="17"/>
          <w:szCs w:val="17"/>
          <w:color w:val="auto"/>
        </w:rPr>
        <w:t>Subject to Section 7 below and the following paragraph of this Section 6, any Stock Unit granted (or credited pursuant to Section 5) to the Participant that becomes vested (whether pursuant to Section 4, Section 7 or Section 8 hereof) shall be paid to the Participant on or within sixty (60) days following the first to occur of: (a) the date that such Stock Unit was scheduled to vest as set forth in the Notice, (b) the date of the Participant’s Separation from Service (as defined below), or (c) the Participant’s death. The Corporation shall make payment of a Stock Unit that has vested by delivering to the Participant a share of Common Stock (either by delivering one or more certificates for the shares deliverable or by entering such shares in book entry form, as determined by the Corporation in its sole discretion),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Section 7 hereof, or that are terminated pursuant to Section 7 or Section 8 hereof,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payment is triggered by the Participant’s Separation from Service and, as of the date of such Separation from Service the Participant is a Specified Employee, then any Stock Units that would otherwise become payable on the Participant’s Separation from Service shall be paid on (or as soon as administratively practicable following) the first day of the seventh month following the month in which the Participant’s Separation from Service occurs. The determination of whether the Participant is a “Specified Employee” shall be made in accordance with the definition of “Specified Employee” as set forth in the Western Digital Corporation Deferred Compensation Plan, as amended and restated (the “Deferred Compensation Plan”), regardless of whether the Participant participates in the Deferred Compensation Plan.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purposes of this Award Agreement, the term “Separation from Service” (which generally means that the Participant ceases to be employed by the Corporation and its affiliates) is used as defined in the Deferred Compensation Plan and the determination of whether a Separation from Service has occurred shall be made in accordance with the rules set forth in the definition of “Separation from Service” in the Deferred Compensation Plan, regardless of whether the Participant participates in the Deferred Compensation Plan, except that for purposes of this Award Agreement a “Separation from Service” shall include a separation from service due to Disability (as such term is used in the Deferred Compensation Plan).</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Change in Control Event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a transaction referenced in Section 7.2 of the Plan in connection with which the Corporation will not survive or will not survive as a public company in respect of its Common Stock, the Administrator may (without limiting the adjustment authority of Section 7.1 of the Plan and without limiting the flexibility of the Administrator to provide for the assumption, substitution or exchange of the Award pursuant to Section 7.2 of the Plan) provide that payment for each Stock Unit that is otherwise outstanding on the date of such event and that becomes vested may be made in the form of cash in an amount equal to the fair market value of a share of Common Stock as of the date of the closing of such transaction. However, notwithstanding anything otherwise provided in Section 7.2 of the Plan but subject to the following sentence, the time of payment of the Award may not be changed and shall be as set forth in Section 6 above. The Administrator may (notwithstanding the time of payment provisions of Sections 6 and 8 hereof) provide for the termination of the Stock Units subject to the Award in connection with the occurrence of a Change in Control Event in connection with which the Administrator has not made a provision for the substitution, assumption, exchange or other continuation of the Award; provided that (A) in such event, the portion of the Award that is outstanding and unvested immediately prior to such termination shall vest and become payable, and (B) such acceleration, termination and payment of the Award satisfies the requirements of Treas. Reg. Section 1.409A-3(j)(4)(ix) (which requirements include the Change in Control Event qualifying as a change in the ownership or effective control of the Corporation, or a change in the ownership of a substantial portion of the assets of the Corporation, within the meaning of Treas. Reg. Section 1.409A-3(i)(5)).</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Termination of Employment</w:t>
      </w:r>
    </w:p>
    <w:p>
      <w:pPr>
        <w:sectPr>
          <w:pgSz w:w="11900" w:h="16838" w:orient="portrait"/>
          <w:cols w:equalWidth="0" w:num="1">
            <w:col w:w="11420"/>
          </w:cols>
          <w:pgMar w:left="240" w:top="368" w:right="239" w:bottom="1440" w:gutter="0" w:footer="0" w:header="0"/>
        </w:sectPr>
      </w:pPr>
    </w:p>
    <w:bookmarkStart w:id="104" w:name="page105"/>
    <w:bookmarkEnd w:id="104"/>
    <w:p>
      <w:pPr>
        <w:jc w:val="both"/>
        <w:ind w:firstLine="8"/>
        <w:spacing w:after="0" w:line="291" w:lineRule="auto"/>
        <w:tabs>
          <w:tab w:leader="none" w:pos="407"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Generally</w:t>
      </w:r>
      <w:r>
        <w:rPr>
          <w:rFonts w:ascii="Arial" w:cs="Arial" w:eastAsia="Arial" w:hAnsi="Arial"/>
          <w:sz w:val="16"/>
          <w:szCs w:val="16"/>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the Participant’s Stock Units shall, to the extent such Stock Units have not become vested upon the Separation Date, automatically be forfeited to the Corporation effective immediately following the Separation Date. If the Participant is entitled to any accelerated vesting pursuant to any provision below in this Section 8, any remaining unvested portion of the Participant’s Stock Units (after giving effect to such acceleration) shall automatically be forfeited to the Corporation effective immediately following the Separation Date.</w:t>
      </w:r>
    </w:p>
    <w:p>
      <w:pPr>
        <w:spacing w:after="0" w:line="167" w:lineRule="exact"/>
        <w:rPr>
          <w:rFonts w:ascii="Arial" w:cs="Arial" w:eastAsia="Arial" w:hAnsi="Arial"/>
          <w:sz w:val="16"/>
          <w:szCs w:val="16"/>
          <w:color w:val="auto"/>
        </w:rPr>
      </w:pPr>
    </w:p>
    <w:p>
      <w:pPr>
        <w:jc w:val="both"/>
        <w:ind w:firstLine="8"/>
        <w:spacing w:after="0" w:line="286" w:lineRule="auto"/>
        <w:tabs>
          <w:tab w:leader="none" w:pos="39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Death of the Participant</w:t>
      </w:r>
      <w:r>
        <w:rPr>
          <w:rFonts w:ascii="Arial" w:cs="Arial" w:eastAsia="Arial" w:hAnsi="Arial"/>
          <w:sz w:val="16"/>
          <w:szCs w:val="16"/>
          <w:color w:val="auto"/>
        </w:rPr>
        <w:t>. In the event of the Participant’s death at a time when the Participant is employed by or providing services to the Corporation or any of its Subsidiaries, a portion of the otherwise outstanding and unvested Stock Units subject to the Award shall automatically become vested as of the date of the Participant’s death, and shall be paid to the Participant as provided in Section 6 above. In such event, the number of Stock Units that shall become vested on the date of the date of the Participant’s death equals (i) minus (ii) (but not less than zero), where (i) is the Employment Fraction (determined as set forth below) multiplied by the total number of Stock Units originally subject to the Award (subject to adjustment as provided in Section 9 hereof but before taking the crediting of dividend equivalent Stock Units pursuant to Section 5 above into account), and (ii) is the number of Stock Units otherwise paid or payable on or prior to the date of the Separation Date (before taking the acceleration contemplated by this Section 8(b) into account and before taking the crediting of dividend equivalent Stock Units pursuant to Section 5 above into account). To the extent any Stock Units accelerate in connection with the Participant’s death pursuant to the preceding sentence, the dividend equivalent Stock Units credited pursuant to Section 5 above with respect to such Stock Units shall also accelerate and become vested as of the Separation Date. For purposes of this Section 8, the “Employment Fraction” equals a fraction (not greater than one), the numerator of which is the total number of calendar days in the period beginning with the Grant Date as set forth in the Notice through and including the Participant’s Separation Date, and the denominator of which is the total number of calendar days in the period beginning with the Grant Date as set forth in the Notice through and including the last scheduled vesting date applicable to the Award as set forth in the Notice.</w:t>
      </w:r>
    </w:p>
    <w:p>
      <w:pPr>
        <w:spacing w:after="0" w:line="174" w:lineRule="exact"/>
        <w:rPr>
          <w:rFonts w:ascii="Arial" w:cs="Arial" w:eastAsia="Arial" w:hAnsi="Arial"/>
          <w:sz w:val="16"/>
          <w:szCs w:val="16"/>
          <w:color w:val="auto"/>
        </w:rPr>
      </w:pPr>
    </w:p>
    <w:p>
      <w:pPr>
        <w:jc w:val="both"/>
        <w:ind w:firstLine="8"/>
        <w:spacing w:after="0" w:line="253"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Retirement of the Participant</w:t>
      </w:r>
      <w:r>
        <w:rPr>
          <w:rFonts w:ascii="Arial" w:cs="Arial" w:eastAsia="Arial" w:hAnsi="Arial"/>
          <w:sz w:val="18"/>
          <w:szCs w:val="18"/>
          <w:color w:val="auto"/>
        </w:rPr>
        <w:t>. If the Participant Retires (as defined below) from the Corporation or one of its Subsidiaries, a portion of the otherwise outstanding and unvested Stock Units subject to the Award shall automatically become vested as of the date of such retirement and shall be paid to the Participant as provided in Section 6 above. In such event, the number of Stock Units that shall become vested on the date of the Participant’s Retirement equals (i) minus (ii) (but not less than zero), where (i) is the Employment Fraction (determined as set forth above in Section 8(b)) multiplied by the total number of Stock Units originally subject to the Award (subject to adjustment as provided in Section 9 hereof but before taking the crediting of dividend equivalent Stock Units pursuant to Section 5 above into account), and (ii) is the number of Stock Units otherwise paid or payable on or prior to the Separation Date (before taking the acceleration contemplated by this Section 8(c) into account and before taking the crediting of dividend equivalent Stock Units pursuant to Section 5 above into account). To the extent any Stock Units accelerate in connection with a Retirement pursuant to the foregoing provisions of this Section 8(c), the dividend equivalent Stock Units credited pursuant to Section 5 above with respect to such Stock Units shall also accelerate and become vested as of the Separation Date.</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purposes of this Award Agreement, the Participant shall be deemed to have “Retired” (which term shall include “Retirement,” “Retire” and “Retires”) if the Participant retires from employment with the Corporation or one of its Subsidiaries for any reason other than Cause (as defined below) and other than due to the Participant’s death after satisfying all of the following requirements at the time of such retirement: (i) the Participant is at least 55 years of age, (ii) the Participant has five (5) or more whole years of credited service with the Corporation or any of its Subsidiaries ending on the date of such retirement, and (iii) the Participant’s age plus years of credited service with the Corporation or any of its Subsidiaries (including only whole years in the case of both age and credited service for purposes of this requirement) totals at least 70. The Administrator shall determine the Participant’s “years of credited service” under clauses (ii) and (iii) above; provided that, for such purposes,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w:t>
      </w:r>
    </w:p>
    <w:p>
      <w:pPr>
        <w:sectPr>
          <w:pgSz w:w="11900" w:h="16838" w:orient="portrait"/>
          <w:cols w:equalWidth="0" w:num="1">
            <w:col w:w="11420"/>
          </w:cols>
          <w:pgMar w:left="240" w:top="368" w:right="239" w:bottom="1440" w:gutter="0" w:footer="0" w:header="0"/>
        </w:sectPr>
      </w:pPr>
    </w:p>
    <w:bookmarkStart w:id="105" w:name="page106"/>
    <w:bookmarkEnd w:id="105"/>
    <w:p>
      <w:pPr>
        <w:jc w:val="both"/>
        <w:spacing w:after="0" w:line="293" w:lineRule="auto"/>
        <w:rPr>
          <w:sz w:val="20"/>
          <w:szCs w:val="20"/>
          <w:color w:val="auto"/>
        </w:rPr>
      </w:pPr>
      <w:r>
        <w:rPr>
          <w:rFonts w:ascii="Arial" w:cs="Arial" w:eastAsia="Arial" w:hAnsi="Arial"/>
          <w:sz w:val="16"/>
          <w:szCs w:val="16"/>
          <w:color w:val="auto"/>
        </w:rPr>
        <w:t>For clarity, Retirement is based on a termination of employment and not a termination of any other service relationship. However, if the Participant Retires and continues in another service capacity such that the Participant does not have a Separation Date in connection with his or her Retirement, the portion of the Award (if any) that accelerates in connection with such Retirement shall be deemed to correspond to the first vesting date scheduled to occur after the date of such Retirement and the portion of the Award not vested on the Participant’s Retirement shall remain eligible to vest through and until the Participant’s Separation Date (in connection with any such Separation Date the other provisions of this Section 8 shall apply as to such portion of the Award; in the event the Participant is entitled to accelerated vesting pursuant to Section 8(b), the provisions of Section 8(b) and not this Section 8(c) shall apply).</w:t>
      </w:r>
    </w:p>
    <w:p>
      <w:pPr>
        <w:spacing w:after="0" w:line="165" w:lineRule="exact"/>
        <w:rPr>
          <w:sz w:val="20"/>
          <w:szCs w:val="20"/>
          <w:color w:val="auto"/>
        </w:rPr>
      </w:pPr>
    </w:p>
    <w:p>
      <w:pPr>
        <w:jc w:val="both"/>
        <w:ind w:firstLine="8"/>
        <w:spacing w:after="0" w:line="273" w:lineRule="auto"/>
        <w:tabs>
          <w:tab w:leader="none" w:pos="457"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Involuntary Termination of Employment After a Change in Control Event - Not a Severance Plan Participant</w:t>
      </w:r>
      <w:r>
        <w:rPr>
          <w:rFonts w:ascii="Arial" w:cs="Arial" w:eastAsia="Arial" w:hAnsi="Arial"/>
          <w:sz w:val="17"/>
          <w:szCs w:val="17"/>
          <w:color w:val="auto"/>
        </w:rPr>
        <w:t>. This Section 8(d) is applicable if the Participant is not, at the time of the termination of the Participant’s employment, a participant in (i) the Western Digital Corporation Executive Severance Plan (or any applicable successor executive severance plan, as each is in effect at the time of such termination of employment, and only if such severance plan then otherwise applies with respect to the Participant) (“Pre-CIC Severance Plan”) and/or (ii) the Western Digital Corporation Amended and Restated Change of Control Severance Plan (or any applicable successor change of control severance plan, as each is in effect at the time of such termination of employment, and only if such severance plan then otherwise applies with respect to the Participant) (“CIC Severance Plan”).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the Participant ceases to be employed by the Corporation or any of its Subsidiaries as a result of either a termination of employment by the Corporation or one of its Subsidiaries without “Cause” (as defined below) or the resignation of the Participant for “Good Reason” (as defined below), in either case upon or within the one (1) year period following the occurrence of a Change in Control Event, the Award (to the extent outstanding and not previously vested) shall fully vest on the Participant’s Separation Date and shall be paid to the Participant as provided in Section 6 above. If the Participant’s employment terminates in the circumstances described in the preceding sentence and the Participant also qualifies for Retirement under Section 8(c) above, this Section 8(d) shall apply.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this Award Agreement, the term “Cause” is used as defined in the CIC Severance Plan (for clarity, including if the Participant does not participate in such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Award Agreement, the term “Good Reason” shall mean any of the following without the Participant’s express written consent:</w:t>
      </w:r>
    </w:p>
    <w:p>
      <w:pPr>
        <w:spacing w:after="0" w:line="237" w:lineRule="exact"/>
        <w:rPr>
          <w:sz w:val="20"/>
          <w:szCs w:val="20"/>
          <w:color w:val="auto"/>
        </w:rPr>
      </w:pPr>
    </w:p>
    <w:p>
      <w:pPr>
        <w:ind w:left="1740" w:hanging="435"/>
        <w:spacing w:after="0"/>
        <w:tabs>
          <w:tab w:leader="none" w:pos="1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material diminution in the Participant’s authority, duties or responsibilities in effect immediately prior to the Change in Control</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w:t>
      </w:r>
    </w:p>
    <w:p>
      <w:pPr>
        <w:spacing w:after="0" w:line="211" w:lineRule="exact"/>
        <w:rPr>
          <w:sz w:val="20"/>
          <w:szCs w:val="20"/>
          <w:color w:val="auto"/>
        </w:rPr>
      </w:pPr>
    </w:p>
    <w:p>
      <w:pPr>
        <w:ind w:left="660" w:firstLine="645"/>
        <w:spacing w:after="0" w:line="277" w:lineRule="auto"/>
        <w:tabs>
          <w:tab w:leader="none" w:pos="17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material diminution by the Employer (as defined below) in the Participant’s base compensation in effect immediately prior to a Change in Control Event;</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8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material breach by the Corporation or the Employer of any right that the Participant has under a written severance plan of the Corporation or the Employer in which the Participant participates or by the Corporation or the Employer of any written employment agreement either of them may be a party to with the Participant; or</w:t>
      </w:r>
    </w:p>
    <w:p>
      <w:pPr>
        <w:spacing w:after="0" w:line="181" w:lineRule="exact"/>
        <w:rPr>
          <w:rFonts w:ascii="Arial" w:cs="Arial" w:eastAsia="Arial" w:hAnsi="Arial"/>
          <w:sz w:val="18"/>
          <w:szCs w:val="18"/>
          <w:color w:val="auto"/>
        </w:rPr>
      </w:pPr>
    </w:p>
    <w:p>
      <w:pPr>
        <w:ind w:left="660" w:firstLine="645"/>
        <w:spacing w:after="0" w:line="277" w:lineRule="auto"/>
        <w:tabs>
          <w:tab w:leader="none" w:pos="17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requirement by the Employer that the Participant’s principal place of employment be relocated more than fifty (50) miles from his or her place of employment immediately prior to a Change in Control Event;</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provided, however, that any such condition shall not constitute “Good Reason” unless both (i) the Participant provides written notice to the Corporation of the condition claimed to constitute Good Reason within ninety (90) days of the initial existence of such condition, and (ii) the Corporation fails to remedy such condition within thirty (30) days of receiving such written notice thereof; and provided, further, that in all events the termination of the Participant’s employment with the Corporation shall not be treated as a termination for “Good Reason” unless such termination occurs not more than one (1) year following the initial existence of the condition claimed to constitute “Good Reason.”</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this Award Agreement, “Employer” shall mean the Corporation or its Subsidiary employing the Participant; provided however, that nothing contained herein shall prohibit the Corporation or another of its</w:t>
      </w:r>
    </w:p>
    <w:p>
      <w:pPr>
        <w:sectPr>
          <w:pgSz w:w="11900" w:h="16838" w:orient="portrait"/>
          <w:cols w:equalWidth="0" w:num="1">
            <w:col w:w="11420"/>
          </w:cols>
          <w:pgMar w:left="240" w:top="368"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Subsidiaries fulfilling any obligation of the employing entity to the Participant and for such purposes will be deemed the act of the Employer.</w:t>
      </w:r>
    </w:p>
    <w:p>
      <w:pPr>
        <w:spacing w:after="0" w:line="225" w:lineRule="exact"/>
        <w:rPr>
          <w:sz w:val="20"/>
          <w:szCs w:val="20"/>
          <w:color w:val="auto"/>
        </w:rPr>
      </w:pPr>
    </w:p>
    <w:p>
      <w:pPr>
        <w:jc w:val="both"/>
        <w:ind w:firstLine="8"/>
        <w:spacing w:after="0" w:line="257" w:lineRule="auto"/>
        <w:tabs>
          <w:tab w:leader="none" w:pos="46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Severance Plan Benefits</w:t>
      </w:r>
      <w:r>
        <w:rPr>
          <w:rFonts w:ascii="Arial" w:cs="Arial" w:eastAsia="Arial" w:hAnsi="Arial"/>
          <w:sz w:val="18"/>
          <w:szCs w:val="18"/>
          <w:color w:val="auto"/>
        </w:rPr>
        <w:t>. In the event the Participant’s employment terminates in circumstances as to which the Participant is entitled to severance benefits pursuant to a Pre-CIC Severance Plan, the Participant shall be treated for purposes of the Award as though the Participant Retired on the Participant’s Separation Date and Section 8(c) shall apply; provided, however, that if any Stock Units subject to the Award would (before taking this paragraph into consideration) also be subject to accelerated vesting pursuant to Section 8(b) or 8(c) above, the Stock Units shall be subject to accelerated vesting pursuant to the section (Section 8(b) or 8(c) above) that would otherwise apply in the circumstances.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event the Participant’s employment terminates in circumstances as to which the Participant is entitled to severance benefits pursuant to a CIC Severance Plan, the extent to which the Award vests will be determined in accordance with the applicable provisions of the CIC Severance Plan. If the Stock Units subject to the Award would (before taking this paragraph into consideration) also be subject to accelerated vesting pursuant to the immediately preceding paragraph or Section 8(b) or 8(c) above, this paragraph (and not the immediately preceding paragraph or Section 8(b) or 8(c) above) shall apply; provided, however, that if the Participant does not satisfy any applicable conditions to severance benefits set forth in the applicable CIC Severance Plan, then the Participant shall remain entitled to any accelerated vesting that would otherwise apply pursuant to Section 8(b) or 8(c) above, as applicable.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clarity, any accelerated or additional vesting contemplated by this Section 8(e), whether with respect to a Pre-CIC Severance Plan or a CIC Severance Plan, is subject to the Participant satisfying any applicable conditions to severance benefits set forth in the applicable Pre-CIC Severance Plan or CIC Severance Plan (such as, without limitation, any eligibility and release requirements).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treatment of the Award in any circumstances as to which the Participant is entitled to severance benefits pursuant to a Pre-CIC Severance Plan (including, without limitation, the extent (if any) to which the Award vests or accelerates in such circumstances as well as the timing of payment of the Award), and the timing of payment of the Award in any circumstances as to which the Participant is entitled to severance benefits pursuant to a CIC Severance Plan, shall be governed by this Award Agreement and not by the Pre-CIC Severance Plan or CIC Severance Plan, as the case may be. As to the Award, this Award Agreement controls in the event of any inconsistency or conflict with a Pre-CIC Severance Plan or CIC Severance Plan, and to that extent this Award Agreement amends any applicable Pre-CIC Severance Plan or CIC Severance Plan as to the Award.</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Administrator may accelerate the vesting of the Stock Units in such circumstances as it, in its sole discretion, may determine; provided that the time of payment of the Stock Units as otherwise set forth herein may not be changed.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Withholding Taxes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Upon or in connection with the crediting, vesting or payment of Stock Units, or any other time when tax withholding may be required with respect to the Award,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 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but only to the extent consistent with Treas. Reg. Section 1.409A-3(j)(4)(vi), reduce the number of Stock Units remaining subject to the</w:t>
      </w:r>
    </w:p>
    <w:p>
      <w:pPr>
        <w:sectPr>
          <w:pgSz w:w="11900" w:h="16838" w:orient="portrait"/>
          <w:cols w:equalWidth="0" w:num="1">
            <w:col w:w="11420"/>
          </w:cols>
          <w:pgMar w:left="240" w:top="368" w:right="239" w:bottom="1440" w:gutter="0" w:footer="0" w:header="0"/>
        </w:sectPr>
      </w:pPr>
    </w:p>
    <w:bookmarkStart w:id="107" w:name="page108"/>
    <w:bookmarkEnd w:id="107"/>
    <w:p>
      <w:pPr>
        <w:jc w:val="both"/>
        <w:spacing w:after="0" w:line="277" w:lineRule="auto"/>
        <w:rPr>
          <w:sz w:val="20"/>
          <w:szCs w:val="20"/>
          <w:color w:val="auto"/>
        </w:rPr>
      </w:pPr>
      <w:r>
        <w:rPr>
          <w:rFonts w:ascii="Arial" w:cs="Arial" w:eastAsia="Arial" w:hAnsi="Arial"/>
          <w:sz w:val="18"/>
          <w:szCs w:val="18"/>
          <w:color w:val="auto"/>
        </w:rPr>
        <w:t>Award, with each such Stock Unit to have a value for such purpose equal to the then fair market value of a share of Common Stock, to satisfy such withholding obligation at the applicable withholding rates.</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w:t>
      </w:r>
      <w:r>
        <w:rPr>
          <w:rFonts w:ascii="Arial" w:cs="Arial" w:eastAsia="Arial" w:hAnsi="Arial"/>
          <w:sz w:val="17"/>
          <w:szCs w:val="17"/>
          <w:i w:val="1"/>
          <w:iCs w:val="1"/>
          <w:color w:val="auto"/>
        </w:rPr>
        <w:t>i.e.</w:t>
      </w:r>
      <w:r>
        <w:rPr>
          <w:rFonts w:ascii="Arial" w:cs="Arial" w:eastAsia="Arial" w:hAnsi="Arial"/>
          <w:sz w:val="17"/>
          <w:szCs w:val="17"/>
          <w:color w:val="auto"/>
        </w:rPr>
        <w:t>, upon the termination of a Stock Unit), or (b) transfers by will or the laws of descent and distribution.</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 Right to Employment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Rights as a Stockholder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Arbitration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(“Covered Claims”), shall be resolved in accordance with the terms and conditions of the Western Digital Technologies, Inc. Dispute Resolution Agreement (the “DRA”). If, however, Participant has opted out of the DRA pursuant to Section 3.3 of the DRA, any Covered Claims by Corporation or Participant shall be submitted to arbitration pursuant to this Section 15. Such arbitration shall be held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Except as otherwise stated herein, this Section 15 also requires arbitration of any disputes concerning the enforceability, interpretation, and/or implementation of this Section 15 and the arbitrability of any</w:t>
      </w:r>
    </w:p>
    <w:p>
      <w:pPr>
        <w:sectPr>
          <w:pgSz w:w="11900" w:h="16838" w:orient="portrait"/>
          <w:cols w:equalWidth="0" w:num="1">
            <w:col w:w="11420"/>
          </w:cols>
          <w:pgMar w:left="240" w:top="368" w:right="239" w:bottom="1440" w:gutter="0" w:footer="0" w:header="0"/>
        </w:sectPr>
      </w:pPr>
    </w:p>
    <w:bookmarkStart w:id="108" w:name="page109"/>
    <w:bookmarkEnd w:id="108"/>
    <w:p>
      <w:pPr>
        <w:jc w:val="both"/>
        <w:spacing w:after="0" w:line="267" w:lineRule="auto"/>
        <w:rPr>
          <w:sz w:val="20"/>
          <w:szCs w:val="20"/>
          <w:color w:val="auto"/>
        </w:rPr>
      </w:pPr>
      <w:r>
        <w:rPr>
          <w:rFonts w:ascii="Arial" w:cs="Arial" w:eastAsia="Arial" w:hAnsi="Arial"/>
          <w:sz w:val="17"/>
          <w:szCs w:val="17"/>
          <w:color w:val="auto"/>
        </w:rPr>
        <w:t>claims brought hereunder, which shall also be decided by an arbitrator. To the fullest extent permitted by applicable law, Participant and Corporation agree to bring any Covered Claims on an individual basis only, and not on a class, collective, joint, or representative basis. If, however, the preceding sentence be determined invalid or unenforceable with respect to any particular Covered Claim, than that Covered Claim will not proceed in arbitration but rather will be resolved in a court of competent jurisdiction. If that occurs, however, this Section 15 will still be fully enforceable as to all other Covered Claims, which must be resolved in arbitration on an individual basis. Any arbitrable claims in arbitration will be resolved first and the parties agree to seek a stay of any non-arbitrable claims until the full completion of the arbitral process. Any claim that the requirement in this Section 15 that Covered Claims be arbitrated on an individual basis only is invalid, unenforceable, unconscionable, void or voidable may be determined only by a court of competent jurisdiction and not by an Arbitrator. Final resolution of any dispute through arbitration may include any and all remedies that may be obtained in a court. Statutes of limitation for Covered Claims submitted to arbitration under this Section 15 shall be the same as they would be if those claims were brought in court.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Corporation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arbitrator may not award attorneys’ fees to a party that would not otherwise be entitled to such an award under the applicable statute. The parties acknowledge and agree that they are hereby waiving any rights to trial by jury in any action, proceeding or counterclaim brought by either of the parties against the other in connection with any matter whatsoever arising out of or in any way connected with any Covered Claim(s), either by virtue of Participant’s acceptance without opting out of the DRA or, if Participant did opt out of the DRA, by virtue of the provisions of this Section 15.</w:t>
      </w:r>
    </w:p>
    <w:p>
      <w:pPr>
        <w:spacing w:after="0" w:line="18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Except as otherwise provided by Section 15, if the arbitrator selected in accordance with Section 15 above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except as otherwise provided by Section 15, it is the parties’ intent that any order striking any portion of this Award Agreement and/or the Plan should modify the stricken terms as narrowly as possible to give as much effect as possible to the intentions of the parties hereunder.</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Award Agreement (including these Standard Terms) and the Plan together constitute the entire agreement and supersede all prior understandings and agreements, written or oral, of the parties hereto with respect to the subject matter hereof. However, this Award Agreement shall not supersede or in any way affect the DRA, which shall remain in full force and effect, unless Participant opted out of the DRA pursuant to the provisions therein.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ectPr>
          <w:pgSz w:w="11900" w:h="16838" w:orient="portrait"/>
          <w:cols w:equalWidth="0" w:num="1">
            <w:col w:w="11420"/>
          </w:cols>
          <w:pgMar w:left="240" w:top="368" w:right="239" w:bottom="1440" w:gutter="0" w:footer="0" w:header="0"/>
        </w:sectPr>
      </w:pPr>
    </w:p>
    <w:bookmarkStart w:id="109" w:name="page110"/>
    <w:bookmarkEnd w:id="109"/>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Appendix</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Award shall be subject to any additional terms and conditions for non-U.S. employees set forth in Appendix A attached hereto (“Appendix A”) and any terms and conditions for the Participant’s country set forth in Appendix B 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Imposition of Other Requirements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No Advice Regarding Grant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ectPr>
          <w:pgSz w:w="11900" w:h="16838" w:orient="portrait"/>
          <w:cols w:equalWidth="0" w:num="1">
            <w:col w:w="11420"/>
          </w:cols>
          <w:pgMar w:left="240" w:top="364"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ADDITIONAL TERMS AND CONDITIONS OF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EMPLOYEES</w:t>
      </w:r>
    </w:p>
    <w:p>
      <w:pPr>
        <w:spacing w:after="0" w:line="229" w:lineRule="exact"/>
        <w:rPr>
          <w:sz w:val="20"/>
          <w:szCs w:val="20"/>
          <w:color w:val="auto"/>
        </w:rPr>
      </w:pPr>
    </w:p>
    <w:p>
      <w:pPr>
        <w:ind w:left="1480" w:hanging="338"/>
        <w:spacing w:after="0"/>
        <w:tabs>
          <w:tab w:leader="none" w:pos="1480" w:val="left"/>
        </w:tabs>
        <w:numPr>
          <w:ilvl w:val="0"/>
          <w:numId w:val="59"/>
        </w:numPr>
        <w:rPr>
          <w:rFonts w:ascii="Arial" w:cs="Arial" w:eastAsia="Arial" w:hAnsi="Arial"/>
          <w:sz w:val="22"/>
          <w:szCs w:val="22"/>
          <w:b w:val="1"/>
          <w:bCs w:val="1"/>
          <w:color w:val="auto"/>
        </w:rPr>
      </w:pPr>
      <w:r>
        <w:rPr>
          <w:rFonts w:ascii="Arial" w:cs="Arial" w:eastAsia="Arial" w:hAnsi="Arial"/>
          <w:sz w:val="18"/>
          <w:szCs w:val="18"/>
          <w:b w:val="1"/>
          <w:bCs w:val="1"/>
          <w:color w:val="auto"/>
        </w:rPr>
        <w:t>Terms of Plan Participation for Non-U.S. Participants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Arial" w:cs="Arial" w:eastAsia="Arial" w:hAnsi="Arial"/>
          <w:sz w:val="16"/>
          <w:szCs w:val="16"/>
          <w:i w:val="1"/>
          <w:iCs w:val="1"/>
          <w:color w:val="auto"/>
        </w:rPr>
        <w:t>Capitalized terms used but not defined in this Appendix A shall have the same meanings assigned to them in the Plan and/or Award Agreement.</w:t>
      </w:r>
    </w:p>
    <w:p>
      <w:pPr>
        <w:spacing w:after="0" w:line="172" w:lineRule="exact"/>
        <w:rPr>
          <w:sz w:val="20"/>
          <w:szCs w:val="20"/>
          <w:color w:val="auto"/>
        </w:rPr>
      </w:pPr>
    </w:p>
    <w:p>
      <w:pPr>
        <w:ind w:left="1480" w:hanging="338"/>
        <w:spacing w:after="0"/>
        <w:tabs>
          <w:tab w:leader="none" w:pos="1480" w:val="left"/>
        </w:tabs>
        <w:numPr>
          <w:ilvl w:val="0"/>
          <w:numId w:val="60"/>
        </w:numPr>
        <w:rPr>
          <w:rFonts w:ascii="Arial" w:cs="Arial" w:eastAsia="Arial" w:hAnsi="Arial"/>
          <w:sz w:val="22"/>
          <w:szCs w:val="22"/>
          <w:b w:val="1"/>
          <w:bCs w:val="1"/>
          <w:color w:val="auto"/>
        </w:rPr>
      </w:pPr>
      <w:r>
        <w:rPr>
          <w:rFonts w:ascii="Arial" w:cs="Arial" w:eastAsia="Arial" w:hAnsi="Arial"/>
          <w:sz w:val="18"/>
          <w:szCs w:val="18"/>
          <w:b w:val="1"/>
          <w:bCs w:val="1"/>
          <w:color w:val="auto"/>
        </w:rPr>
        <w:t>Withholding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10 of the Standard Terms: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Award and legally applicable to the Participant (“Tax-Related Items”)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Stock Units, including, but not limited to, the grant, vesting or settlement of the Stock Units, the subsequent sale of shares of Common Stock acquired pursuant to such settlement and the receipt of any dividends and/or any dividend equivalents; and (b) do not commit to and are under no obligation to structure the terms of the grant or any aspect of the Stock Units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and Section 10 of the Standard Terms. In addition, the Participant authorizes withholding from proceeds of the sale of shares of Common Stock acquired upon settlement of the Stock Units either through a voluntary sale or through a mandatory sale arranged by the Corporation (on the Participant’s behalf pursuant to this authorization without further consent). If the Participant is subject to Section 16 of the Exchange Act, then withholding for Tax-Related Items shall be satisfied in accordance with Section 8.5 of the Plan, Section 10 of the Standard Terms, and the withholding methodology approved by the Administrator for officers subject to Section 16 of the Exchange Act.</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Depending on the withholding method, the Corporation and/or the Employer may withhold or account for Tax-Related Items by considering applicable minimum withholding amounts or other applicable withholding rates, including maximum applicable rates in the Participant's jurisdiction(s), in which case the Participant may receive a refund of any over-withheld amount in cash and will have no entitlement to the equivalent in Common Stock. If the Tax-Related Items are satisfied by withholding in shares of Common Stock, for tax purposes, the Participant is deemed to have been issued the full number of shares subject to the vested Stock Units, notwithstanding that a number of the Shares are held back solely for the purpose of paying the Tax-Related Items.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 Corporation may refuse</w:t>
      </w:r>
    </w:p>
    <w:p>
      <w:pPr>
        <w:sectPr>
          <w:pgSz w:w="11900" w:h="16838" w:orient="portrait"/>
          <w:cols w:equalWidth="0" w:num="1">
            <w:col w:w="11420"/>
          </w:cols>
          <w:pgMar w:left="240" w:top="580" w:right="239" w:bottom="1440" w:gutter="0" w:footer="0" w:header="0"/>
        </w:sectPr>
      </w:pPr>
    </w:p>
    <w:bookmarkStart w:id="111" w:name="page112"/>
    <w:bookmarkEnd w:id="111"/>
    <w:p>
      <w:pPr>
        <w:spacing w:after="0" w:line="277" w:lineRule="auto"/>
        <w:rPr>
          <w:sz w:val="20"/>
          <w:szCs w:val="20"/>
          <w:color w:val="auto"/>
        </w:rPr>
      </w:pPr>
      <w:r>
        <w:rPr>
          <w:rFonts w:ascii="Arial" w:cs="Arial" w:eastAsia="Arial" w:hAnsi="Arial"/>
          <w:sz w:val="18"/>
          <w:szCs w:val="18"/>
          <w:color w:val="auto"/>
        </w:rPr>
        <w:t>to issue or deliver the shares of Common Stock or the proceeds from the sale of shares if the Participant fails to comply with the Participant’s obligations in connection with the Tax-Related Items.</w:t>
      </w:r>
    </w:p>
    <w:p>
      <w:pPr>
        <w:spacing w:after="0" w:line="188" w:lineRule="exact"/>
        <w:rPr>
          <w:sz w:val="20"/>
          <w:szCs w:val="20"/>
          <w:color w:val="auto"/>
        </w:rPr>
      </w:pPr>
    </w:p>
    <w:p>
      <w:pPr>
        <w:ind w:left="1480" w:hanging="338"/>
        <w:spacing w:after="0"/>
        <w:tabs>
          <w:tab w:leader="none" w:pos="1480" w:val="left"/>
        </w:tabs>
        <w:numPr>
          <w:ilvl w:val="0"/>
          <w:numId w:val="61"/>
        </w:numPr>
        <w:rPr>
          <w:rFonts w:ascii="Arial" w:cs="Arial" w:eastAsia="Arial" w:hAnsi="Arial"/>
          <w:sz w:val="22"/>
          <w:szCs w:val="22"/>
          <w:b w:val="1"/>
          <w:bCs w:val="1"/>
          <w:color w:val="auto"/>
        </w:rPr>
      </w:pPr>
      <w:r>
        <w:rPr>
          <w:rFonts w:ascii="Arial" w:cs="Arial" w:eastAsia="Arial" w:hAnsi="Arial"/>
          <w:sz w:val="18"/>
          <w:szCs w:val="18"/>
          <w:b w:val="1"/>
          <w:bCs w:val="1"/>
          <w:color w:val="auto"/>
        </w:rPr>
        <w:t>Nature of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Stock Units and any shares of Common Stock, the Participant acknowledges, understands and agrees that:</w:t>
      </w:r>
    </w:p>
    <w:p>
      <w:pPr>
        <w:spacing w:after="0" w:line="252" w:lineRule="exact"/>
        <w:rPr>
          <w:sz w:val="20"/>
          <w:szCs w:val="20"/>
          <w:color w:val="auto"/>
        </w:rPr>
      </w:pPr>
    </w:p>
    <w:p>
      <w:pPr>
        <w:ind w:firstLine="1305"/>
        <w:spacing w:after="0" w:line="324" w:lineRule="auto"/>
        <w:tabs>
          <w:tab w:leader="none" w:pos="1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70" w:lineRule="exact"/>
        <w:rPr>
          <w:rFonts w:ascii="Arial" w:cs="Arial" w:eastAsia="Arial" w:hAnsi="Arial"/>
          <w:sz w:val="18"/>
          <w:szCs w:val="18"/>
          <w:color w:val="auto"/>
        </w:rPr>
      </w:pPr>
    </w:p>
    <w:p>
      <w:pPr>
        <w:ind w:firstLine="1305"/>
        <w:spacing w:after="0" w:line="324" w:lineRule="auto"/>
        <w:tabs>
          <w:tab w:leader="none" w:pos="18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grant of the Stock Units is exceptional, voluntary and occasional and does not create any contractual or other right to receive future grants of Stock Units, or benefits in lieu of Stock Units, even if Stock Units have been granted in the past;</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decisions with respect to future Stock Units or other grants, if any, will be at the sole discretion of the Corporation;</w:t>
      </w:r>
    </w:p>
    <w:p>
      <w:pPr>
        <w:spacing w:after="0" w:line="265" w:lineRule="exact"/>
        <w:rPr>
          <w:rFonts w:ascii="Arial" w:cs="Arial" w:eastAsia="Arial" w:hAnsi="Arial"/>
          <w:sz w:val="18"/>
          <w:szCs w:val="18"/>
          <w:color w:val="auto"/>
        </w:rPr>
      </w:pPr>
    </w:p>
    <w:p>
      <w:pPr>
        <w:ind w:left="1840" w:hanging="535"/>
        <w:spacing w:after="0"/>
        <w:tabs>
          <w:tab w:leader="none" w:pos="1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Participant is voluntary participating in the Plan;</w:t>
      </w:r>
    </w:p>
    <w:p>
      <w:pPr>
        <w:spacing w:after="0" w:line="265" w:lineRule="exact"/>
        <w:rPr>
          <w:rFonts w:ascii="Arial" w:cs="Arial" w:eastAsia="Arial" w:hAnsi="Arial"/>
          <w:sz w:val="18"/>
          <w:szCs w:val="18"/>
          <w:color w:val="auto"/>
        </w:rPr>
      </w:pPr>
    </w:p>
    <w:p>
      <w:pPr>
        <w:ind w:right="20" w:firstLine="1305"/>
        <w:spacing w:after="0" w:line="324" w:lineRule="auto"/>
        <w:tabs>
          <w:tab w:leader="none" w:pos="1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intended to replace any pension rights or compensation;</w:t>
      </w:r>
    </w:p>
    <w:p>
      <w:pPr>
        <w:spacing w:after="0" w:line="170" w:lineRule="exact"/>
        <w:rPr>
          <w:rFonts w:ascii="Arial" w:cs="Arial" w:eastAsia="Arial" w:hAnsi="Arial"/>
          <w:sz w:val="18"/>
          <w:szCs w:val="18"/>
          <w:color w:val="auto"/>
        </w:rPr>
      </w:pPr>
    </w:p>
    <w:p>
      <w:pPr>
        <w:jc w:val="both"/>
        <w:ind w:firstLine="1305"/>
        <w:spacing w:after="0" w:line="304"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188" w:lineRule="exact"/>
        <w:rPr>
          <w:rFonts w:ascii="Arial" w:cs="Arial" w:eastAsia="Arial" w:hAnsi="Arial"/>
          <w:sz w:val="18"/>
          <w:szCs w:val="18"/>
          <w:color w:val="auto"/>
        </w:rPr>
      </w:pPr>
    </w:p>
    <w:p>
      <w:pPr>
        <w:ind w:left="1840" w:hanging="535"/>
        <w:spacing w:after="0"/>
        <w:tabs>
          <w:tab w:leader="none" w:pos="1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Stock Units is unknown, indeterminable, and cannot be predicted</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certainty;</w:t>
      </w:r>
    </w:p>
    <w:p>
      <w:pPr>
        <w:spacing w:after="0" w:line="265" w:lineRule="exact"/>
        <w:rPr>
          <w:rFonts w:ascii="Arial" w:cs="Arial" w:eastAsia="Arial" w:hAnsi="Arial"/>
          <w:sz w:val="16"/>
          <w:szCs w:val="16"/>
          <w:color w:val="auto"/>
        </w:rPr>
      </w:pPr>
    </w:p>
    <w:p>
      <w:pPr>
        <w:ind w:right="20" w:firstLine="1305"/>
        <w:spacing w:after="0" w:line="395" w:lineRule="auto"/>
        <w:tabs>
          <w:tab w:leader="none" w:pos="183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unless otherwise agreed with the Corporation, the Stock Units and the shares of Common Stock acquired under the Plan, and the income and value of same, are not granted as consideration for, or in connection with, the service the Participant may provide as a director of any Subsidiary;</w:t>
      </w:r>
    </w:p>
    <w:p>
      <w:pPr>
        <w:spacing w:after="0" w:line="123" w:lineRule="exact"/>
        <w:rPr>
          <w:rFonts w:ascii="Arial" w:cs="Arial" w:eastAsia="Arial" w:hAnsi="Arial"/>
          <w:sz w:val="16"/>
          <w:szCs w:val="16"/>
          <w:color w:val="auto"/>
        </w:rPr>
      </w:pPr>
    </w:p>
    <w:p>
      <w:pPr>
        <w:jc w:val="both"/>
        <w:ind w:firstLine="1305"/>
        <w:spacing w:after="0" w:line="336" w:lineRule="auto"/>
        <w:tabs>
          <w:tab w:leader="none" w:pos="1791"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Stock Units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64" w:lineRule="exact"/>
        <w:rPr>
          <w:rFonts w:ascii="Arial" w:cs="Arial" w:eastAsia="Arial" w:hAnsi="Arial"/>
          <w:sz w:val="17"/>
          <w:szCs w:val="17"/>
          <w:color w:val="auto"/>
        </w:rPr>
      </w:pPr>
    </w:p>
    <w:p>
      <w:pPr>
        <w:jc w:val="both"/>
        <w:ind w:firstLine="1305"/>
        <w:spacing w:after="0" w:line="311" w:lineRule="auto"/>
        <w:tabs>
          <w:tab w:leader="none" w:pos="1791"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Corporation in its discretion, the Stock Units and the benefits evidenced by the Award Agreement do not create any entitlement to have the Stock Units or any such benefits transferred to, or assumed by, another company nor to be exchanged, cashed out or substituted for, in connection with any corporate transaction affecting the shares; and</w:t>
      </w:r>
    </w:p>
    <w:p>
      <w:pPr>
        <w:spacing w:after="0" w:line="181" w:lineRule="exact"/>
        <w:rPr>
          <w:rFonts w:ascii="Arial" w:cs="Arial" w:eastAsia="Arial" w:hAnsi="Arial"/>
          <w:sz w:val="18"/>
          <w:szCs w:val="18"/>
          <w:color w:val="auto"/>
        </w:rPr>
      </w:pPr>
    </w:p>
    <w:p>
      <w:pPr>
        <w:jc w:val="both"/>
        <w:ind w:firstLine="1305"/>
        <w:spacing w:after="0" w:line="311" w:lineRule="auto"/>
        <w:tabs>
          <w:tab w:leader="none" w:pos="18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Stock Units or of any amounts due to the Participant pursuant to the vesting of the Stock Units or the subsequent sale of any shares of Common Stock acquired upon vesting.</w:t>
      </w:r>
    </w:p>
    <w:p>
      <w:pPr>
        <w:spacing w:after="0" w:line="172" w:lineRule="exact"/>
        <w:rPr>
          <w:sz w:val="20"/>
          <w:szCs w:val="20"/>
          <w:color w:val="auto"/>
        </w:rPr>
      </w:pPr>
    </w:p>
    <w:p>
      <w:pPr>
        <w:ind w:left="1480" w:hanging="338"/>
        <w:spacing w:after="0"/>
        <w:tabs>
          <w:tab w:leader="none" w:pos="1480" w:val="left"/>
        </w:tabs>
        <w:numPr>
          <w:ilvl w:val="0"/>
          <w:numId w:val="63"/>
        </w:numPr>
        <w:rPr>
          <w:rFonts w:ascii="Arial" w:cs="Arial" w:eastAsia="Arial" w:hAnsi="Arial"/>
          <w:sz w:val="22"/>
          <w:szCs w:val="22"/>
          <w:b w:val="1"/>
          <w:bCs w:val="1"/>
          <w:color w:val="auto"/>
        </w:rPr>
      </w:pPr>
      <w:r>
        <w:rPr>
          <w:rFonts w:ascii="Arial" w:cs="Arial" w:eastAsia="Arial" w:hAnsi="Arial"/>
          <w:sz w:val="18"/>
          <w:szCs w:val="18"/>
          <w:b w:val="1"/>
          <w:bCs w:val="1"/>
          <w:color w:val="auto"/>
        </w:rPr>
        <w:t>Data Privacy</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By accepting the Stock Units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w:t>
      </w:r>
    </w:p>
    <w:p>
      <w:pPr>
        <w:sectPr>
          <w:pgSz w:w="11900" w:h="16838" w:orient="portrait"/>
          <w:cols w:equalWidth="0" w:num="1">
            <w:col w:w="11420"/>
          </w:cols>
          <w:pgMar w:left="240" w:top="368" w:right="239" w:bottom="1440" w:gutter="0" w:footer="0" w:header="0"/>
        </w:sectPr>
      </w:pPr>
    </w:p>
    <w:bookmarkStart w:id="112" w:name="page113"/>
    <w:bookmarkEnd w:id="112"/>
    <w:p>
      <w:pPr>
        <w:spacing w:after="0" w:line="277" w:lineRule="auto"/>
        <w:rPr>
          <w:sz w:val="20"/>
          <w:szCs w:val="20"/>
          <w:color w:val="auto"/>
        </w:rPr>
      </w:pPr>
      <w:r>
        <w:rPr>
          <w:rFonts w:ascii="Arial" w:cs="Arial" w:eastAsia="Arial" w:hAnsi="Arial"/>
          <w:sz w:val="18"/>
          <w:szCs w:val="18"/>
          <w:b w:val="1"/>
          <w:bCs w:val="1"/>
          <w:i w:val="1"/>
          <w:iCs w:val="1"/>
          <w:color w:val="auto"/>
        </w:rPr>
        <w:t>mentioned herein, including recipients located in countries which do not adduce an adequate level of protection from a European (or other non-U.S.) data protection law perspective, for the purposes described herein.</w:t>
      </w:r>
    </w:p>
    <w:p>
      <w:pPr>
        <w:spacing w:after="0" w:line="197" w:lineRule="exact"/>
        <w:rPr>
          <w:sz w:val="20"/>
          <w:szCs w:val="20"/>
          <w:color w:val="auto"/>
        </w:rPr>
      </w:pPr>
    </w:p>
    <w:p>
      <w:pPr>
        <w:jc w:val="both"/>
        <w:ind w:firstLine="1305"/>
        <w:spacing w:after="0" w:line="304" w:lineRule="auto"/>
        <w:tabs>
          <w:tab w:leader="none" w:pos="2155"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Declaration of Consent</w:t>
      </w:r>
      <w:r>
        <w:rPr>
          <w:rFonts w:ascii="Arial" w:cs="Arial" w:eastAsia="Arial" w:hAnsi="Arial"/>
          <w:sz w:val="18"/>
          <w:szCs w:val="18"/>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Stock Unit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88" w:lineRule="exact"/>
        <w:rPr>
          <w:rFonts w:ascii="Arial" w:cs="Arial" w:eastAsia="Arial" w:hAnsi="Arial"/>
          <w:sz w:val="18"/>
          <w:szCs w:val="18"/>
          <w:b w:val="1"/>
          <w:bCs w:val="1"/>
          <w:i w:val="1"/>
          <w:iCs w:val="1"/>
          <w:color w:val="auto"/>
        </w:rPr>
      </w:pPr>
    </w:p>
    <w:p>
      <w:pPr>
        <w:jc w:val="both"/>
        <w:ind w:firstLine="1305"/>
        <w:spacing w:after="0" w:line="322" w:lineRule="auto"/>
        <w:tabs>
          <w:tab w:leader="none" w:pos="2155" w:val="left"/>
        </w:tabs>
        <w:numPr>
          <w:ilvl w:val="0"/>
          <w:numId w:val="6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Data Processing and Legal Basis</w:t>
      </w:r>
      <w:r>
        <w:rPr>
          <w:rFonts w:ascii="Arial" w:cs="Arial" w:eastAsia="Arial" w:hAnsi="Arial"/>
          <w:sz w:val="17"/>
          <w:szCs w:val="17"/>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Stock Units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76" w:lineRule="exact"/>
        <w:rPr>
          <w:rFonts w:ascii="Arial" w:cs="Arial" w:eastAsia="Arial" w:hAnsi="Arial"/>
          <w:sz w:val="17"/>
          <w:szCs w:val="17"/>
          <w:b w:val="1"/>
          <w:bCs w:val="1"/>
          <w:i w:val="1"/>
          <w:iCs w:val="1"/>
          <w:color w:val="auto"/>
        </w:rPr>
      </w:pPr>
    </w:p>
    <w:p>
      <w:pPr>
        <w:jc w:val="both"/>
        <w:ind w:firstLine="1305"/>
        <w:spacing w:after="0" w:line="370" w:lineRule="auto"/>
        <w:tabs>
          <w:tab w:leader="none" w:pos="2144" w:val="left"/>
        </w:tabs>
        <w:numPr>
          <w:ilvl w:val="0"/>
          <w:numId w:val="6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acquired under the Plan and that the Participant will be asked to agree on separate terms and data processing practices with the service provider, which is a condition of the Participant’s ability to participate in the Plan.</w:t>
      </w:r>
    </w:p>
    <w:p>
      <w:pPr>
        <w:spacing w:after="0" w:line="150" w:lineRule="exact"/>
        <w:rPr>
          <w:rFonts w:ascii="Arial" w:cs="Arial" w:eastAsia="Arial" w:hAnsi="Arial"/>
          <w:sz w:val="15"/>
          <w:szCs w:val="15"/>
          <w:b w:val="1"/>
          <w:bCs w:val="1"/>
          <w:i w:val="1"/>
          <w:iCs w:val="1"/>
          <w:color w:val="auto"/>
        </w:rPr>
      </w:pPr>
    </w:p>
    <w:p>
      <w:pPr>
        <w:jc w:val="both"/>
        <w:ind w:firstLine="1305"/>
        <w:spacing w:after="0" w:line="340" w:lineRule="auto"/>
        <w:tabs>
          <w:tab w:leader="none" w:pos="2155" w:val="left"/>
        </w:tabs>
        <w:numPr>
          <w:ilvl w:val="0"/>
          <w:numId w:val="6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Otherwise, transfers of personal data from the EU to the United States can be made on the basis of Standard Contractual Clauses approved by the European Commission or other appropriate safeguards permissible under the applicable law. If the Participant is located in the EU or EEA,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67" w:lineRule="exact"/>
        <w:rPr>
          <w:rFonts w:ascii="Arial" w:cs="Arial" w:eastAsia="Arial" w:hAnsi="Arial"/>
          <w:sz w:val="16"/>
          <w:szCs w:val="16"/>
          <w:b w:val="1"/>
          <w:bCs w:val="1"/>
          <w:i w:val="1"/>
          <w:iCs w:val="1"/>
          <w:color w:val="auto"/>
        </w:rPr>
      </w:pPr>
    </w:p>
    <w:p>
      <w:pPr>
        <w:jc w:val="both"/>
        <w:ind w:firstLine="1305"/>
        <w:spacing w:after="0" w:line="346" w:lineRule="auto"/>
        <w:tabs>
          <w:tab w:leader="none" w:pos="2144" w:val="left"/>
        </w:tabs>
        <w:numPr>
          <w:ilvl w:val="0"/>
          <w:numId w:val="6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xml:space="preserve"> The Participant understands that the Corporation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Corporation’s legal basis for the processing of the Participant’s Personal Data would be compliance with the relevant laws or regulations or the pursuit by the Corporation of respective legitimate interests not outweighed by the Participant’s interests, rights or freedoms. When the Corporation no longer needs the Participant’s Personal Data for any of the above purposes, the Participant understands the Corporation will remove it from its systems.</w:t>
      </w:r>
    </w:p>
    <w:p>
      <w:pPr>
        <w:sectPr>
          <w:pgSz w:w="11900" w:h="16838" w:orient="portrait"/>
          <w:cols w:equalWidth="0" w:num="1">
            <w:col w:w="11420"/>
          </w:cols>
          <w:pgMar w:left="240" w:top="368" w:right="239" w:bottom="1440" w:gutter="0" w:footer="0" w:header="0"/>
        </w:sectPr>
      </w:pPr>
    </w:p>
    <w:bookmarkStart w:id="113" w:name="page114"/>
    <w:bookmarkEnd w:id="113"/>
    <w:p>
      <w:pPr>
        <w:jc w:val="both"/>
        <w:ind w:firstLine="1305"/>
        <w:spacing w:after="0" w:line="322" w:lineRule="auto"/>
        <w:tabs>
          <w:tab w:leader="none" w:pos="2125" w:val="left"/>
        </w:tabs>
        <w:numPr>
          <w:ilvl w:val="1"/>
          <w:numId w:val="6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Voluntariness and Consequences of Denial/Withdrawal of Consent</w:t>
      </w:r>
      <w:r>
        <w:rPr>
          <w:rFonts w:ascii="Arial" w:cs="Arial" w:eastAsia="Arial" w:hAnsi="Arial"/>
          <w:sz w:val="17"/>
          <w:szCs w:val="17"/>
          <w:b w:val="1"/>
          <w:bCs w:val="1"/>
          <w:i w:val="1"/>
          <w:iCs w:val="1"/>
          <w:color w:val="auto"/>
        </w:rPr>
        <w:t>. The Participant understands that the Participant’s participation in the Plan and the Participant’s grant of consent is purely voluntary. The Participant may deny or later withdraw the Participant’s consent at any time, with future effect and for any or no reason. If the Participant denies or later withdraws the Participant’s consent, the Corporation can no longer offer the Participant participation in the Plan or offer other awards to the Participant or administer or maintain such awards and the Participant would no longer be able to participate in the Plan. The Participant further understands that denial or withdrawal of the Participant’s consent would not affect the Participant’s status or salary as an employee or the Participant’s career and that the Participant would merely forfeit the opportunities associated with the Plan.</w:t>
      </w:r>
    </w:p>
    <w:p>
      <w:pPr>
        <w:spacing w:after="0" w:line="176" w:lineRule="exact"/>
        <w:rPr>
          <w:rFonts w:ascii="Arial" w:cs="Arial" w:eastAsia="Arial" w:hAnsi="Arial"/>
          <w:sz w:val="17"/>
          <w:szCs w:val="17"/>
          <w:b w:val="1"/>
          <w:bCs w:val="1"/>
          <w:i w:val="1"/>
          <w:iCs w:val="1"/>
          <w:color w:val="auto"/>
        </w:rPr>
      </w:pPr>
    </w:p>
    <w:p>
      <w:pPr>
        <w:jc w:val="both"/>
        <w:ind w:firstLine="1305"/>
        <w:spacing w:after="0" w:line="357" w:lineRule="auto"/>
        <w:tabs>
          <w:tab w:leader="none" w:pos="2155" w:val="left"/>
        </w:tabs>
        <w:numPr>
          <w:ilvl w:val="1"/>
          <w:numId w:val="6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w:t>
      </w:r>
    </w:p>
    <w:p>
      <w:pPr>
        <w:jc w:val="both"/>
        <w:ind w:firstLine="8"/>
        <w:spacing w:after="0" w:line="323" w:lineRule="auto"/>
        <w:tabs>
          <w:tab w:leader="none" w:pos="247" w:val="left"/>
        </w:tabs>
        <w:numPr>
          <w:ilvl w:val="0"/>
          <w:numId w:val="6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77" w:lineRule="exact"/>
        <w:rPr>
          <w:rFonts w:ascii="Arial" w:cs="Arial" w:eastAsia="Arial" w:hAnsi="Arial"/>
          <w:sz w:val="17"/>
          <w:szCs w:val="17"/>
          <w:b w:val="1"/>
          <w:bCs w:val="1"/>
          <w:i w:val="1"/>
          <w:iCs w:val="1"/>
          <w:color w:val="auto"/>
        </w:rPr>
      </w:pPr>
    </w:p>
    <w:p>
      <w:pPr>
        <w:jc w:val="both"/>
        <w:ind w:firstLine="1305"/>
        <w:spacing w:after="0" w:line="322" w:lineRule="auto"/>
        <w:tabs>
          <w:tab w:leader="none" w:pos="2165" w:val="left"/>
        </w:tabs>
        <w:numPr>
          <w:ilvl w:val="1"/>
          <w:numId w:val="66"/>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Alternate Basis and Additional Consents.</w:t>
      </w:r>
      <w:r>
        <w:rPr>
          <w:rFonts w:ascii="Arial" w:cs="Arial" w:eastAsia="Arial" w:hAnsi="Arial"/>
          <w:sz w:val="17"/>
          <w:szCs w:val="17"/>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383" w:lineRule="exact"/>
        <w:rPr>
          <w:sz w:val="20"/>
          <w:szCs w:val="20"/>
          <w:color w:val="auto"/>
        </w:rPr>
      </w:pPr>
    </w:p>
    <w:p>
      <w:pPr>
        <w:ind w:left="1480" w:hanging="338"/>
        <w:spacing w:after="0"/>
        <w:tabs>
          <w:tab w:leader="none" w:pos="1480" w:val="left"/>
        </w:tabs>
        <w:numPr>
          <w:ilvl w:val="0"/>
          <w:numId w:val="67"/>
        </w:numPr>
        <w:rPr>
          <w:rFonts w:ascii="Arial" w:cs="Arial" w:eastAsia="Arial" w:hAnsi="Arial"/>
          <w:sz w:val="22"/>
          <w:szCs w:val="22"/>
          <w:b w:val="1"/>
          <w:bCs w:val="1"/>
          <w:color w:val="auto"/>
        </w:rPr>
      </w:pPr>
      <w:r>
        <w:rPr>
          <w:rFonts w:ascii="Arial" w:cs="Arial" w:eastAsia="Arial" w:hAnsi="Arial"/>
          <w:sz w:val="18"/>
          <w:szCs w:val="18"/>
          <w:b w:val="1"/>
          <w:bCs w:val="1"/>
          <w:color w:val="auto"/>
        </w:rPr>
        <w:t>Electronic Delivery and Acceptance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Stock Units. Further, the Participant agrees to participate in the Plan through an on-line or electronic system established and maintained by the Corporation or by a third party designated by the Corporation.</w:t>
      </w:r>
    </w:p>
    <w:p>
      <w:pPr>
        <w:spacing w:after="0" w:line="200" w:lineRule="exact"/>
        <w:rPr>
          <w:sz w:val="20"/>
          <w:szCs w:val="20"/>
          <w:color w:val="auto"/>
        </w:rPr>
      </w:pPr>
    </w:p>
    <w:p>
      <w:pPr>
        <w:spacing w:after="0" w:line="215" w:lineRule="exact"/>
        <w:rPr>
          <w:sz w:val="20"/>
          <w:szCs w:val="20"/>
          <w:color w:val="auto"/>
        </w:rPr>
      </w:pPr>
    </w:p>
    <w:p>
      <w:pPr>
        <w:ind w:left="1480" w:hanging="338"/>
        <w:spacing w:after="0"/>
        <w:tabs>
          <w:tab w:leader="none" w:pos="1480" w:val="left"/>
        </w:tabs>
        <w:numPr>
          <w:ilvl w:val="0"/>
          <w:numId w:val="68"/>
        </w:numPr>
        <w:rPr>
          <w:rFonts w:ascii="Arial" w:cs="Arial" w:eastAsia="Arial" w:hAnsi="Arial"/>
          <w:sz w:val="22"/>
          <w:szCs w:val="22"/>
          <w:b w:val="1"/>
          <w:bCs w:val="1"/>
          <w:color w:val="auto"/>
        </w:rPr>
      </w:pPr>
      <w:r>
        <w:rPr>
          <w:rFonts w:ascii="Arial" w:cs="Arial" w:eastAsia="Arial" w:hAnsi="Arial"/>
          <w:sz w:val="18"/>
          <w:szCs w:val="18"/>
          <w:b w:val="1"/>
          <w:bCs w:val="1"/>
          <w:color w:val="auto"/>
        </w:rPr>
        <w:t>Insider Trading/ Market Abuse Laws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participating in the Plan, 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8"/>
          <w:szCs w:val="18"/>
          <w:i w:val="1"/>
          <w:iCs w:val="1"/>
          <w:color w:val="auto"/>
        </w:rPr>
        <w:t>e.g.</w:t>
      </w:r>
      <w:r>
        <w:rPr>
          <w:rFonts w:ascii="Arial" w:cs="Arial" w:eastAsia="Arial" w:hAnsi="Arial"/>
          <w:sz w:val="18"/>
          <w:szCs w:val="18"/>
          <w:color w:val="auto"/>
        </w:rPr>
        <w:t>, the Stock Units) or rights linked to the value of Common Stock (</w:t>
      </w:r>
      <w:r>
        <w:rPr>
          <w:rFonts w:ascii="Arial" w:cs="Arial" w:eastAsia="Arial" w:hAnsi="Arial"/>
          <w:sz w:val="18"/>
          <w:szCs w:val="18"/>
          <w:i w:val="1"/>
          <w:iCs w:val="1"/>
          <w:color w:val="auto"/>
        </w:rPr>
        <w:t>e.g.</w:t>
      </w:r>
      <w:r>
        <w:rPr>
          <w:rFonts w:ascii="Arial" w:cs="Arial" w:eastAsia="Arial" w:hAnsi="Arial"/>
          <w:sz w:val="18"/>
          <w:szCs w:val="18"/>
          <w:color w:val="auto"/>
        </w:rPr>
        <w:t>, phantom awards, futures) during such times as the Participant is considered to have “inside information” regarding the Corporation (as defined by the laws or regulations in the Participant’s country). Local</w:t>
      </w:r>
    </w:p>
    <w:p>
      <w:pPr>
        <w:sectPr>
          <w:pgSz w:w="11900" w:h="16838" w:orient="portrait"/>
          <w:cols w:equalWidth="0" w:num="1">
            <w:col w:w="11420"/>
          </w:cols>
          <w:pgMar w:left="240" w:top="395" w:right="239" w:bottom="1440" w:gutter="0" w:footer="0" w:header="0"/>
        </w:sectPr>
      </w:pPr>
    </w:p>
    <w:bookmarkStart w:id="114" w:name="page115"/>
    <w:bookmarkEnd w:id="114"/>
    <w:p>
      <w:pPr>
        <w:jc w:val="both"/>
        <w:spacing w:after="0" w:line="276" w:lineRule="auto"/>
        <w:rPr>
          <w:sz w:val="20"/>
          <w:szCs w:val="20"/>
          <w:color w:val="auto"/>
        </w:rPr>
      </w:pPr>
      <w:r>
        <w:rPr>
          <w:rFonts w:ascii="Arial" w:cs="Arial" w:eastAsia="Arial" w:hAnsi="Arial"/>
          <w:sz w:val="17"/>
          <w:szCs w:val="17"/>
          <w:color w:val="auto"/>
        </w:rPr>
        <w:t>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190" w:lineRule="exact"/>
        <w:rPr>
          <w:sz w:val="20"/>
          <w:szCs w:val="20"/>
          <w:color w:val="auto"/>
        </w:rPr>
      </w:pPr>
    </w:p>
    <w:p>
      <w:pPr>
        <w:ind w:left="1480" w:hanging="338"/>
        <w:spacing w:after="0"/>
        <w:tabs>
          <w:tab w:leader="none" w:pos="1480" w:val="left"/>
        </w:tabs>
        <w:numPr>
          <w:ilvl w:val="0"/>
          <w:numId w:val="69"/>
        </w:numPr>
        <w:rPr>
          <w:rFonts w:ascii="Arial" w:cs="Arial" w:eastAsia="Arial" w:hAnsi="Arial"/>
          <w:sz w:val="22"/>
          <w:szCs w:val="22"/>
          <w:b w:val="1"/>
          <w:bCs w:val="1"/>
          <w:color w:val="auto"/>
        </w:rPr>
      </w:pPr>
      <w:r>
        <w:rPr>
          <w:rFonts w:ascii="Arial" w:cs="Arial" w:eastAsia="Arial" w:hAnsi="Arial"/>
          <w:sz w:val="18"/>
          <w:szCs w:val="18"/>
          <w:b w:val="1"/>
          <w:bCs w:val="1"/>
          <w:color w:val="auto"/>
        </w:rPr>
        <w:t>Exchange Control, Tax and/or Foreign Asset/Account Reporting</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Stock Units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97" w:lineRule="exact"/>
        <w:rPr>
          <w:sz w:val="20"/>
          <w:szCs w:val="20"/>
          <w:color w:val="auto"/>
        </w:rPr>
      </w:pPr>
    </w:p>
    <w:p>
      <w:pPr>
        <w:ind w:left="1480" w:hanging="338"/>
        <w:spacing w:after="0"/>
        <w:tabs>
          <w:tab w:leader="none" w:pos="1480" w:val="left"/>
        </w:tabs>
        <w:numPr>
          <w:ilvl w:val="0"/>
          <w:numId w:val="70"/>
        </w:numPr>
        <w:rPr>
          <w:rFonts w:ascii="Arial" w:cs="Arial" w:eastAsia="Arial" w:hAnsi="Arial"/>
          <w:sz w:val="22"/>
          <w:szCs w:val="22"/>
          <w:b w:val="1"/>
          <w:bCs w:val="1"/>
          <w:color w:val="auto"/>
        </w:rPr>
      </w:pPr>
      <w:r>
        <w:rPr>
          <w:rFonts w:ascii="Arial" w:cs="Arial" w:eastAsia="Arial" w:hAnsi="Arial"/>
          <w:sz w:val="18"/>
          <w:szCs w:val="18"/>
          <w:b w:val="1"/>
          <w:bCs w:val="1"/>
          <w:color w:val="auto"/>
        </w:rPr>
        <w:t>Language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acknowledges that he or she is sufficiently proficient in English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ectPr>
          <w:pgSz w:w="11900" w:h="16838" w:orient="portrait"/>
          <w:cols w:equalWidth="0" w:num="1">
            <w:col w:w="11420"/>
          </w:cols>
          <w:pgMar w:left="240" w:top="368"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SHORT-TERM INCENTIVE PLAN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7, 2019</w:t>
      </w:r>
    </w:p>
    <w:p>
      <w:pPr>
        <w:spacing w:after="0" w:line="254"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46" w:lineRule="exact"/>
        <w:rPr>
          <w:rFonts w:ascii="Arial" w:cs="Arial" w:eastAsia="Arial" w:hAnsi="Arial"/>
          <w:sz w:val="22"/>
          <w:szCs w:val="22"/>
          <w:b w:val="1"/>
          <w:bCs w:val="1"/>
          <w:color w:val="auto"/>
        </w:rPr>
      </w:pPr>
    </w:p>
    <w:p>
      <w:pPr>
        <w:jc w:val="both"/>
        <w:ind w:left="660"/>
        <w:spacing w:after="0" w:line="264" w:lineRule="auto"/>
        <w:rPr>
          <w:rFonts w:ascii="Arial" w:cs="Arial" w:eastAsia="Arial" w:hAnsi="Arial"/>
          <w:sz w:val="22"/>
          <w:szCs w:val="22"/>
          <w:b w:val="1"/>
          <w:bCs w:val="1"/>
          <w:color w:val="auto"/>
        </w:rPr>
      </w:pPr>
      <w:r>
        <w:rPr>
          <w:rFonts w:ascii="Arial" w:cs="Arial" w:eastAsia="Arial" w:hAnsi="Arial"/>
          <w:sz w:val="21"/>
          <w:szCs w:val="21"/>
          <w:color w:val="auto"/>
        </w:rPr>
        <w:t xml:space="preserve">The purpose of this Western Digital Corporation Executive Short-Term Incentive Plan (this </w:t>
      </w:r>
      <w:r>
        <w:rPr>
          <w:rFonts w:ascii="Arial" w:cs="Arial" w:eastAsia="Arial" w:hAnsi="Arial"/>
          <w:sz w:val="21"/>
          <w:szCs w:val="21"/>
          <w:b w:val="1"/>
          <w:bCs w:val="1"/>
          <w:color w:val="auto"/>
        </w:rPr>
        <w:t>“Plan”</w:t>
      </w:r>
      <w:r>
        <w:rPr>
          <w:rFonts w:ascii="Arial" w:cs="Arial" w:eastAsia="Arial" w:hAnsi="Arial"/>
          <w:sz w:val="21"/>
          <w:szCs w:val="21"/>
          <w:color w:val="auto"/>
        </w:rPr>
        <w:t xml:space="preserve">) is to promote the success of Western Digital Corporation,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by (i) compensating and rewarding participating executives with incentive awards for the achievement of performance goals, (ii) motivating such executives by giving them opportunities to receive incentive awards directly related to performance, and (iii) retaining executives by offering them an opportunity to share in the Company’s success.</w:t>
      </w:r>
    </w:p>
    <w:p>
      <w:pPr>
        <w:spacing w:after="0" w:line="197" w:lineRule="exact"/>
        <w:rPr>
          <w:rFonts w:ascii="Arial" w:cs="Arial" w:eastAsia="Arial" w:hAnsi="Arial"/>
          <w:sz w:val="22"/>
          <w:szCs w:val="22"/>
          <w:b w:val="1"/>
          <w:bCs w:val="1"/>
          <w:color w:val="auto"/>
        </w:rPr>
      </w:pPr>
    </w:p>
    <w:p>
      <w:pPr>
        <w:ind w:left="660" w:hanging="652"/>
        <w:spacing w:after="0"/>
        <w:tabs>
          <w:tab w:leader="none" w:pos="6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46" w:lineRule="exact"/>
        <w:rPr>
          <w:rFonts w:ascii="Arial" w:cs="Arial" w:eastAsia="Arial" w:hAnsi="Arial"/>
          <w:sz w:val="22"/>
          <w:szCs w:val="22"/>
          <w:b w:val="1"/>
          <w:bCs w:val="1"/>
          <w:color w:val="auto"/>
        </w:rPr>
      </w:pPr>
    </w:p>
    <w:p>
      <w:pPr>
        <w:ind w:left="660"/>
        <w:spacing w:after="0" w:line="26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“Award” </w:t>
      </w:r>
      <w:r>
        <w:rPr>
          <w:rFonts w:ascii="Arial" w:cs="Arial" w:eastAsia="Arial" w:hAnsi="Arial"/>
          <w:sz w:val="22"/>
          <w:szCs w:val="22"/>
          <w:color w:val="auto"/>
        </w:rPr>
        <w:t>means an award to a Participant of an opportunity to receive an Incentive Award under this Plan,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of this Plan.</w:t>
      </w:r>
    </w:p>
    <w:p>
      <w:pPr>
        <w:spacing w:after="0" w:line="18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means the Company’s Board of Directors.</w:t>
      </w:r>
    </w:p>
    <w:p>
      <w:pPr>
        <w:spacing w:after="0" w:line="24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 from time to time.</w:t>
      </w:r>
    </w:p>
    <w:p>
      <w:pPr>
        <w:spacing w:after="0" w:line="246" w:lineRule="exact"/>
        <w:rPr>
          <w:rFonts w:ascii="Arial" w:cs="Arial" w:eastAsia="Arial" w:hAnsi="Arial"/>
          <w:sz w:val="22"/>
          <w:szCs w:val="22"/>
          <w:b w:val="1"/>
          <w:bCs w:val="1"/>
          <w:color w:val="auto"/>
        </w:rPr>
      </w:pPr>
    </w:p>
    <w:p>
      <w:pPr>
        <w:ind w:left="660"/>
        <w:spacing w:after="0" w:line="26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“Committee” </w:t>
      </w:r>
      <w:r>
        <w:rPr>
          <w:rFonts w:ascii="Arial" w:cs="Arial" w:eastAsia="Arial" w:hAnsi="Arial"/>
          <w:sz w:val="22"/>
          <w:szCs w:val="22"/>
          <w:color w:val="auto"/>
        </w:rPr>
        <w:t>means the Compensation Committee of the Board (or any subcommittee of the Compensation Committee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acting within its delegated authority).</w:t>
      </w:r>
    </w:p>
    <w:p>
      <w:pPr>
        <w:spacing w:after="0" w:line="18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is defined in in Section 1 of this Plan.</w:t>
      </w:r>
    </w:p>
    <w:p>
      <w:pPr>
        <w:spacing w:after="0" w:line="246" w:lineRule="exact"/>
        <w:rPr>
          <w:rFonts w:ascii="Arial" w:cs="Arial" w:eastAsia="Arial" w:hAnsi="Arial"/>
          <w:sz w:val="22"/>
          <w:szCs w:val="22"/>
          <w:b w:val="1"/>
          <w:bCs w:val="1"/>
          <w:color w:val="auto"/>
        </w:rPr>
      </w:pPr>
    </w:p>
    <w:p>
      <w:pPr>
        <w:jc w:val="both"/>
        <w:ind w:left="660"/>
        <w:spacing w:after="0" w:line="295"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“Eligible Wages” </w:t>
      </w:r>
      <w:r>
        <w:rPr>
          <w:rFonts w:ascii="Arial" w:cs="Arial" w:eastAsia="Arial" w:hAnsi="Arial"/>
          <w:sz w:val="19"/>
          <w:szCs w:val="19"/>
          <w:color w:val="auto"/>
        </w:rPr>
        <w:t>as to a Participant for a particular Performance Period means the amount of base salary or base wages</w:t>
      </w:r>
      <w:r>
        <w:rPr>
          <w:rFonts w:ascii="Arial" w:cs="Arial" w:eastAsia="Arial" w:hAnsi="Arial"/>
          <w:sz w:val="19"/>
          <w:szCs w:val="19"/>
          <w:b w:val="1"/>
          <w:bCs w:val="1"/>
          <w:color w:val="auto"/>
        </w:rPr>
        <w:t xml:space="preserve"> </w:t>
      </w:r>
      <w:r>
        <w:rPr>
          <w:rFonts w:ascii="Arial" w:cs="Arial" w:eastAsia="Arial" w:hAnsi="Arial"/>
          <w:sz w:val="19"/>
          <w:szCs w:val="19"/>
          <w:color w:val="auto"/>
        </w:rPr>
        <w:t>paid to the Participant by the Company and its Subsidiaries during that Performance Period, exclusive of any commissions, incentive awards, bonuses, other actual or imputed income from any benefits, stock or incentive awards, or perquisites provided by the Company or a Subsidiary, or other forms of compensation or benefits, but with base salary and base wages determined prior to any reductions for salary deferred pursuant to any deferred compensation plan or for contributions to a plan qualifying under Section 401(k) of the Code or contributions to a cafeteria plan under Section 125 of the Code.</w:t>
      </w:r>
    </w:p>
    <w:p>
      <w:pPr>
        <w:spacing w:after="0" w:line="171"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“Incentive Award” </w:t>
      </w:r>
      <w:r>
        <w:rPr>
          <w:rFonts w:ascii="Arial" w:cs="Arial" w:eastAsia="Arial" w:hAnsi="Arial"/>
          <w:sz w:val="22"/>
          <w:szCs w:val="22"/>
          <w:color w:val="auto"/>
        </w:rPr>
        <w:t>means the cash payment payable to a Participant under this Plan.</w:t>
      </w:r>
    </w:p>
    <w:p>
      <w:pPr>
        <w:spacing w:after="0" w:line="246" w:lineRule="exact"/>
        <w:rPr>
          <w:rFonts w:ascii="Arial" w:cs="Arial" w:eastAsia="Arial" w:hAnsi="Arial"/>
          <w:sz w:val="22"/>
          <w:szCs w:val="22"/>
          <w:b w:val="1"/>
          <w:bCs w:val="1"/>
          <w:color w:val="auto"/>
        </w:rPr>
      </w:pPr>
    </w:p>
    <w:p>
      <w:pPr>
        <w:ind w:left="660"/>
        <w:spacing w:after="0" w:line="26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means any Company executive officer (as defined in Rule 16a-1(f) of the Securities Exchange Act of 1934,</w:t>
      </w:r>
      <w:r>
        <w:rPr>
          <w:rFonts w:ascii="Arial" w:cs="Arial" w:eastAsia="Arial" w:hAnsi="Arial"/>
          <w:sz w:val="22"/>
          <w:szCs w:val="22"/>
          <w:b w:val="1"/>
          <w:bCs w:val="1"/>
          <w:color w:val="auto"/>
        </w:rPr>
        <w:t xml:space="preserve"> </w:t>
      </w:r>
      <w:r>
        <w:rPr>
          <w:rFonts w:ascii="Arial" w:cs="Arial" w:eastAsia="Arial" w:hAnsi="Arial"/>
          <w:sz w:val="22"/>
          <w:szCs w:val="22"/>
          <w:color w:val="auto"/>
        </w:rPr>
        <w:t>as amended) or Company executive at the level of Senior Vice President or above.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9" w:right="239" w:bottom="1440" w:gutter="0" w:footer="0" w:header="0"/>
        </w:sectPr>
      </w:pPr>
    </w:p>
    <w:bookmarkStart w:id="116" w:name="page117"/>
    <w:bookmarkEnd w:id="116"/>
    <w:p>
      <w:pPr>
        <w:jc w:val="both"/>
        <w:ind w:left="660"/>
        <w:spacing w:after="0" w:line="256" w:lineRule="auto"/>
        <w:rPr>
          <w:sz w:val="20"/>
          <w:szCs w:val="20"/>
          <w:color w:val="auto"/>
        </w:rPr>
      </w:pPr>
      <w:r>
        <w:rPr>
          <w:rFonts w:ascii="Arial" w:cs="Arial" w:eastAsia="Arial" w:hAnsi="Arial"/>
          <w:sz w:val="22"/>
          <w:szCs w:val="22"/>
          <w:b w:val="1"/>
          <w:bCs w:val="1"/>
          <w:color w:val="auto"/>
        </w:rPr>
        <w:t xml:space="preserve">“Performance Period” </w:t>
      </w:r>
      <w:r>
        <w:rPr>
          <w:rFonts w:ascii="Arial" w:cs="Arial" w:eastAsia="Arial" w:hAnsi="Arial"/>
          <w:sz w:val="22"/>
          <w:szCs w:val="22"/>
          <w:color w:val="auto"/>
        </w:rPr>
        <w:t>means the performance period covered by an Award granted under this Plan. The Committee may</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for performance periods that correspond to the Company’s fiscal year, one or more quarters in any Company fiscal year, or any other period the Committee may determine to be appropriate.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is defined in Section 1 of this Plan.</w:t>
      </w:r>
    </w:p>
    <w:p>
      <w:pPr>
        <w:spacing w:after="0" w:line="247"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any corporation or other entity a majority of whose outstanding voting stock or voting power is</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beneficially owned directly or indirectly by the Company.</w:t>
      </w:r>
    </w:p>
    <w:p>
      <w:pPr>
        <w:spacing w:after="0" w:line="189"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b w:val="1"/>
          <w:bCs w:val="1"/>
          <w:color w:val="auto"/>
        </w:rPr>
        <w:t xml:space="preserve">“Target Incentive Award” </w:t>
      </w:r>
      <w:r>
        <w:rPr>
          <w:rFonts w:ascii="Arial" w:cs="Arial" w:eastAsia="Arial" w:hAnsi="Arial"/>
          <w:sz w:val="22"/>
          <w:szCs w:val="22"/>
          <w:color w:val="auto"/>
        </w:rPr>
        <w:t>with respect to an Award means the amount obtained by multiplying (i) the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Wages, by (ii) such Participant’s Target Incentive Award Percentage as in effect at the end of the Performance Period applicable to such Award.</w:t>
      </w:r>
    </w:p>
    <w:p>
      <w:pPr>
        <w:spacing w:after="0" w:line="203" w:lineRule="exact"/>
        <w:rPr>
          <w:sz w:val="20"/>
          <w:szCs w:val="20"/>
          <w:color w:val="auto"/>
        </w:rPr>
      </w:pPr>
    </w:p>
    <w:p>
      <w:pPr>
        <w:jc w:val="both"/>
        <w:ind w:left="660"/>
        <w:spacing w:after="0" w:line="267" w:lineRule="auto"/>
        <w:rPr>
          <w:sz w:val="20"/>
          <w:szCs w:val="20"/>
          <w:color w:val="auto"/>
        </w:rPr>
      </w:pPr>
      <w:r>
        <w:rPr>
          <w:rFonts w:ascii="Arial" w:cs="Arial" w:eastAsia="Arial" w:hAnsi="Arial"/>
          <w:sz w:val="21"/>
          <w:szCs w:val="21"/>
          <w:b w:val="1"/>
          <w:bCs w:val="1"/>
          <w:color w:val="auto"/>
        </w:rPr>
        <w:t xml:space="preserve">“Target Incentive Award Percentage” </w:t>
      </w:r>
      <w:r>
        <w:rPr>
          <w:rFonts w:ascii="Arial" w:cs="Arial" w:eastAsia="Arial" w:hAnsi="Arial"/>
          <w:sz w:val="21"/>
          <w:szCs w:val="21"/>
          <w:color w:val="auto"/>
        </w:rPr>
        <w:t>with respect to an Award, means the Participant’s target incentive award</w:t>
      </w:r>
      <w:r>
        <w:rPr>
          <w:rFonts w:ascii="Arial" w:cs="Arial" w:eastAsia="Arial" w:hAnsi="Arial"/>
          <w:sz w:val="21"/>
          <w:szCs w:val="21"/>
          <w:b w:val="1"/>
          <w:bCs w:val="1"/>
          <w:color w:val="auto"/>
        </w:rPr>
        <w:t xml:space="preserve"> </w:t>
      </w:r>
      <w:r>
        <w:rPr>
          <w:rFonts w:ascii="Arial" w:cs="Arial" w:eastAsia="Arial" w:hAnsi="Arial"/>
          <w:sz w:val="21"/>
          <w:szCs w:val="21"/>
          <w:color w:val="auto"/>
        </w:rPr>
        <w:t>opportunity as to the Performance Period covered by that Award, expressed as a percentage of the Participant’s Eligible Wages for that Performance Period, as determined from time to time by the Committee or such other target incentive award opportunity percentage as may be determined from time to time by the Committee.</w:t>
      </w:r>
    </w:p>
    <w:p>
      <w:pPr>
        <w:spacing w:after="0" w:line="195"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52" w:lineRule="exact"/>
        <w:rPr>
          <w:rFonts w:ascii="Arial" w:cs="Arial" w:eastAsia="Arial" w:hAnsi="Arial"/>
          <w:sz w:val="22"/>
          <w:szCs w:val="22"/>
          <w:b w:val="1"/>
          <w:bCs w:val="1"/>
          <w:color w:val="auto"/>
        </w:rPr>
      </w:pPr>
    </w:p>
    <w:p>
      <w:pPr>
        <w:ind w:left="1300" w:right="20" w:hanging="648"/>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 xml:space="preserve">3.1 </w:t>
      </w:r>
      <w:r>
        <w:rPr>
          <w:rFonts w:ascii="Arial" w:cs="Arial" w:eastAsia="Arial" w:hAnsi="Arial"/>
          <w:sz w:val="22"/>
          <w:szCs w:val="22"/>
          <w:b w:val="1"/>
          <w:bCs w:val="1"/>
          <w:i w:val="1"/>
          <w:iCs w:val="1"/>
          <w:color w:val="auto"/>
        </w:rPr>
        <w:t>The Committee.</w:t>
      </w:r>
      <w:r>
        <w:rPr>
          <w:rFonts w:ascii="Arial" w:cs="Arial" w:eastAsia="Arial" w:hAnsi="Arial"/>
          <w:sz w:val="22"/>
          <w:szCs w:val="22"/>
          <w:color w:val="auto"/>
        </w:rPr>
        <w:t xml:space="preserve"> This Plan will be administered by the Committee. The Committee may delegate any of its authority under this Plan to a subcommittee of the Committee.</w:t>
      </w:r>
    </w:p>
    <w:p>
      <w:pPr>
        <w:spacing w:after="0" w:line="195" w:lineRule="exact"/>
        <w:rPr>
          <w:rFonts w:ascii="Arial" w:cs="Arial" w:eastAsia="Arial" w:hAnsi="Arial"/>
          <w:sz w:val="22"/>
          <w:szCs w:val="22"/>
          <w:b w:val="1"/>
          <w:bCs w:val="1"/>
          <w:color w:val="auto"/>
        </w:rPr>
      </w:pPr>
    </w:p>
    <w:p>
      <w:pPr>
        <w:ind w:left="1300" w:hanging="648"/>
        <w:spacing w:after="0" w:line="290" w:lineRule="auto"/>
        <w:rPr>
          <w:rFonts w:ascii="Arial" w:cs="Arial" w:eastAsia="Arial" w:hAnsi="Arial"/>
          <w:sz w:val="22"/>
          <w:szCs w:val="22"/>
          <w:b w:val="1"/>
          <w:bCs w:val="1"/>
          <w:color w:val="auto"/>
        </w:rPr>
      </w:pPr>
      <w:r>
        <w:rPr>
          <w:rFonts w:ascii="Arial" w:cs="Arial" w:eastAsia="Arial" w:hAnsi="Arial"/>
          <w:sz w:val="19"/>
          <w:szCs w:val="19"/>
          <w:color w:val="auto"/>
        </w:rPr>
        <w:t xml:space="preserve">3.2 </w:t>
      </w:r>
      <w:r>
        <w:rPr>
          <w:rFonts w:ascii="Arial" w:cs="Arial" w:eastAsia="Arial" w:hAnsi="Arial"/>
          <w:sz w:val="19"/>
          <w:szCs w:val="19"/>
          <w:b w:val="1"/>
          <w:bCs w:val="1"/>
          <w:i w:val="1"/>
          <w:iCs w:val="1"/>
          <w:color w:val="auto"/>
        </w:rPr>
        <w:t>Powers of the Committee</w:t>
      </w:r>
      <w:r>
        <w:rPr>
          <w:rFonts w:ascii="Arial" w:cs="Arial" w:eastAsia="Arial" w:hAnsi="Arial"/>
          <w:sz w:val="19"/>
          <w:szCs w:val="19"/>
          <w:b w:val="1"/>
          <w:bCs w:val="1"/>
          <w:color w:val="auto"/>
        </w:rPr>
        <w:t>.</w:t>
      </w:r>
      <w:r>
        <w:rPr>
          <w:rFonts w:ascii="Arial" w:cs="Arial" w:eastAsia="Arial" w:hAnsi="Arial"/>
          <w:sz w:val="19"/>
          <w:szCs w:val="19"/>
          <w:color w:val="auto"/>
        </w:rPr>
        <w:t xml:space="preserve"> Subject to the express provisions of this Plan, the Committee will have responsibility for the administration of this Plan in accordance with its terms, including without limitation the authority to (i) determine eligibility to participate in this Plan and, from those individuals determined to be eligible, the particular individuals who will receive an Award under this Plan, and (ii) establish the terms and conditions applicable to each Award, including (without limitation) the applicable Performance Period, Target Incentive Award Percentage, applicable measures of performance, and other terms and conditions. The Committee will have the authority to construe and interpret this Plan and any agreements or other document relating to Awards under this Plan, may adopt rules and regulations relating to the administration of this Plan, and will exercise all other duties and powers conferred on it by this Plan. Any determination by the Committee will be final and binding on all Participants.</w:t>
      </w:r>
    </w:p>
    <w:p>
      <w:pPr>
        <w:spacing w:after="0" w:line="176" w:lineRule="exact"/>
        <w:rPr>
          <w:rFonts w:ascii="Arial" w:cs="Arial" w:eastAsia="Arial" w:hAnsi="Arial"/>
          <w:sz w:val="22"/>
          <w:szCs w:val="22"/>
          <w:b w:val="1"/>
          <w:bCs w:val="1"/>
          <w:color w:val="auto"/>
        </w:rPr>
      </w:pPr>
    </w:p>
    <w:p>
      <w:pPr>
        <w:ind w:left="660" w:hanging="652"/>
        <w:spacing w:after="0"/>
        <w:tabs>
          <w:tab w:leader="none" w:pos="6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Incentive Award Provisions.</w:t>
      </w:r>
    </w:p>
    <w:p>
      <w:pPr>
        <w:spacing w:after="0" w:line="252" w:lineRule="exact"/>
        <w:rPr>
          <w:rFonts w:ascii="Arial" w:cs="Arial" w:eastAsia="Arial" w:hAnsi="Arial"/>
          <w:sz w:val="22"/>
          <w:szCs w:val="22"/>
          <w:b w:val="1"/>
          <w:bCs w:val="1"/>
          <w:color w:val="auto"/>
        </w:rPr>
      </w:pPr>
    </w:p>
    <w:p>
      <w:pPr>
        <w:ind w:left="1300" w:hanging="648"/>
        <w:spacing w:after="0" w:line="312" w:lineRule="auto"/>
        <w:rPr>
          <w:rFonts w:ascii="Arial" w:cs="Arial" w:eastAsia="Arial" w:hAnsi="Arial"/>
          <w:sz w:val="22"/>
          <w:szCs w:val="22"/>
          <w:b w:val="1"/>
          <w:bCs w:val="1"/>
          <w:color w:val="auto"/>
        </w:rPr>
      </w:pPr>
      <w:r>
        <w:rPr>
          <w:rFonts w:ascii="Arial" w:cs="Arial" w:eastAsia="Arial" w:hAnsi="Arial"/>
          <w:sz w:val="19"/>
          <w:szCs w:val="19"/>
          <w:color w:val="auto"/>
        </w:rPr>
        <w:t xml:space="preserve">4.1 </w:t>
      </w:r>
      <w:r>
        <w:rPr>
          <w:rFonts w:ascii="Arial" w:cs="Arial" w:eastAsia="Arial" w:hAnsi="Arial"/>
          <w:sz w:val="19"/>
          <w:szCs w:val="19"/>
          <w:b w:val="1"/>
          <w:bCs w:val="1"/>
          <w:i w:val="1"/>
          <w:iCs w:val="1"/>
          <w:color w:val="auto"/>
        </w:rPr>
        <w:t>Determination of Incentive Awards.</w:t>
      </w:r>
      <w:r>
        <w:rPr>
          <w:rFonts w:ascii="Arial" w:cs="Arial" w:eastAsia="Arial" w:hAnsi="Arial"/>
          <w:sz w:val="19"/>
          <w:szCs w:val="19"/>
          <w:color w:val="auto"/>
        </w:rPr>
        <w:t xml:space="preserve"> The Committee will establish the formula to be used to determine any Incentive Award payable with respect to an Award for the applicable Performance Period. Such formula may include one or more performance measures based on Company performance on a consolidated basis, the performance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9" w:right="239" w:bottom="1440" w:gutter="0" w:footer="0" w:header="0"/>
        </w:sectPr>
      </w:pPr>
    </w:p>
    <w:bookmarkStart w:id="117" w:name="page118"/>
    <w:bookmarkEnd w:id="117"/>
    <w:p>
      <w:pPr>
        <w:jc w:val="both"/>
        <w:ind w:left="100"/>
        <w:spacing w:after="0" w:line="259" w:lineRule="auto"/>
        <w:rPr>
          <w:sz w:val="20"/>
          <w:szCs w:val="20"/>
          <w:color w:val="auto"/>
        </w:rPr>
      </w:pPr>
      <w:r>
        <w:rPr>
          <w:rFonts w:ascii="Arial" w:cs="Arial" w:eastAsia="Arial" w:hAnsi="Arial"/>
          <w:sz w:val="21"/>
          <w:szCs w:val="21"/>
          <w:color w:val="auto"/>
        </w:rPr>
        <w:t>of a subsidiary, division, business unit, or product line, individual performance, or as the Committee may otherwise provide. Performance may be measured based on absolute or relative (such as, without limitation, relative to another company, group of companies, or an index) performance, and may include objective and/or subjective measures, all as the Committee may determine. Criteria may be established by the Committee to assess performance and the criteria may include net operating income or profit, pre- or after-tax income, revenue, funds from operations, total shareholder equity or return, gross margin, cash flow, earnings per share, total addressable market, or any other criterion or criteria the Committee may select. In no event (unless otherwise provided by the Committee) will the Incentive Award for any Award exceed an amount equal to three (3) times the Target Incentive Award for such Award.</w:t>
      </w:r>
    </w:p>
    <w:p>
      <w:pPr>
        <w:spacing w:after="0" w:line="207" w:lineRule="exact"/>
        <w:rPr>
          <w:sz w:val="20"/>
          <w:szCs w:val="20"/>
          <w:color w:val="auto"/>
        </w:rPr>
      </w:pPr>
    </w:p>
    <w:p>
      <w:pPr>
        <w:jc w:val="both"/>
        <w:ind w:left="100" w:hanging="647"/>
        <w:spacing w:after="0" w:line="292" w:lineRule="auto"/>
        <w:tabs>
          <w:tab w:leader="none" w:pos="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i w:val="1"/>
          <w:iCs w:val="1"/>
          <w:color w:val="auto"/>
        </w:rPr>
        <w:t xml:space="preserve">Newly Hired Executives. </w:t>
      </w:r>
      <w:r>
        <w:rPr>
          <w:rFonts w:ascii="Arial" w:cs="Arial" w:eastAsia="Arial" w:hAnsi="Arial"/>
          <w:sz w:val="19"/>
          <w:szCs w:val="19"/>
          <w:color w:val="auto"/>
        </w:rPr>
        <w:t>Unless otherwise provided by the Committee, in the event that an individual commences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employment with the Company during a Performance Period at a level that has been determined by the Company to be eligible for participation in this Plan for that Performance Period, such individual will be eligible to receive an Incentive Award under this Plan for that Performance Period based on the Eligible Wages the individual actually received during that Performance Period. In addition and unless otherwise provided by the Committee, an individual must be employed by the Company or one of its Subsidiaries for at least one month of a Performance Period to be eligible to receive an Incentive Award during such Performance Period.</w:t>
      </w:r>
    </w:p>
    <w:p>
      <w:pPr>
        <w:spacing w:after="0" w:line="179" w:lineRule="exact"/>
        <w:rPr>
          <w:sz w:val="20"/>
          <w:szCs w:val="20"/>
          <w:color w:val="auto"/>
        </w:rPr>
      </w:pPr>
    </w:p>
    <w:p>
      <w:pPr>
        <w:jc w:val="both"/>
        <w:ind w:left="100" w:hanging="647"/>
        <w:spacing w:after="0" w:line="286" w:lineRule="auto"/>
        <w:tabs>
          <w:tab w:leader="none" w:pos="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i w:val="1"/>
          <w:iCs w:val="1"/>
          <w:color w:val="auto"/>
        </w:rPr>
        <w:t xml:space="preserve">Termination of Employment; Changes in Position. </w:t>
      </w:r>
      <w:r>
        <w:rPr>
          <w:rFonts w:ascii="Arial" w:cs="Arial" w:eastAsia="Arial" w:hAnsi="Arial"/>
          <w:sz w:val="19"/>
          <w:szCs w:val="19"/>
          <w:color w:val="auto"/>
        </w:rPr>
        <w:t>Unless otherwise expressly provided under a separate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 applicable to the Participant or a written contract to which the Participant is a party with the Company, and unless otherwise provided by the Committee, in the event that a Participant’s employment with the Company and its Subsidiaries terminates (regardless of the reason for such termination of employment, whether voluntarily or involuntarily, with or without cause, or due to the Participant’s death or disability) at any time prior to the Company actually paying out Incentive Awards to Participants with respect to the Performance Period covered by the Participant’s Award, such Award will immediately terminate upon such termination of employment, and the Participant will not be entitled to an Incentive Award payment (and in no event will the Participant be considered to have earned or satisfied the conditions for any Incentive Award payment) in respect of such Award. The Committee may in its sole discretion make such adjustments (including, without limitation, to the Participant’s Target Incentive Award Percentage or to the methodology or measures used to determine the Participant’s Incentive Award), or it may terminate the Participant’s participation in this Plan, as it may determine to be appropriate in the event of a change in a Participant’s position, duties, employment status (for example, full-time or part-time), leave of absence, or similar change in circumstances.</w:t>
      </w:r>
    </w:p>
    <w:p>
      <w:pPr>
        <w:spacing w:after="0" w:line="200" w:lineRule="exact"/>
        <w:rPr>
          <w:sz w:val="20"/>
          <w:szCs w:val="20"/>
          <w:color w:val="auto"/>
        </w:rPr>
      </w:pPr>
    </w:p>
    <w:p>
      <w:pPr>
        <w:spacing w:after="0" w:line="251" w:lineRule="exact"/>
        <w:rPr>
          <w:sz w:val="20"/>
          <w:szCs w:val="20"/>
          <w:color w:val="auto"/>
        </w:rPr>
      </w:pPr>
    </w:p>
    <w:p>
      <w:pPr>
        <w:jc w:val="both"/>
        <w:ind w:left="100" w:right="20" w:hanging="647"/>
        <w:spacing w:after="0" w:line="263" w:lineRule="auto"/>
        <w:tabs>
          <w:tab w:leader="none" w:pos="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2"/>
          <w:szCs w:val="22"/>
          <w:b w:val="1"/>
          <w:bCs w:val="1"/>
          <w:i w:val="1"/>
          <w:iCs w:val="1"/>
          <w:color w:val="auto"/>
        </w:rPr>
        <w:t xml:space="preserve">Adjustments; Early Termination. </w:t>
      </w:r>
      <w:r>
        <w:rPr>
          <w:rFonts w:ascii="Arial" w:cs="Arial" w:eastAsia="Arial" w:hAnsi="Arial"/>
          <w:sz w:val="22"/>
          <w:szCs w:val="22"/>
          <w:color w:val="auto"/>
        </w:rPr>
        <w:t>The Committee has the sole discretion to adjust the performance measures,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performance goals, relative weights of the measures, and</w:t>
      </w: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20"/>
          </w:cols>
          <w:pgMar w:left="1440" w:top="375" w:right="239" w:bottom="1440" w:gutter="0" w:footer="0" w:header="0"/>
        </w:sectPr>
      </w:pPr>
    </w:p>
    <w:bookmarkStart w:id="118" w:name="page119"/>
    <w:bookmarkEnd w:id="118"/>
    <w:p>
      <w:pPr>
        <w:jc w:val="both"/>
        <w:ind w:left="100"/>
        <w:spacing w:after="0" w:line="284" w:lineRule="auto"/>
        <w:rPr>
          <w:sz w:val="20"/>
          <w:szCs w:val="20"/>
          <w:color w:val="auto"/>
        </w:rPr>
      </w:pPr>
      <w:r>
        <w:rPr>
          <w:rFonts w:ascii="Arial" w:cs="Arial" w:eastAsia="Arial" w:hAnsi="Arial"/>
          <w:sz w:val="19"/>
          <w:szCs w:val="19"/>
          <w:color w:val="auto"/>
        </w:rPr>
        <w:t>other provisions of then-outstanding Awards under this Plan to reflect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(xi) items relating to unusual or extraordinary corporate transactions, events or developments,</w:t>
      </w:r>
    </w:p>
    <w:p>
      <w:pPr>
        <w:spacing w:after="0" w:line="2" w:lineRule="exact"/>
        <w:rPr>
          <w:sz w:val="20"/>
          <w:szCs w:val="20"/>
          <w:color w:val="auto"/>
        </w:rPr>
      </w:pPr>
    </w:p>
    <w:p>
      <w:pPr>
        <w:jc w:val="both"/>
        <w:ind w:left="100" w:firstLine="5"/>
        <w:spacing w:after="0" w:line="281" w:lineRule="auto"/>
        <w:tabs>
          <w:tab w:leader="none" w:pos="545" w:val="left"/>
        </w:tabs>
        <w:numPr>
          <w:ilvl w:val="0"/>
          <w:numId w:val="73"/>
        </w:numPr>
        <w:rPr>
          <w:rFonts w:ascii="Arial" w:cs="Arial" w:eastAsia="Arial" w:hAnsi="Arial"/>
          <w:sz w:val="19"/>
          <w:szCs w:val="19"/>
          <w:color w:val="auto"/>
        </w:rPr>
      </w:pPr>
      <w:r>
        <w:rPr>
          <w:rFonts w:ascii="Arial" w:cs="Arial" w:eastAsia="Arial" w:hAnsi="Arial"/>
          <w:sz w:val="19"/>
          <w:szCs w:val="19"/>
          <w:color w:val="auto"/>
        </w:rPr>
        <w:t>items related to amortization of acquired intangible assets, (xiii) items that are outside the scope of core, on-going business activities, (xiv) items related to acquired in-process research and development, (xv) items relating to changes in tax laws, (xvi) items relating to licensing or partnership arrangements, (xvii) items relating to asset impairment charges, (xviii) items relating to gains or losses for litigation, arbitration and contractual settlements,</w:t>
      </w:r>
    </w:p>
    <w:p>
      <w:pPr>
        <w:spacing w:after="0" w:line="3" w:lineRule="exact"/>
        <w:rPr>
          <w:rFonts w:ascii="Arial" w:cs="Arial" w:eastAsia="Arial" w:hAnsi="Arial"/>
          <w:sz w:val="19"/>
          <w:szCs w:val="19"/>
          <w:color w:val="auto"/>
        </w:rPr>
      </w:pPr>
    </w:p>
    <w:p>
      <w:pPr>
        <w:jc w:val="both"/>
        <w:ind w:left="100" w:firstLine="5"/>
        <w:spacing w:after="0" w:line="257" w:lineRule="auto"/>
        <w:tabs>
          <w:tab w:leader="none" w:pos="626" w:val="left"/>
        </w:tabs>
        <w:numPr>
          <w:ilvl w:val="0"/>
          <w:numId w:val="74"/>
        </w:numPr>
        <w:rPr>
          <w:rFonts w:ascii="Arial" w:cs="Arial" w:eastAsia="Arial" w:hAnsi="Arial"/>
          <w:sz w:val="21"/>
          <w:szCs w:val="21"/>
          <w:color w:val="auto"/>
        </w:rPr>
      </w:pPr>
      <w:r>
        <w:rPr>
          <w:rFonts w:ascii="Arial" w:cs="Arial" w:eastAsia="Arial" w:hAnsi="Arial"/>
          <w:sz w:val="21"/>
          <w:szCs w:val="21"/>
          <w:color w:val="auto"/>
        </w:rPr>
        <w:t>items related to fluctuations in currency exchange rates, or (xx) items relating to any other unusual or nonrecurring events or changes in applicable law or business conditions. The Committee’s determination with regard to any adjustments made pursuant to this Section 4.4 will be final and binding on all persons. Notwithstanding any other provision herein, the Committee will have discretion to settle or terminate, as the Committee may determine in its sole discretion and (in the case of a settlement) in such amount (if any) as the Committee may determine to be appropriate in its sole discretion, any Award granted hereunder in connection with any merger, reorganization or other corporation transaction.</w:t>
      </w:r>
    </w:p>
    <w:p>
      <w:pPr>
        <w:spacing w:after="0" w:line="211" w:lineRule="exact"/>
        <w:rPr>
          <w:sz w:val="20"/>
          <w:szCs w:val="20"/>
          <w:color w:val="auto"/>
        </w:rPr>
      </w:pPr>
    </w:p>
    <w:p>
      <w:pPr>
        <w:jc w:val="both"/>
        <w:ind w:left="100" w:hanging="647"/>
        <w:spacing w:after="0" w:line="246" w:lineRule="auto"/>
        <w:tabs>
          <w:tab w:leader="none" w:pos="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2"/>
          <w:szCs w:val="22"/>
          <w:b w:val="1"/>
          <w:bCs w:val="1"/>
          <w:i w:val="1"/>
          <w:iCs w:val="1"/>
          <w:color w:val="auto"/>
        </w:rPr>
        <w:t xml:space="preserve">Committee Discretion to Determine Incentive Awards. </w:t>
      </w:r>
      <w:r>
        <w:rPr>
          <w:rFonts w:ascii="Arial" w:cs="Arial" w:eastAsia="Arial" w:hAnsi="Arial"/>
          <w:sz w:val="22"/>
          <w:szCs w:val="22"/>
          <w:color w:val="auto"/>
        </w:rPr>
        <w:t>The Committee has the sole discretion to determine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performance goals and criteria for each Award and whether all or any portion of the amount so calculated will be paid, subject in all cases to the terms, conditions and limits of this Plan. To this same extent, the Committee may at any time establish additional conditions and terms of an Award or for the payment of Incentive Awards (including but not limited to the achievement of other financial, strategic or individual goals, which may be objective or subjective) as the Committee may deem desirable and may take into account such other factors as the Committee deems appropriate.</w:t>
      </w:r>
    </w:p>
    <w:p>
      <w:pPr>
        <w:spacing w:after="0" w:line="224" w:lineRule="exact"/>
        <w:rPr>
          <w:sz w:val="20"/>
          <w:szCs w:val="20"/>
          <w:color w:val="auto"/>
        </w:rPr>
      </w:pPr>
    </w:p>
    <w:p>
      <w:pPr>
        <w:jc w:val="both"/>
        <w:ind w:left="100" w:hanging="647"/>
        <w:spacing w:after="0" w:line="235" w:lineRule="auto"/>
        <w:tabs>
          <w:tab w:leader="none" w:pos="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2"/>
          <w:szCs w:val="22"/>
          <w:b w:val="1"/>
          <w:bCs w:val="1"/>
          <w:i w:val="1"/>
          <w:iCs w:val="1"/>
          <w:color w:val="auto"/>
        </w:rPr>
        <w:t xml:space="preserve">Form and Time of Payment. </w:t>
      </w:r>
      <w:r>
        <w:rPr>
          <w:rFonts w:ascii="Arial" w:cs="Arial" w:eastAsia="Arial" w:hAnsi="Arial"/>
          <w:sz w:val="22"/>
          <w:szCs w:val="22"/>
          <w:color w:val="auto"/>
        </w:rPr>
        <w:t>Any Incentive Award earned and payable in accordance with this Plan will be paid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cash (subject to tax withholding pursuant to Section 5.5) as soon as reasonably practicable following the determination of such Incentive Award amount pursuant to Section 4.1 of this Plan, but in no event later than (a) March 15 of the calendar year following the calendar year in which the applicable Performance Period ends, or (b) if later, the last day of the period ending on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third month following the end of the Company’s fiscal year in which the</w:t>
      </w:r>
    </w:p>
    <w:p>
      <w:pPr>
        <w:spacing w:after="0" w:line="200" w:lineRule="exact"/>
        <w:rPr>
          <w:sz w:val="20"/>
          <w:szCs w:val="20"/>
          <w:color w:val="auto"/>
        </w:rPr>
      </w:pPr>
    </w:p>
    <w:p>
      <w:pPr>
        <w:spacing w:after="0" w:line="26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20"/>
          </w:cols>
          <w:pgMar w:left="1440" w:top="375" w:right="239" w:bottom="1440" w:gutter="0" w:footer="0" w:header="0"/>
        </w:sectPr>
      </w:pPr>
    </w:p>
    <w:bookmarkStart w:id="119" w:name="page120"/>
    <w:bookmarkEnd w:id="119"/>
    <w:p>
      <w:pPr>
        <w:ind w:left="1300"/>
        <w:spacing w:after="0" w:line="263" w:lineRule="auto"/>
        <w:rPr>
          <w:sz w:val="20"/>
          <w:szCs w:val="20"/>
          <w:color w:val="auto"/>
        </w:rPr>
      </w:pPr>
      <w:r>
        <w:rPr>
          <w:rFonts w:ascii="Arial" w:cs="Arial" w:eastAsia="Arial" w:hAnsi="Arial"/>
          <w:sz w:val="22"/>
          <w:szCs w:val="22"/>
          <w:color w:val="auto"/>
        </w:rPr>
        <w:t>applicable Performance Period ends, in each case, in accordance with Treasury Regulation Section 1.409A-1(b)(4) (i).</w:t>
      </w:r>
    </w:p>
    <w:p>
      <w:pPr>
        <w:spacing w:after="0" w:line="196"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5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 xml:space="preserve">5.1    </w:t>
      </w:r>
      <w:r>
        <w:rPr>
          <w:rFonts w:ascii="Arial" w:cs="Arial" w:eastAsia="Arial" w:hAnsi="Arial"/>
          <w:sz w:val="22"/>
          <w:szCs w:val="22"/>
          <w:b w:val="1"/>
          <w:bCs w:val="1"/>
          <w:i w:val="1"/>
          <w:iCs w:val="1"/>
          <w:color w:val="auto"/>
        </w:rPr>
        <w:t>Rights of Participants.</w:t>
      </w:r>
    </w:p>
    <w:p>
      <w:pPr>
        <w:spacing w:after="0" w:line="246" w:lineRule="exact"/>
        <w:rPr>
          <w:rFonts w:ascii="Arial" w:cs="Arial" w:eastAsia="Arial" w:hAnsi="Arial"/>
          <w:sz w:val="22"/>
          <w:szCs w:val="22"/>
          <w:b w:val="1"/>
          <w:bCs w:val="1"/>
          <w:color w:val="auto"/>
        </w:rPr>
      </w:pPr>
    </w:p>
    <w:p>
      <w:pPr>
        <w:jc w:val="both"/>
        <w:ind w:left="1960" w:hanging="655"/>
        <w:spacing w:after="0" w:line="258" w:lineRule="auto"/>
        <w:tabs>
          <w:tab w:leader="none" w:pos="1960"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No Right to Awards or Continued Employment.</w:t>
      </w:r>
      <w:r>
        <w:rPr>
          <w:rFonts w:ascii="Arial" w:cs="Arial" w:eastAsia="Arial" w:hAnsi="Arial"/>
          <w:sz w:val="21"/>
          <w:szCs w:val="21"/>
          <w:color w:val="auto"/>
        </w:rPr>
        <w:t xml:space="preserve"> Neither the establishment of this Plan, nor the provision for or payment of any amounts hereunder, nor any action of the Company or any of its officers, employees or directors in respect of this Plan will be held or construed to confer upon any person any legal right to receive, an Award, an Incentive Award or any other benefit under the Plan. Nothing contained in this Plan (or in any other documents evidencing any Award under this Plan) will confer upon any employee or Participant any right to continued employment with the Company or any Subsidiary, constitute any contract or agreement of employment or affect an employee’s status as an employee at will, nor will it interfere in any way with the right of the Company or any Subsidiary to change any person’s compensation or other benefits, or to terminate his or her employment, with or without cause. Nothing in this Section 5.1(a), however, is intended to adversely affect any express independent right of such person under a separate written employment contract.</w:t>
      </w:r>
    </w:p>
    <w:p>
      <w:pPr>
        <w:spacing w:after="0" w:line="210" w:lineRule="exact"/>
        <w:rPr>
          <w:rFonts w:ascii="Arial" w:cs="Arial" w:eastAsia="Arial" w:hAnsi="Arial"/>
          <w:sz w:val="21"/>
          <w:szCs w:val="21"/>
          <w:color w:val="auto"/>
        </w:rPr>
      </w:pPr>
    </w:p>
    <w:p>
      <w:pPr>
        <w:jc w:val="both"/>
        <w:ind w:left="1960" w:hanging="655"/>
        <w:spacing w:after="0" w:line="289" w:lineRule="auto"/>
        <w:tabs>
          <w:tab w:leader="none" w:pos="1960"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Plan Not Funded.</w:t>
      </w:r>
      <w:r>
        <w:rPr>
          <w:rFonts w:ascii="Arial" w:cs="Arial" w:eastAsia="Arial" w:hAnsi="Arial"/>
          <w:sz w:val="19"/>
          <w:szCs w:val="19"/>
          <w:color w:val="auto"/>
        </w:rPr>
        <w:t xml:space="preserve"> Awards payable under this Plan will be payable from the general assets of the Company, and no special or separate reserve, fund or deposit will be made to assure payment of such Awards. No Participant or other person will have any right, title or interest in any fund or in any specific asset of the Company or any Subsidiary by reason of any Award hereunder. Neither the provisions of this Plan (or of any related documents), nor the creation or adoption of this Plan, nor any action taken pursuant to the provisions of this Plan will create, or be construed to create, a trust of any kind or a fiduciary relationship between the Company or one of its Subsidiaries and any Participant or other person. To the extent that a Participant or other person acquires a right to receive payment pursuant to any Award hereunder, such right will be no greater than the right of any unsecured general creditor of the Company.</w:t>
      </w:r>
    </w:p>
    <w:p>
      <w:pPr>
        <w:spacing w:after="0" w:line="18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b w:val="1"/>
          <w:bCs w:val="1"/>
          <w:i w:val="1"/>
          <w:iCs w:val="1"/>
          <w:color w:val="auto"/>
        </w:rPr>
        <w:t xml:space="preserve">Non-Transferability of Benefits and Interests. </w:t>
      </w:r>
      <w:r>
        <w:rPr>
          <w:rFonts w:ascii="Arial" w:cs="Arial" w:eastAsia="Arial" w:hAnsi="Arial"/>
          <w:sz w:val="22"/>
          <w:szCs w:val="22"/>
          <w:color w:val="auto"/>
        </w:rPr>
        <w:t>Except as expressly provided by the Committee, all Awards are non-transferable, and no benefit payable under this Plan will be subject in any manner to sale, transfer, anticipation, alienation, assignment, pledge, encumbrance or charge.</w:t>
      </w:r>
    </w:p>
    <w:p>
      <w:pPr>
        <w:spacing w:after="0" w:line="213"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b w:val="1"/>
          <w:bCs w:val="1"/>
          <w:i w:val="1"/>
          <w:iCs w:val="1"/>
          <w:color w:val="auto"/>
        </w:rPr>
        <w:t xml:space="preserve">Discretion of Company and Committee. </w:t>
      </w:r>
      <w:r>
        <w:rPr>
          <w:rFonts w:ascii="Arial" w:cs="Arial" w:eastAsia="Arial" w:hAnsi="Arial"/>
          <w:sz w:val="22"/>
          <w:szCs w:val="22"/>
          <w:color w:val="auto"/>
        </w:rPr>
        <w:t>Any decision made or action taken by, or inaction of, the Company or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Committee arising out of or in connection with the creation, amendment, construction, administration, interpretation and effect of the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75" w:right="239" w:bottom="1440" w:gutter="0" w:footer="0" w:header="0"/>
        </w:sectPr>
      </w:pPr>
    </w:p>
    <w:bookmarkStart w:id="120" w:name="page121"/>
    <w:bookmarkEnd w:id="120"/>
    <w:p>
      <w:pPr>
        <w:jc w:val="both"/>
        <w:ind w:left="100"/>
        <w:spacing w:after="0" w:line="302" w:lineRule="auto"/>
        <w:rPr>
          <w:sz w:val="20"/>
          <w:szCs w:val="20"/>
          <w:color w:val="auto"/>
        </w:rPr>
      </w:pPr>
      <w:r>
        <w:rPr>
          <w:rFonts w:ascii="Arial" w:cs="Arial" w:eastAsia="Arial" w:hAnsi="Arial"/>
          <w:sz w:val="19"/>
          <w:szCs w:val="19"/>
          <w:color w:val="auto"/>
        </w:rPr>
        <w:t>Plan that is within its authority hereunder or applicable law will be within the absolute discretion of such person or entity and will be conclusive and binding upon all persons. Neither the Committee, nor any person acting at the direction thereof, nor any member of the Board will be liable for any act, omission, interpretation, construction or determination made in good faith in connection with this Plan (or any Award made under this Plan).</w:t>
      </w:r>
    </w:p>
    <w:p>
      <w:pPr>
        <w:spacing w:after="0" w:line="170" w:lineRule="exact"/>
        <w:rPr>
          <w:sz w:val="20"/>
          <w:szCs w:val="20"/>
          <w:color w:val="auto"/>
        </w:rPr>
      </w:pPr>
    </w:p>
    <w:p>
      <w:pPr>
        <w:jc w:val="both"/>
        <w:ind w:left="100" w:hanging="647"/>
        <w:spacing w:after="0" w:line="253" w:lineRule="auto"/>
        <w:tabs>
          <w:tab w:leader="none" w:pos="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b w:val="1"/>
          <w:bCs w:val="1"/>
          <w:i w:val="1"/>
          <w:iCs w:val="1"/>
          <w:color w:val="auto"/>
        </w:rPr>
        <w:t xml:space="preserve">Governing Law; Severability. </w:t>
      </w:r>
      <w:r>
        <w:rPr>
          <w:rFonts w:ascii="Arial" w:cs="Arial" w:eastAsia="Arial" w:hAnsi="Arial"/>
          <w:sz w:val="22"/>
          <w:szCs w:val="22"/>
          <w:color w:val="auto"/>
        </w:rPr>
        <w:t>This Plan, the Awards, all documents evidencing awards and all other related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documents will be governed by, and construed in accordance with, the laws of the State of Delaware, notwithstanding any Delaware or other conflict of law provision to the contrary.</w:t>
      </w:r>
    </w:p>
    <w:p>
      <w:pPr>
        <w:spacing w:after="0" w:line="213" w:lineRule="exact"/>
        <w:rPr>
          <w:sz w:val="20"/>
          <w:szCs w:val="20"/>
          <w:color w:val="auto"/>
        </w:rPr>
      </w:pPr>
    </w:p>
    <w:p>
      <w:pPr>
        <w:jc w:val="both"/>
        <w:ind w:left="100" w:hanging="647"/>
        <w:spacing w:after="0" w:line="265" w:lineRule="auto"/>
        <w:tabs>
          <w:tab w:leader="none" w:pos="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1"/>
          <w:szCs w:val="21"/>
          <w:b w:val="1"/>
          <w:bCs w:val="1"/>
          <w:i w:val="1"/>
          <w:iCs w:val="1"/>
          <w:color w:val="auto"/>
        </w:rPr>
        <w:t xml:space="preserve">Tax Withholding. </w:t>
      </w:r>
      <w:r>
        <w:rPr>
          <w:rFonts w:ascii="Arial" w:cs="Arial" w:eastAsia="Arial" w:hAnsi="Arial"/>
          <w:sz w:val="21"/>
          <w:szCs w:val="21"/>
          <w:color w:val="auto"/>
        </w:rPr>
        <w:t>In connection with the payment of any Incentive Award, the Company will have the right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deduct from the amount of the Incentive Award, or any other compensation or amounts payable to the Participant, the amount of any federal, state, local or other income, employment or other taxes that the Company or any Subsidiary may be required to withhold with respect to such Incentive Award payment.</w:t>
      </w:r>
    </w:p>
    <w:p>
      <w:pPr>
        <w:spacing w:after="0" w:line="203" w:lineRule="exact"/>
        <w:rPr>
          <w:sz w:val="20"/>
          <w:szCs w:val="20"/>
          <w:color w:val="auto"/>
        </w:rPr>
      </w:pPr>
    </w:p>
    <w:p>
      <w:pPr>
        <w:jc w:val="both"/>
        <w:ind w:left="100" w:hanging="647"/>
        <w:spacing w:after="0" w:line="297" w:lineRule="auto"/>
        <w:tabs>
          <w:tab w:leader="none" w:pos="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b w:val="1"/>
          <w:bCs w:val="1"/>
          <w:i w:val="1"/>
          <w:iCs w:val="1"/>
          <w:color w:val="auto"/>
        </w:rPr>
        <w:t xml:space="preserve">No Vested Rights; Amendments, Suspension or Termination of Plan. </w:t>
      </w:r>
      <w:r>
        <w:rPr>
          <w:rFonts w:ascii="Arial" w:cs="Arial" w:eastAsia="Arial" w:hAnsi="Arial"/>
          <w:sz w:val="19"/>
          <w:szCs w:val="19"/>
          <w:color w:val="auto"/>
        </w:rPr>
        <w:t>No Participant will have, at any time,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vested right to any benefit under this Plan (other than as to Incentive Award amounts theretofore actually paid, subject to Section 5.11). The Company or the Committee may at any time terminate, amend, modify or suspend this Plan, in whole or in part and/or with respect to any or all Awards or Participants (other than as to Incentive Award amounts actually paid prior to the date of such action by the Company or the Committee).</w:t>
      </w:r>
    </w:p>
    <w:p>
      <w:pPr>
        <w:spacing w:after="0" w:line="174" w:lineRule="exact"/>
        <w:rPr>
          <w:sz w:val="20"/>
          <w:szCs w:val="20"/>
          <w:color w:val="auto"/>
        </w:rPr>
      </w:pPr>
    </w:p>
    <w:p>
      <w:pPr>
        <w:jc w:val="both"/>
        <w:ind w:left="100" w:hanging="647"/>
        <w:spacing w:after="0" w:line="253" w:lineRule="auto"/>
        <w:tabs>
          <w:tab w:leader="none" w:pos="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2"/>
          <w:szCs w:val="22"/>
          <w:b w:val="1"/>
          <w:bCs w:val="1"/>
          <w:i w:val="1"/>
          <w:iCs w:val="1"/>
          <w:color w:val="auto"/>
        </w:rPr>
        <w:t xml:space="preserve">Captions; Construction. </w:t>
      </w:r>
      <w:r>
        <w:rPr>
          <w:rFonts w:ascii="Arial" w:cs="Arial" w:eastAsia="Arial" w:hAnsi="Arial"/>
          <w:sz w:val="22"/>
          <w:szCs w:val="22"/>
          <w:color w:val="auto"/>
        </w:rPr>
        <w:t>Captions and headings are given to the sections and subsections of this Plan solely as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convenience to facilitate reference. Such headings will not be deemed in any way material or relevant to the construction or interpretation of this Plan or any provision thereof.</w:t>
      </w:r>
    </w:p>
    <w:p>
      <w:pPr>
        <w:spacing w:after="0" w:line="213"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2"/>
          <w:szCs w:val="22"/>
          <w:b w:val="1"/>
          <w:bCs w:val="1"/>
          <w:i w:val="1"/>
          <w:iCs w:val="1"/>
          <w:color w:val="auto"/>
        </w:rPr>
        <w:t xml:space="preserve">Non-Exclusivity of Plan. </w:t>
      </w:r>
      <w:r>
        <w:rPr>
          <w:rFonts w:ascii="Arial" w:cs="Arial" w:eastAsia="Arial" w:hAnsi="Arial"/>
          <w:sz w:val="22"/>
          <w:szCs w:val="22"/>
          <w:color w:val="auto"/>
        </w:rPr>
        <w:t>Nothing in this Plan will limit or be deemed to limit the authority of the Company to grant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awards or authorize any other compensation under any other plan or authority.</w:t>
      </w:r>
    </w:p>
    <w:p>
      <w:pPr>
        <w:spacing w:after="0" w:line="202" w:lineRule="exact"/>
        <w:rPr>
          <w:sz w:val="20"/>
          <w:szCs w:val="20"/>
          <w:color w:val="auto"/>
        </w:rPr>
      </w:pPr>
    </w:p>
    <w:p>
      <w:pPr>
        <w:jc w:val="both"/>
        <w:ind w:left="100" w:hanging="647"/>
        <w:spacing w:after="0" w:line="250" w:lineRule="auto"/>
        <w:tabs>
          <w:tab w:leader="none" w:pos="8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22"/>
          <w:szCs w:val="22"/>
          <w:b w:val="1"/>
          <w:bCs w:val="1"/>
          <w:i w:val="1"/>
          <w:iCs w:val="1"/>
          <w:color w:val="auto"/>
        </w:rPr>
        <w:t xml:space="preserve">Dispute Resolution: </w:t>
      </w:r>
      <w:r>
        <w:rPr>
          <w:rFonts w:ascii="Arial" w:cs="Arial" w:eastAsia="Arial" w:hAnsi="Arial"/>
          <w:sz w:val="22"/>
          <w:szCs w:val="22"/>
          <w:color w:val="auto"/>
        </w:rPr>
        <w:t>All disputes concerning Plan implementation must be submitted in writing to the next level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management within thirty (30) days of the occurrence of the event triggering a dispute. The Committee will have the sole responsibility to review and resolve all disputes and will make the final and binding decision with respect thereto.</w:t>
      </w:r>
    </w:p>
    <w:p>
      <w:pPr>
        <w:spacing w:after="0" w:line="215"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Furthermore, with respect to each Participant who is employed by the Company or any Subsidiary in the United States: to the fullest extent allowed by law, any dispute regarding the Plan, any claim for wages or compensation or any aspect of this Plan</w:t>
      </w:r>
    </w:p>
    <w:p>
      <w:pPr>
        <w:spacing w:after="0" w:line="200" w:lineRule="exact"/>
        <w:rPr>
          <w:sz w:val="20"/>
          <w:szCs w:val="20"/>
          <w:color w:val="auto"/>
        </w:rPr>
      </w:pP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20"/>
          </w:cols>
          <w:pgMar w:left="1440" w:top="375" w:right="239" w:bottom="1440" w:gutter="0" w:footer="0" w:header="0"/>
        </w:sectPr>
      </w:pPr>
    </w:p>
    <w:bookmarkStart w:id="121" w:name="page122"/>
    <w:bookmarkEnd w:id="121"/>
    <w:p>
      <w:pPr>
        <w:jc w:val="both"/>
        <w:ind w:left="10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Arbitrable Claims</w:t>
      </w:r>
      <w:r>
        <w:rPr>
          <w:rFonts w:ascii="Arial" w:cs="Arial" w:eastAsia="Arial" w:hAnsi="Arial"/>
          <w:sz w:val="21"/>
          <w:szCs w:val="21"/>
          <w:color w:val="auto"/>
        </w:rPr>
        <w:t>”) will be settled by final and binding arbitration before a single arbitrator in the county in which the Participant worked in accordance with the JAMS Employment Arbitration Rules and Procedures (“</w:t>
      </w:r>
      <w:r>
        <w:rPr>
          <w:rFonts w:ascii="Arial" w:cs="Arial" w:eastAsia="Arial" w:hAnsi="Arial"/>
          <w:sz w:val="21"/>
          <w:szCs w:val="21"/>
          <w:b w:val="1"/>
          <w:bCs w:val="1"/>
          <w:color w:val="auto"/>
        </w:rPr>
        <w:t>Rules</w:t>
      </w:r>
      <w:r>
        <w:rPr>
          <w:rFonts w:ascii="Arial" w:cs="Arial" w:eastAsia="Arial" w:hAnsi="Arial"/>
          <w:sz w:val="21"/>
          <w:szCs w:val="21"/>
          <w:color w:val="auto"/>
        </w:rPr>
        <w:t>”), or equivalent rules in effect at the time the arbitration demand is filed, as the exclusive remedy for such dispute, and judgment upon the award rendered by the arbitrator may be entered in any court having jurisdiction thereof. As in any arbitration, the burden of proof will be allocated as provided by applicable law. Both the Participant and the Company will be entitled to file dispositive motions before the arbitrator to the same extent as would be allowed had the dispute been heard in a court of law having jurisdiction over the parties' claims or counterclaims. The arbitrator will have the same authority as a court to award equitable relief, damages, costs, and fees as provided by law or the applicable rules for the particular claims asserted.</w:t>
      </w:r>
    </w:p>
    <w:p>
      <w:pPr>
        <w:spacing w:after="0" w:line="213" w:lineRule="exact"/>
        <w:rPr>
          <w:sz w:val="20"/>
          <w:szCs w:val="20"/>
          <w:color w:val="auto"/>
        </w:rPr>
      </w:pPr>
    </w:p>
    <w:p>
      <w:pPr>
        <w:jc w:val="both"/>
        <w:ind w:left="100"/>
        <w:spacing w:after="0" w:line="246" w:lineRule="auto"/>
        <w:rPr>
          <w:sz w:val="20"/>
          <w:szCs w:val="20"/>
          <w:color w:val="auto"/>
        </w:rPr>
      </w:pPr>
      <w:r>
        <w:rPr>
          <w:rFonts w:ascii="Arial" w:cs="Arial" w:eastAsia="Arial" w:hAnsi="Arial"/>
          <w:sz w:val="22"/>
          <w:szCs w:val="22"/>
          <w:color w:val="auto"/>
        </w:rPr>
        <w:t>The arbitration proceedings do not provide for jury trials, but for a hearing before one independent, neutral arbitrator. Therefore, in agreeing to arbitrate claims, both the Participant and the Company and its affiliates are waiving a trial or hearing before a jury. The participant agrees that any Arbitrable Claims will be resolved on an individual basis and agrees to waive his or her right, to the extent allowed by applicable law to consolidate any Arbitrable Claims with the claims of any other person in a class or collective action. For the avoidance of doubt, the arbitrator may not consolidate more than one person’s or entity’s claims, and may not preside over any form of representative or class proceeding.</w:t>
      </w:r>
    </w:p>
    <w:p>
      <w:pPr>
        <w:spacing w:after="0" w:line="224" w:lineRule="exact"/>
        <w:rPr>
          <w:sz w:val="20"/>
          <w:szCs w:val="20"/>
          <w:color w:val="auto"/>
        </w:rPr>
      </w:pPr>
    </w:p>
    <w:p>
      <w:pPr>
        <w:jc w:val="both"/>
        <w:ind w:left="100"/>
        <w:spacing w:after="0" w:line="248" w:lineRule="auto"/>
        <w:rPr>
          <w:sz w:val="20"/>
          <w:szCs w:val="20"/>
          <w:color w:val="auto"/>
        </w:rPr>
      </w:pPr>
      <w:r>
        <w:rPr>
          <w:rFonts w:ascii="Arial" w:cs="Arial" w:eastAsia="Arial" w:hAnsi="Arial"/>
          <w:sz w:val="22"/>
          <w:szCs w:val="22"/>
          <w:color w:val="auto"/>
        </w:rPr>
        <w:t>Participants who are employed by the Company or any Subsidiary outside of the United States (exempting US ex-pats) agree that any action arising from or under the Plan will be brought only in an administrative agency, court, or other applicable adjudicatory body of competent jurisdiction in the applicable country of the governing law of the Plan in respect of such participant’s employment. To the extent permissible under the applicable laws, the parties expressly waive their right to a jury trial.</w:t>
      </w:r>
    </w:p>
    <w:p>
      <w:pPr>
        <w:spacing w:after="0" w:line="219"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If any provision or provisions of this Plan will be held to be invalid, illegal, or unenforceable, such provision will be enforced to the fullest extent permitted by applicable law and the validity, legality, and enforceability of the remaining provisions will not in any way be affected or impaired.</w:t>
      </w:r>
    </w:p>
    <w:p>
      <w:pPr>
        <w:spacing w:after="0" w:line="213" w:lineRule="exact"/>
        <w:rPr>
          <w:sz w:val="20"/>
          <w:szCs w:val="20"/>
          <w:color w:val="auto"/>
        </w:rPr>
      </w:pPr>
    </w:p>
    <w:p>
      <w:pPr>
        <w:jc w:val="both"/>
        <w:ind w:left="100" w:hanging="647"/>
        <w:spacing w:after="0" w:line="294" w:lineRule="auto"/>
        <w:tabs>
          <w:tab w:leader="none" w:pos="8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b w:val="1"/>
          <w:bCs w:val="1"/>
          <w:i w:val="1"/>
          <w:iCs w:val="1"/>
          <w:color w:val="auto"/>
        </w:rPr>
        <w:t xml:space="preserve">Code Section 409A. </w:t>
      </w:r>
      <w:r>
        <w:rPr>
          <w:rFonts w:ascii="Arial" w:cs="Arial" w:eastAsia="Arial" w:hAnsi="Arial"/>
          <w:sz w:val="19"/>
          <w:szCs w:val="19"/>
          <w:color w:val="auto"/>
        </w:rPr>
        <w:t>The Company’s intent is that any payments and benefits paid under this Plan be exempt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comply with, Section 409A of the Code so as to not result in any tax, penalty or interest thereunder. To the maximum extent permitted, this Plan will be interpreted and administered consistent with such intent. Each payment under this Plan will be construed as a separate identified payment for purposes of Section 409A of the Code, and any payments described in this Plan that are due within the “short term deferral period” as defined in Section 409A of the Code will not be treated as deferred compensation unless applicable law requires otherwise.</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20"/>
          </w:cols>
          <w:pgMar w:left="1440" w:top="369" w:right="239" w:bottom="1440" w:gutter="0" w:footer="0" w:header="0"/>
        </w:sectPr>
      </w:pPr>
    </w:p>
    <w:bookmarkStart w:id="122" w:name="page123"/>
    <w:bookmarkEnd w:id="122"/>
    <w:p>
      <w:pPr>
        <w:jc w:val="both"/>
        <w:ind w:left="640" w:hanging="647"/>
        <w:spacing w:after="0" w:line="248" w:lineRule="auto"/>
        <w:tabs>
          <w:tab w:leader="none" w:pos="62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22"/>
          <w:szCs w:val="22"/>
          <w:b w:val="1"/>
          <w:bCs w:val="1"/>
          <w:i w:val="1"/>
          <w:iCs w:val="1"/>
          <w:color w:val="auto"/>
        </w:rPr>
        <w:t xml:space="preserve">Clawback Provisions. </w:t>
      </w:r>
      <w:r>
        <w:rPr>
          <w:rFonts w:ascii="Arial" w:cs="Arial" w:eastAsia="Arial" w:hAnsi="Arial"/>
          <w:sz w:val="22"/>
          <w:szCs w:val="22"/>
          <w:color w:val="auto"/>
        </w:rPr>
        <w:t>All Awards and any Incentive Award paid under this Plan will be subject to the provisions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clawback or similar policy implemented by the Company from time to time, including, without limitation, any clawback or similar policy adopted to comply with the requirements of applicable law, such as the Dodd-Frank Wall Street Reform and Consumer Protection Act and any rules or regulations promulgated thereunder, to the extent set forth in such clawback.</w:t>
      </w:r>
    </w:p>
    <w:p>
      <w:pPr>
        <w:spacing w:after="0" w:line="21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b w:val="1"/>
          <w:bCs w:val="1"/>
          <w:i w:val="1"/>
          <w:iCs w:val="1"/>
          <w:color w:val="auto"/>
        </w:rPr>
        <w:t xml:space="preserve">Effective Date. </w:t>
      </w:r>
      <w:r>
        <w:rPr>
          <w:rFonts w:ascii="Arial" w:cs="Arial" w:eastAsia="Arial" w:hAnsi="Arial"/>
          <w:sz w:val="19"/>
          <w:szCs w:val="19"/>
          <w:color w:val="auto"/>
        </w:rPr>
        <w:t>This Plan is effective as of August 7, 2019.</w:t>
      </w:r>
    </w:p>
    <w:p>
      <w:pPr>
        <w:spacing w:after="0" w:line="200" w:lineRule="exact"/>
        <w:rPr>
          <w:sz w:val="20"/>
          <w:szCs w:val="20"/>
          <w:color w:val="auto"/>
        </w:rPr>
      </w:pPr>
    </w:p>
    <w:p>
      <w:pPr>
        <w:spacing w:after="0" w:line="28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60"/>
          </w:cols>
          <w:pgMar w:left="900" w:top="375" w:right="239" w:bottom="1440" w:gutter="0" w:footer="0" w:header="0"/>
        </w:sectPr>
      </w:pPr>
    </w:p>
    <w:bookmarkStart w:id="123" w:name="page124"/>
    <w:bookmarkEnd w:id="123"/>
    <w:p>
      <w:pPr>
        <w:jc w:val="right"/>
        <w:ind w:right="20"/>
        <w:spacing w:after="0"/>
        <w:rPr>
          <w:sz w:val="20"/>
          <w:szCs w:val="20"/>
          <w:color w:val="auto"/>
        </w:rPr>
      </w:pPr>
      <w:r>
        <w:rPr>
          <w:rFonts w:ascii="Arial" w:cs="Arial" w:eastAsia="Arial" w:hAnsi="Arial"/>
          <w:sz w:val="18"/>
          <w:szCs w:val="18"/>
          <w:b w:val="1"/>
          <w:bCs w:val="1"/>
          <w:color w:val="auto"/>
        </w:rPr>
        <w:t>Western Digital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1869440" cy="317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869440" cy="317500"/>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5601 Great Oaks Parkway</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San Jose, California 95119</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(408)717-6000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August 7,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Personal &amp; Confidential</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Mr. Martin R. Fink</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[address redacted]</w:t>
      </w:r>
    </w:p>
    <w:p>
      <w:pPr>
        <w:spacing w:after="0" w:line="200" w:lineRule="exact"/>
        <w:rPr>
          <w:sz w:val="20"/>
          <w:szCs w:val="20"/>
          <w:color w:val="auto"/>
        </w:rPr>
      </w:pPr>
    </w:p>
    <w:p>
      <w:pPr>
        <w:spacing w:after="0" w:line="35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Re:</w:t>
        <w:tab/>
        <w:t>Special Advisor Terms &amp; Conditions of Employment</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Dear Martin,</w:t>
      </w:r>
    </w:p>
    <w:p>
      <w:pPr>
        <w:spacing w:after="0" w:line="200" w:lineRule="exact"/>
        <w:rPr>
          <w:sz w:val="20"/>
          <w:szCs w:val="20"/>
          <w:color w:val="auto"/>
        </w:rPr>
      </w:pPr>
    </w:p>
    <w:p>
      <w:pPr>
        <w:spacing w:after="0" w:line="35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Letter Agreement confirms the terms of your continued employment with Western Digital Technologies, Inc. (the “Company”) in light of your announcement that you intend to retire effective September 13, 2019.</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Special Advisor Role</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You have graciously agreed to provide transitional services to the Company after your intended retirement date. Beginning on September 16, 2019 (the “Transition Date”), you will cease to be an officer of Western Digital Corporation or any of its affiliates and your position will be converted to a part-time Advisor role. You will work up to one day per week at the direction of Steve Milligan to support Western Digital’s Open Source and RISC-V activities and to provide additional support to Siva Sivaram as needed.</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expect to require your transitional assistance for approximately 6 months. In the event you and the Company mutually agree there is a longer-term need for you to provide transition services, we will jointly agree on an extended term of up to 6 additional months. If your employment in the Advisor role is not extended by mutual agreement between you and the Company, your employment will be terminated on or about March 16, 2020, or such earlier date that you or the Company may determine (the “Separation Date”).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Employment Status, Compensation &amp; Benefits</w:t>
      </w:r>
    </w:p>
    <w:p>
      <w:pPr>
        <w:spacing w:after="0" w:line="22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Effective on the Transition Date, you will become a part-time employee where you will work no more than one day per week (representing 8 hours per week or 20% Full Time Equivalent) on average during the period you will provide Advisor services.</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Your annualized base salary as an Advisor will be $300,000, less applicable taxes and other withholdings. You will continue to be paid bi-weekly according to the Company’s regular payroll processes until the Separation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As a part-time advisory employee:</w:t>
      </w:r>
    </w:p>
    <w:p>
      <w:pPr>
        <w:spacing w:after="0" w:line="220" w:lineRule="exact"/>
        <w:rPr>
          <w:sz w:val="20"/>
          <w:szCs w:val="20"/>
          <w:color w:val="auto"/>
        </w:rPr>
      </w:pPr>
    </w:p>
    <w:p>
      <w:pPr>
        <w:ind w:right="20" w:firstLine="8"/>
        <w:spacing w:after="0" w:line="263" w:lineRule="auto"/>
        <w:tabs>
          <w:tab w:leader="none" w:pos="291" w:val="left"/>
        </w:tabs>
        <w:numPr>
          <w:ilvl w:val="0"/>
          <w:numId w:val="76"/>
        </w:numPr>
        <w:rPr>
          <w:rFonts w:ascii="Arial" w:cs="Arial" w:eastAsia="Arial" w:hAnsi="Arial"/>
          <w:sz w:val="22"/>
          <w:szCs w:val="22"/>
          <w:color w:val="auto"/>
        </w:rPr>
      </w:pPr>
      <w:r>
        <w:rPr>
          <w:rFonts w:ascii="Arial" w:cs="Arial" w:eastAsia="Arial" w:hAnsi="Arial"/>
          <w:sz w:val="22"/>
          <w:szCs w:val="22"/>
          <w:color w:val="auto"/>
        </w:rPr>
        <w:t>You will not be eligible to participate in any Western Digital Corporation incentive plans (including but not limited to the Short-Term Incentive or Long-Term Incentive Plans). You will</w:t>
      </w:r>
    </w:p>
    <w:p>
      <w:pPr>
        <w:sectPr>
          <w:pgSz w:w="11900" w:h="16838" w:orient="portrait"/>
          <w:cols w:equalWidth="0" w:num="1">
            <w:col w:w="11420"/>
          </w:cols>
          <w:pgMar w:left="240" w:top="283" w:right="23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Mr. Martin R. Fink</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August 7, 2019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 be eligible for any new grants of Restricted Stock Units, Performance Stock Units, Stock Options, or any other equity awards. However, your existing Western Digital Corporation equity awards will continue to vest as an active employee through the Separation Date, subject to the terms of the applicable plans and your award agreements.</w:t>
      </w:r>
    </w:p>
    <w:p>
      <w:pPr>
        <w:spacing w:after="0" w:line="186" w:lineRule="exact"/>
        <w:rPr>
          <w:sz w:val="20"/>
          <w:szCs w:val="20"/>
          <w:color w:val="auto"/>
        </w:rPr>
      </w:pPr>
    </w:p>
    <w:p>
      <w:pPr>
        <w:jc w:val="both"/>
        <w:ind w:firstLine="8"/>
        <w:spacing w:after="0" w:line="253" w:lineRule="auto"/>
        <w:tabs>
          <w:tab w:leader="none" w:pos="394" w:val="left"/>
        </w:tabs>
        <w:numPr>
          <w:ilvl w:val="0"/>
          <w:numId w:val="77"/>
        </w:numPr>
        <w:rPr>
          <w:rFonts w:ascii="Arial" w:cs="Arial" w:eastAsia="Arial" w:hAnsi="Arial"/>
          <w:sz w:val="22"/>
          <w:szCs w:val="22"/>
          <w:color w:val="auto"/>
        </w:rPr>
      </w:pPr>
      <w:r>
        <w:rPr>
          <w:rFonts w:ascii="Arial" w:cs="Arial" w:eastAsia="Arial" w:hAnsi="Arial"/>
          <w:sz w:val="22"/>
          <w:szCs w:val="22"/>
          <w:color w:val="auto"/>
        </w:rPr>
        <w:t>You will not be eligible to continue to participate in certain Company-sponsored health and welfare benefit plans (such as medical, dental and vision) as they require an employee to work at least 20 hours per week. Further details regarding the benefit programs can be provided to you by the benefits department.</w:t>
      </w:r>
    </w:p>
    <w:p>
      <w:pPr>
        <w:spacing w:after="0" w:line="185" w:lineRule="exact"/>
        <w:rPr>
          <w:rFonts w:ascii="Arial" w:cs="Arial" w:eastAsia="Arial" w:hAnsi="Arial"/>
          <w:sz w:val="22"/>
          <w:szCs w:val="22"/>
          <w:color w:val="auto"/>
        </w:rPr>
      </w:pPr>
    </w:p>
    <w:p>
      <w:pPr>
        <w:jc w:val="both"/>
        <w:ind w:firstLine="8"/>
        <w:spacing w:after="0" w:line="253" w:lineRule="auto"/>
        <w:tabs>
          <w:tab w:leader="none" w:pos="328" w:val="left"/>
        </w:tabs>
        <w:numPr>
          <w:ilvl w:val="0"/>
          <w:numId w:val="77"/>
        </w:numPr>
        <w:rPr>
          <w:rFonts w:ascii="Arial" w:cs="Arial" w:eastAsia="Arial" w:hAnsi="Arial"/>
          <w:sz w:val="22"/>
          <w:szCs w:val="22"/>
          <w:color w:val="auto"/>
        </w:rPr>
      </w:pPr>
      <w:r>
        <w:rPr>
          <w:rFonts w:ascii="Arial" w:cs="Arial" w:eastAsia="Arial" w:hAnsi="Arial"/>
          <w:sz w:val="22"/>
          <w:szCs w:val="22"/>
          <w:color w:val="auto"/>
        </w:rPr>
        <w:t>You will not be eligible to continue to participate in the Western Digital Deferred Compensation Plan (DCP) after the deemed “separation from service” event (as outlined below under the DCP section) at which time any future deferrals into DCP will be discontinued.</w:t>
      </w:r>
    </w:p>
    <w:p>
      <w:pPr>
        <w:spacing w:after="0" w:line="185" w:lineRule="exact"/>
        <w:rPr>
          <w:rFonts w:ascii="Arial" w:cs="Arial" w:eastAsia="Arial" w:hAnsi="Arial"/>
          <w:sz w:val="22"/>
          <w:szCs w:val="22"/>
          <w:color w:val="auto"/>
        </w:rPr>
      </w:pPr>
    </w:p>
    <w:p>
      <w:pPr>
        <w:ind w:right="20" w:firstLine="8"/>
        <w:spacing w:after="0" w:line="263" w:lineRule="auto"/>
        <w:tabs>
          <w:tab w:leader="none" w:pos="331" w:val="left"/>
        </w:tabs>
        <w:numPr>
          <w:ilvl w:val="0"/>
          <w:numId w:val="77"/>
        </w:numPr>
        <w:rPr>
          <w:rFonts w:ascii="Arial" w:cs="Arial" w:eastAsia="Arial" w:hAnsi="Arial"/>
          <w:sz w:val="22"/>
          <w:szCs w:val="22"/>
          <w:color w:val="auto"/>
        </w:rPr>
      </w:pPr>
      <w:r>
        <w:rPr>
          <w:rFonts w:ascii="Arial" w:cs="Arial" w:eastAsia="Arial" w:hAnsi="Arial"/>
          <w:sz w:val="22"/>
          <w:szCs w:val="22"/>
          <w:color w:val="auto"/>
        </w:rPr>
        <w:t>You will be able to continue participation in the Western Digital 401(k) plan at your discretion as an active employee through the Separation Date, subject to the terms of the plan.</w:t>
      </w:r>
    </w:p>
    <w:p>
      <w:pPr>
        <w:spacing w:after="0" w:line="174" w:lineRule="exact"/>
        <w:rPr>
          <w:rFonts w:ascii="Arial" w:cs="Arial" w:eastAsia="Arial" w:hAnsi="Arial"/>
          <w:sz w:val="22"/>
          <w:szCs w:val="22"/>
          <w:color w:val="auto"/>
        </w:rPr>
      </w:pPr>
    </w:p>
    <w:p>
      <w:pPr>
        <w:ind w:firstLine="8"/>
        <w:spacing w:after="0" w:line="263" w:lineRule="auto"/>
        <w:tabs>
          <w:tab w:leader="none" w:pos="366" w:val="left"/>
        </w:tabs>
        <w:numPr>
          <w:ilvl w:val="0"/>
          <w:numId w:val="77"/>
        </w:numPr>
        <w:rPr>
          <w:rFonts w:ascii="Arial" w:cs="Arial" w:eastAsia="Arial" w:hAnsi="Arial"/>
          <w:sz w:val="22"/>
          <w:szCs w:val="22"/>
          <w:color w:val="auto"/>
        </w:rPr>
      </w:pPr>
      <w:r>
        <w:rPr>
          <w:rFonts w:ascii="Arial" w:cs="Arial" w:eastAsia="Arial" w:hAnsi="Arial"/>
          <w:sz w:val="22"/>
          <w:szCs w:val="22"/>
          <w:color w:val="auto"/>
        </w:rPr>
        <w:t>You agree that you will not work for, or provide consulting or other services to, or for the benefit of, any competitor of the Company during the transition period.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Western Digital Executive Severance Plans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Your participation in the Western Digital Corporation Executive Severance Plan and the Western Digital Corporation Amended and Restated Change of Control Severance Plan will end on the Transition Date.</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You agree that you will not be entitled to any benefits under either plan, or under any other severance plan, policy or arrangement of Western Digital Corporation or any of its affiliates, in connection with the transition of your employment to a part-time Advisor or when your employment ends on the Separation Date.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Deferred Compensation Plan &amp; Compliance with IRS Section 409A</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Based on the intended level of your services as provided above, the Transition Date will be considered a “separation from service” under Section 409A of the Internal Revenue Code, triggering payment of your benefits under the Company’s Deferred Compensation Plan. Accordingly, and in accordance with the Deferred Compensation Plan and your applicable plan elections, you will receive a lump-sum payout of your Deferred Compensation Plan benefit during October 2019 (the calendar month following your separation from service). Under Section 409A, a “separation from service” generally occurs if an employee has a termination of employment.</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Whether a termination of employment has occurred is based on the particular facts and circumstances and, in general, a separation from service is presumed to have occurred under Section 409A if an employee and an employer reasonably anticipate that the employee’s level of bona fide services after a particular date will permanently decrease to no more than 20% of the average level of bona fide services that the employee performed over the immediately preceding 36-month period. Accordingly, in order for you to avoid Section 409A penalty taxes, it is very important that you not provide services during the transition period in excess of this 20% level.</w:t>
      </w:r>
    </w:p>
    <w:p>
      <w:pPr>
        <w:sectPr>
          <w:pgSz w:w="11900" w:h="16838" w:orient="portrait"/>
          <w:cols w:equalWidth="0" w:num="1">
            <w:col w:w="11420"/>
          </w:cols>
          <w:pgMar w:left="240" w:top="132" w:right="2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Mr. Martin R. Fink</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August 7, 2019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Please let me know if you have any questions about this Letter Agreement. Otherwise, please sign below to acknowledge your acceptance of these terms and conditions, and return a signed copy of the letter to me at your convenience.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Lori Sundberg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Lori S. Sundberg</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EVP &amp; Chief Human Resources Officer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Corporation</w:t>
      </w:r>
    </w:p>
    <w:p>
      <w:pPr>
        <w:spacing w:after="0" w:line="147"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43"/>
          <w:szCs w:val="43"/>
          <w:color w:val="auto"/>
          <w:vertAlign w:val="subscript"/>
        </w:rPr>
        <w:t>Copy to:</w:t>
      </w:r>
      <w:r>
        <w:rPr>
          <w:sz w:val="20"/>
          <w:szCs w:val="20"/>
          <w:color w:val="auto"/>
        </w:rPr>
        <w:tab/>
      </w:r>
      <w:r>
        <w:rPr>
          <w:rFonts w:ascii="Arial" w:cs="Arial" w:eastAsia="Arial" w:hAnsi="Arial"/>
          <w:sz w:val="19"/>
          <w:szCs w:val="19"/>
          <w:color w:val="auto"/>
        </w:rPr>
        <w:t>Stephen D. Milligan, Chief Executive Officer</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Michael C. Ray, EVP &amp; Chief Legal Officer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gridSpan w:val="2"/>
          </w:tcPr>
          <w:p>
            <w:pPr>
              <w:spacing w:after="0"/>
              <w:rPr>
                <w:sz w:val="20"/>
                <w:szCs w:val="20"/>
                <w:color w:val="auto"/>
              </w:rPr>
            </w:pPr>
            <w:r>
              <w:rPr>
                <w:rFonts w:ascii="Arial" w:cs="Arial" w:eastAsia="Arial" w:hAnsi="Arial"/>
                <w:sz w:val="22"/>
                <w:szCs w:val="22"/>
                <w:color w:val="auto"/>
              </w:rPr>
              <w:t>By:  /s/ Martin R. Fink</w:t>
            </w:r>
          </w:p>
        </w:tc>
        <w:tc>
          <w:tcPr>
            <w:tcW w:w="1760" w:type="dxa"/>
            <w:vAlign w:val="bottom"/>
            <w:gridSpan w:val="2"/>
          </w:tcPr>
          <w:p>
            <w:pPr>
              <w:ind w:left="420"/>
              <w:spacing w:after="0"/>
              <w:rPr>
                <w:sz w:val="20"/>
                <w:szCs w:val="20"/>
                <w:color w:val="auto"/>
              </w:rPr>
            </w:pPr>
            <w:r>
              <w:rPr>
                <w:rFonts w:ascii="Arial" w:cs="Arial" w:eastAsia="Arial" w:hAnsi="Arial"/>
                <w:sz w:val="22"/>
                <w:szCs w:val="22"/>
                <w:color w:val="auto"/>
                <w:w w:val="89"/>
              </w:rPr>
              <w:t>August 8, 2019</w:t>
            </w:r>
          </w:p>
        </w:tc>
      </w:tr>
      <w:tr>
        <w:trPr>
          <w:trHeight w:val="20"/>
        </w:trPr>
        <w:tc>
          <w:tcPr>
            <w:tcW w:w="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87"/>
        </w:trPr>
        <w:tc>
          <w:tcPr>
            <w:tcW w:w="540" w:type="dxa"/>
            <w:vAlign w:val="bottom"/>
          </w:tcPr>
          <w:p>
            <w:pPr>
              <w:spacing w:after="0"/>
              <w:rPr>
                <w:sz w:val="24"/>
                <w:szCs w:val="24"/>
                <w:color w:val="auto"/>
              </w:rPr>
            </w:pPr>
          </w:p>
        </w:tc>
        <w:tc>
          <w:tcPr>
            <w:tcW w:w="1980" w:type="dxa"/>
            <w:vAlign w:val="bottom"/>
          </w:tcPr>
          <w:p>
            <w:pPr>
              <w:ind w:left="120"/>
              <w:spacing w:after="0"/>
              <w:rPr>
                <w:sz w:val="20"/>
                <w:szCs w:val="20"/>
                <w:color w:val="auto"/>
              </w:rPr>
            </w:pPr>
            <w:r>
              <w:rPr>
                <w:rFonts w:ascii="Arial" w:cs="Arial" w:eastAsia="Arial" w:hAnsi="Arial"/>
                <w:sz w:val="22"/>
                <w:szCs w:val="22"/>
                <w:b w:val="1"/>
                <w:bCs w:val="1"/>
                <w:color w:val="auto"/>
              </w:rPr>
              <w:t>Martin R. Fink</w:t>
            </w:r>
          </w:p>
        </w:tc>
        <w:tc>
          <w:tcPr>
            <w:tcW w:w="1760" w:type="dxa"/>
            <w:vAlign w:val="bottom"/>
            <w:gridSpan w:val="2"/>
          </w:tcPr>
          <w:p>
            <w:pPr>
              <w:ind w:left="420"/>
              <w:spacing w:after="0"/>
              <w:rPr>
                <w:sz w:val="20"/>
                <w:szCs w:val="20"/>
                <w:color w:val="auto"/>
              </w:rPr>
            </w:pPr>
            <w:r>
              <w:rPr>
                <w:rFonts w:ascii="Arial" w:cs="Arial" w:eastAsia="Arial" w:hAnsi="Arial"/>
                <w:sz w:val="22"/>
                <w:szCs w:val="22"/>
                <w:b w:val="1"/>
                <w:bCs w:val="1"/>
                <w:color w:val="auto"/>
              </w:rPr>
              <w:t>Date</w:t>
            </w:r>
          </w:p>
        </w:tc>
      </w:tr>
    </w:tbl>
    <w:p>
      <w:pPr>
        <w:sectPr>
          <w:pgSz w:w="11900" w:h="16838" w:orient="portrait"/>
          <w:cols w:equalWidth="0" w:num="1">
            <w:col w:w="11400"/>
          </w:cols>
          <w:pgMar w:left="240" w:top="131" w:right="2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520" w:hanging="188"/>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2019</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K. Eulau, certify that:</w:t>
      </w:r>
    </w:p>
    <w:p>
      <w:pPr>
        <w:spacing w:after="0" w:line="90" w:lineRule="exact"/>
        <w:rPr>
          <w:sz w:val="20"/>
          <w:szCs w:val="20"/>
          <w:color w:val="auto"/>
        </w:rPr>
      </w:pPr>
    </w:p>
    <w:p>
      <w:pPr>
        <w:ind w:left="520" w:hanging="188"/>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2019</w:t>
      </w:r>
    </w:p>
    <w:p>
      <w:pPr>
        <w:sectPr>
          <w:pgSz w:w="11900" w:h="16838" w:orient="portrait"/>
          <w:cols w:equalWidth="0" w:num="1">
            <w:col w:w="11420"/>
          </w:cols>
          <w:pgMar w:left="240" w:top="580" w:right="239" w:bottom="1440" w:gutter="0" w:footer="0" w:header="0"/>
        </w:sectPr>
      </w:pPr>
    </w:p>
    <w:bookmarkStart w:id="128" w:name="page129"/>
    <w:bookmarkEnd w:id="128"/>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520" w:firstLine="332"/>
        <w:spacing w:after="0" w:line="308" w:lineRule="auto"/>
        <w:tabs>
          <w:tab w:leader="none" w:pos="539"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October 4, 2019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2019</w:t>
      </w:r>
    </w:p>
    <w:p>
      <w:pPr>
        <w:sectPr>
          <w:pgSz w:w="11900" w:h="16838" w:orient="portrait"/>
          <w:cols w:equalWidth="0" w:num="1">
            <w:col w:w="11420"/>
          </w:cols>
          <w:pgMar w:left="240" w:top="580" w:right="239" w:bottom="1440" w:gutter="0" w:footer="0" w:header="0"/>
        </w:sectPr>
      </w:pPr>
    </w:p>
    <w:bookmarkStart w:id="129" w:name="page130"/>
    <w:bookmarkEnd w:id="129"/>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520" w:firstLine="332"/>
        <w:spacing w:after="0" w:line="308" w:lineRule="auto"/>
        <w:tabs>
          <w:tab w:leader="none" w:pos="53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October 4, 2019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lowerRoman"/>
      <w:start w:val="5"/>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Roman"/>
      <w:start w:val="2"/>
    </w:lvl>
  </w:abstractNum>
  <w:abstractNum w:abstractNumId="17">
    <w:nsid w:val="579478FE"/>
    <w:multiLevelType w:val="hybridMultilevel"/>
    <w:lvl w:ilvl="0">
      <w:lvlJc w:val="left"/>
      <w:lvlText w:val="(%1)"/>
      <w:numFmt w:val="lowerRoman"/>
      <w:start w:val="4"/>
    </w:lvl>
  </w:abstractNum>
  <w:abstractNum w:abstractNumId="18">
    <w:nsid w:val="749ABB43"/>
    <w:multiLevelType w:val="hybridMultilevel"/>
    <w:lvl w:ilvl="0">
      <w:lvlJc w:val="left"/>
      <w:lvlText w:val="†"/>
      <w:numFmt w:val="bullet"/>
      <w:start w:val="1"/>
    </w:lvl>
    <w:lvl w:ilvl="1">
      <w:lvlJc w:val="left"/>
      <w:lvlText w:val="%2"/>
      <w:numFmt w:val="decimal"/>
      <w:start w:val="104"/>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1)"/>
      <w:numFmt w:val="lowerRoman"/>
      <w:start w:val="2"/>
    </w:lvl>
    <w:lvl w:ilvl="1">
      <w:lvlJc w:val="left"/>
      <w:lvlText w:val="%2."/>
      <w:numFmt w:val="decimal"/>
      <w:start w:val="6"/>
    </w:lvl>
  </w:abstractNum>
  <w:abstractNum w:abstractNumId="22">
    <w:nsid w:val="75C6C33A"/>
    <w:multiLevelType w:val="hybridMultilevel"/>
    <w:lvl w:ilvl="0">
      <w:lvlJc w:val="left"/>
      <w:lvlText w:val="(%1)"/>
      <w:numFmt w:val="lowerLetter"/>
      <w:start w:val="1"/>
    </w:lvl>
  </w:abstractNum>
  <w:abstractNum w:abstractNumId="23">
    <w:nsid w:val="12E685FB"/>
    <w:multiLevelType w:val="hybridMultilevel"/>
    <w:lvl w:ilvl="0">
      <w:lvlJc w:val="left"/>
      <w:lvlText w:val="(%1)"/>
      <w:numFmt w:val="lowerLetter"/>
      <w:start w:val="4"/>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2"/>
    </w:lvl>
  </w:abstractNum>
  <w:abstractNum w:abstractNumId="26">
    <w:nsid w:val="374A3FE6"/>
    <w:multiLevelType w:val="hybridMultilevel"/>
    <w:lvl w:ilvl="0">
      <w:lvlJc w:val="left"/>
      <w:lvlText w:val="%1."/>
      <w:numFmt w:val="decimal"/>
      <w:start w:val="3"/>
    </w:lvl>
  </w:abstractNum>
  <w:abstractNum w:abstractNumId="27">
    <w:nsid w:val="4F4EF005"/>
    <w:multiLevelType w:val="hybridMultilevel"/>
    <w:lvl w:ilvl="0">
      <w:lvlJc w:val="left"/>
      <w:lvlText w:val="(%1)"/>
      <w:numFmt w:val="lowerLetter"/>
      <w:start w:val="1"/>
    </w:lvl>
  </w:abstractNum>
  <w:abstractNum w:abstractNumId="28">
    <w:nsid w:val="23F9C13C"/>
    <w:multiLevelType w:val="hybridMultilevel"/>
    <w:lvl w:ilvl="0">
      <w:lvlJc w:val="left"/>
      <w:lvlText w:val="%1."/>
      <w:numFmt w:val="decimal"/>
      <w:start w:val="4"/>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1"/>
      <w:numFmt w:val="lowerLetter"/>
      <w:start w:val="1"/>
    </w:lvl>
    <w:lvl w:ilvl="1">
      <w:lvlJc w:val="left"/>
      <w:lvlText w:val="(%2)"/>
      <w:numFmt w:val="lowerLetter"/>
      <w:start w:val="7"/>
    </w:lvl>
  </w:abstractNum>
  <w:abstractNum w:abstractNumId="31">
    <w:nsid w:val="39386575"/>
    <w:multiLevelType w:val="hybridMultilevel"/>
    <w:lvl w:ilvl="0">
      <w:lvlJc w:val="left"/>
      <w:lvlText w:val="(%1)"/>
      <w:numFmt w:val="lowerLetter"/>
      <w:start w:val="22"/>
    </w:lvl>
    <w:lvl w:ilvl="1">
      <w:lvlJc w:val="left"/>
      <w:lvlText w:val="(%2)"/>
      <w:numFmt w:val="lowerLetter"/>
      <w:start w:val="8"/>
    </w:lvl>
  </w:abstractNum>
  <w:abstractNum w:abstractNumId="32">
    <w:nsid w:val="1CF10FD8"/>
    <w:multiLevelType w:val="hybridMultilevel"/>
    <w:lvl w:ilvl="0">
      <w:lvlJc w:val="left"/>
      <w:lvlText w:val="%1."/>
      <w:numFmt w:val="decimal"/>
      <w:start w:val="5"/>
    </w:lvl>
  </w:abstractNum>
  <w:abstractNum w:abstractNumId="33">
    <w:nsid w:val="180115BE"/>
    <w:multiLevelType w:val="hybridMultilevel"/>
    <w:lvl w:ilvl="0">
      <w:lvlJc w:val="left"/>
      <w:lvlText w:val="%1."/>
      <w:numFmt w:val="decimal"/>
      <w:start w:val="6"/>
    </w:lvl>
  </w:abstractNum>
  <w:abstractNum w:abstractNumId="34">
    <w:nsid w:val="235BA861"/>
    <w:multiLevelType w:val="hybridMultilevel"/>
    <w:lvl w:ilvl="0">
      <w:lvlJc w:val="left"/>
      <w:lvlText w:val="%1."/>
      <w:numFmt w:val="decimal"/>
      <w:start w:val="7"/>
    </w:lvl>
  </w:abstractNum>
  <w:abstractNum w:abstractNumId="35">
    <w:nsid w:val="47398C89"/>
    <w:multiLevelType w:val="hybridMultilevel"/>
    <w:lvl w:ilvl="0">
      <w:lvlJc w:val="left"/>
      <w:lvlText w:val="%1."/>
      <w:numFmt w:val="decimal"/>
      <w:start w:val="8"/>
    </w:lvl>
  </w:abstractNum>
  <w:abstractNum w:abstractNumId="36">
    <w:nsid w:val="354FE9F9"/>
    <w:multiLevelType w:val="hybridMultilevel"/>
    <w:lvl w:ilvl="0">
      <w:lvlJc w:val="left"/>
      <w:lvlText w:val="(%1)"/>
      <w:numFmt w:val="lowerRoman"/>
      <w:start w:val="2"/>
    </w:lvl>
  </w:abstractNum>
  <w:abstractNum w:abstractNumId="37">
    <w:nsid w:val="15B5AF5C"/>
    <w:multiLevelType w:val="hybridMultilevel"/>
    <w:lvl w:ilvl="0">
      <w:lvlJc w:val="left"/>
      <w:lvlText w:val="(%1)"/>
      <w:numFmt w:val="lowerLetter"/>
      <w:start w:val="1"/>
    </w:lvl>
  </w:abstractNum>
  <w:abstractNum w:abstractNumId="38">
    <w:nsid w:val="741226BB"/>
    <w:multiLevelType w:val="hybridMultilevel"/>
    <w:lvl w:ilvl="0">
      <w:lvlJc w:val="left"/>
      <w:lvlText w:val="(%1)"/>
      <w:numFmt w:val="lowerLetter"/>
      <w:start w:val="4"/>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2"/>
    </w:lvl>
  </w:abstractNum>
  <w:abstractNum w:abstractNumId="41">
    <w:nsid w:val="3F6AB60F"/>
    <w:multiLevelType w:val="hybridMultilevel"/>
    <w:lvl w:ilvl="0">
      <w:lvlJc w:val="left"/>
      <w:lvlText w:val="%1."/>
      <w:numFmt w:val="decimal"/>
      <w:start w:val="3"/>
    </w:lvl>
  </w:abstractNum>
  <w:abstractNum w:abstractNumId="42">
    <w:nsid w:val="61574095"/>
    <w:multiLevelType w:val="hybridMultilevel"/>
    <w:lvl w:ilvl="0">
      <w:lvlJc w:val="left"/>
      <w:lvlText w:val="(%1)"/>
      <w:numFmt w:val="lowerLetter"/>
      <w:start w:val="1"/>
    </w:lvl>
  </w:abstractNum>
  <w:abstractNum w:abstractNumId="43">
    <w:nsid w:val="7E0C57B1"/>
    <w:multiLevelType w:val="hybridMultilevel"/>
    <w:lvl w:ilvl="0">
      <w:lvlJc w:val="left"/>
      <w:lvlText w:val="%1."/>
      <w:numFmt w:val="decimal"/>
      <w:start w:val="4"/>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lowerLetter"/>
      <w:start w:val="1"/>
    </w:lvl>
    <w:lvl w:ilvl="1">
      <w:lvlJc w:val="left"/>
      <w:lvlText w:val="(%2)"/>
      <w:numFmt w:val="lowerLetter"/>
      <w:start w:val="6"/>
    </w:lvl>
  </w:abstractNum>
  <w:abstractNum w:abstractNumId="46">
    <w:nsid w:val="310C50B3"/>
    <w:multiLevelType w:val="hybridMultilevel"/>
    <w:lvl w:ilvl="0">
      <w:lvlJc w:val="left"/>
      <w:lvlText w:val="(%1)"/>
      <w:numFmt w:val="lowerLetter"/>
      <w:start w:val="22"/>
    </w:lvl>
    <w:lvl w:ilvl="1">
      <w:lvlJc w:val="left"/>
      <w:lvlText w:val="(%2)"/>
      <w:numFmt w:val="lowerLetter"/>
      <w:start w:val="8"/>
    </w:lvl>
  </w:abstractNum>
  <w:abstractNum w:abstractNumId="47">
    <w:nsid w:val="5FF87E05"/>
    <w:multiLevelType w:val="hybridMultilevel"/>
    <w:lvl w:ilvl="0">
      <w:lvlJc w:val="left"/>
      <w:lvlText w:val="%1."/>
      <w:numFmt w:val="decimal"/>
      <w:start w:val="5"/>
    </w:lvl>
  </w:abstractNum>
  <w:abstractNum w:abstractNumId="48">
    <w:nsid w:val="2F305DEF"/>
    <w:multiLevelType w:val="hybridMultilevel"/>
    <w:lvl w:ilvl="0">
      <w:lvlJc w:val="left"/>
      <w:lvlText w:val="%1."/>
      <w:numFmt w:val="decimal"/>
      <w:start w:val="6"/>
    </w:lvl>
  </w:abstractNum>
  <w:abstractNum w:abstractNumId="49">
    <w:nsid w:val="25A70BF7"/>
    <w:multiLevelType w:val="hybridMultilevel"/>
    <w:lvl w:ilvl="0">
      <w:lvlJc w:val="left"/>
      <w:lvlText w:val="%1."/>
      <w:numFmt w:val="decimal"/>
      <w:start w:val="7"/>
    </w:lvl>
  </w:abstractNum>
  <w:abstractNum w:abstractNumId="50">
    <w:nsid w:val="1DBABF00"/>
    <w:multiLevelType w:val="hybridMultilevel"/>
    <w:lvl w:ilvl="0">
      <w:lvlJc w:val="left"/>
      <w:lvlText w:val="%1."/>
      <w:numFmt w:val="decimal"/>
      <w:start w:val="8"/>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lowerRoman"/>
      <w:start w:val="2"/>
    </w:lvl>
  </w:abstractNum>
  <w:abstractNum w:abstractNumId="53">
    <w:nsid w:val="1381823A"/>
    <w:multiLevelType w:val="hybridMultilevel"/>
    <w:lvl w:ilvl="0">
      <w:lvlJc w:val="left"/>
      <w:lvlText w:val="(%1)"/>
      <w:numFmt w:val="lowerLetter"/>
      <w:start w:val="1"/>
    </w:lvl>
  </w:abstractNum>
  <w:abstractNum w:abstractNumId="54">
    <w:nsid w:val="5DB70AE5"/>
    <w:multiLevelType w:val="hybridMultilevel"/>
    <w:lvl w:ilvl="0">
      <w:lvlJc w:val="left"/>
      <w:lvlText w:val="(%1)"/>
      <w:numFmt w:val="lowerLetter"/>
      <w:start w:val="4"/>
    </w:lvl>
  </w:abstractNum>
  <w:abstractNum w:abstractNumId="55">
    <w:nsid w:val="100F8FCA"/>
    <w:multiLevelType w:val="hybridMultilevel"/>
    <w:lvl w:ilvl="0">
      <w:lvlJc w:val="left"/>
      <w:lvlText w:val="(%1)"/>
      <w:numFmt w:val="lowerRoman"/>
      <w:start w:val="1"/>
    </w:lvl>
  </w:abstractNum>
  <w:abstractNum w:abstractNumId="56">
    <w:nsid w:val="6590700B"/>
    <w:multiLevelType w:val="hybridMultilevel"/>
    <w:lvl w:ilvl="0">
      <w:lvlJc w:val="left"/>
      <w:lvlText w:val="(%1)"/>
      <w:numFmt w:val="lowerRoman"/>
      <w:start w:val="2"/>
    </w:lvl>
  </w:abstractNum>
  <w:abstractNum w:abstractNumId="57">
    <w:nsid w:val="15014ACB"/>
    <w:multiLevelType w:val="hybridMultilevel"/>
    <w:lvl w:ilvl="0">
      <w:lvlJc w:val="left"/>
      <w:lvlText w:val="(%1)"/>
      <w:numFmt w:val="lowerLetter"/>
      <w:start w:val="5"/>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2"/>
    </w:lvl>
  </w:abstractNum>
  <w:abstractNum w:abstractNumId="60">
    <w:nsid w:val="799D0247"/>
    <w:multiLevelType w:val="hybridMultilevel"/>
    <w:lvl w:ilvl="0">
      <w:lvlJc w:val="left"/>
      <w:lvlText w:val="%1."/>
      <w:numFmt w:val="decimal"/>
      <w:start w:val="3"/>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decimal"/>
      <w:start w:val="4"/>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1"/>
    </w:lvl>
    <w:lvl w:ilvl="1">
      <w:lvlJc w:val="left"/>
      <w:lvlText w:val="(%2)"/>
      <w:numFmt w:val="lowerLetter"/>
      <w:start w:val="6"/>
    </w:lvl>
  </w:abstractNum>
  <w:abstractNum w:abstractNumId="65">
    <w:nsid w:val="661E3F1E"/>
    <w:multiLevelType w:val="hybridMultilevel"/>
    <w:lvl w:ilvl="0">
      <w:lvlJc w:val="left"/>
      <w:lvlText w:val="(%1)"/>
      <w:numFmt w:val="lowerLetter"/>
      <w:start w:val="22"/>
    </w:lvl>
    <w:lvl w:ilvl="1">
      <w:lvlJc w:val="left"/>
      <w:lvlText w:val="(%2)"/>
      <w:numFmt w:val="lowerLetter"/>
      <w:start w:val="8"/>
    </w:lvl>
  </w:abstractNum>
  <w:abstractNum w:abstractNumId="66">
    <w:nsid w:val="5DC79EA8"/>
    <w:multiLevelType w:val="hybridMultilevel"/>
    <w:lvl w:ilvl="0">
      <w:lvlJc w:val="left"/>
      <w:lvlText w:val="%1."/>
      <w:numFmt w:val="decimal"/>
      <w:start w:val="5"/>
    </w:lvl>
  </w:abstractNum>
  <w:abstractNum w:abstractNumId="67">
    <w:nsid w:val="540A471C"/>
    <w:multiLevelType w:val="hybridMultilevel"/>
    <w:lvl w:ilvl="0">
      <w:lvlJc w:val="left"/>
      <w:lvlText w:val="%1."/>
      <w:numFmt w:val="decimal"/>
      <w:start w:val="6"/>
    </w:lvl>
  </w:abstractNum>
  <w:abstractNum w:abstractNumId="68">
    <w:nsid w:val="7BD3EE7B"/>
    <w:multiLevelType w:val="hybridMultilevel"/>
    <w:lvl w:ilvl="0">
      <w:lvlJc w:val="left"/>
      <w:lvlText w:val="%1."/>
      <w:numFmt w:val="decimal"/>
      <w:start w:val="7"/>
    </w:lvl>
  </w:abstractNum>
  <w:abstractNum w:abstractNumId="69">
    <w:nsid w:val="51D9C564"/>
    <w:multiLevelType w:val="hybridMultilevel"/>
    <w:lvl w:ilvl="0">
      <w:lvlJc w:val="left"/>
      <w:lvlText w:val="%1."/>
      <w:numFmt w:val="decimal"/>
      <w:start w:val="8"/>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3"/>
    </w:lvl>
  </w:abstractNum>
  <w:abstractNum w:abstractNumId="72">
    <w:nsid w:val="11447B73"/>
    <w:multiLevelType w:val="hybridMultilevel"/>
    <w:lvl w:ilvl="0">
      <w:lvlJc w:val="left"/>
      <w:lvlText w:val="(%1)"/>
      <w:numFmt w:val="lowerRoman"/>
      <w:start w:val="12"/>
    </w:lvl>
  </w:abstractNum>
  <w:abstractNum w:abstractNumId="73">
    <w:nsid w:val="42963E5A"/>
    <w:multiLevelType w:val="hybridMultilevel"/>
    <w:lvl w:ilvl="0">
      <w:lvlJc w:val="left"/>
      <w:lvlText w:val="(%1)"/>
      <w:numFmt w:val="lowerRoman"/>
      <w:start w:val="19"/>
    </w:lvl>
  </w:abstractNum>
  <w:abstractNum w:abstractNumId="74">
    <w:nsid w:val="A0382C5"/>
    <w:multiLevelType w:val="hybridMultilevel"/>
    <w:lvl w:ilvl="0">
      <w:lvlJc w:val="left"/>
      <w:lvlText w:val="%1."/>
      <w:numFmt w:val="decimal"/>
      <w:start w:val="5"/>
    </w:lvl>
    <w:lvl w:ilvl="1">
      <w:lvlJc w:val="left"/>
      <w:lvlText w:val="(%2)"/>
      <w:numFmt w:val="lowerLetter"/>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lowerRoman"/>
      <w:start w:val="1"/>
    </w:lvl>
  </w:abstractNum>
  <w:abstractNum w:abstractNumId="80">
    <w:nsid w:val="60B6DF7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jpeg"/><Relationship Id="rId47" Type="http://schemas.openxmlformats.org/officeDocument/2006/relationships/image" Target="media/image38.jpe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jpe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jpe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1" Type="http://schemas.openxmlformats.org/officeDocument/2006/relationships/hyperlink" Target="http://www.sec.gov/Archives/edgar/data/106040/000095013706001502/a17011exv3w1.htm" TargetMode="External"/><Relationship Id="rId43" Type="http://schemas.openxmlformats.org/officeDocument/2006/relationships/hyperlink" Target="http://www.sec.gov/Archives/edgar/data/106040/000119312518153458/d57777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2019-12-28T02:03:10Z</dcterms:created>
  <dcterms:modified xsi:type="dcterms:W3CDTF">2019-12-28T02:03:10Z</dcterms:modified>
</cp:coreProperties>
</file>