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2191385</wp:posOffset>
            </wp:positionH>
            <wp:positionV relativeFrom="paragraph">
              <wp:posOffset>50800</wp:posOffset>
            </wp:positionV>
            <wp:extent cx="27679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134"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2191385</wp:posOffset>
            </wp:positionH>
            <wp:positionV relativeFrom="paragraph">
              <wp:posOffset>43180</wp:posOffset>
            </wp:positionV>
            <wp:extent cx="27679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400"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(Mark One)</w:t>
      </w:r>
    </w:p>
    <w:p>
      <w:pPr>
        <w:spacing w:after="0" w:line="38" w:lineRule="exact"/>
        <w:rPr>
          <w:sz w:val="24"/>
          <w:szCs w:val="24"/>
          <w:color w:val="auto"/>
        </w:rPr>
      </w:pPr>
    </w:p>
    <w:p>
      <w:pPr>
        <w:ind w:left="380" w:hanging="35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fiscal year ended July 2, 2021</w:t>
      </w:r>
    </w:p>
    <w:p>
      <w:pPr>
        <w:spacing w:after="0" w:line="16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37" w:lineRule="exact"/>
        <w:rPr>
          <w:sz w:val="24"/>
          <w:szCs w:val="24"/>
          <w:color w:val="auto"/>
        </w:rPr>
      </w:pPr>
    </w:p>
    <w:p>
      <w:pPr>
        <w:ind w:left="400" w:hanging="37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1" w:lineRule="exact"/>
        <w:rPr>
          <w:sz w:val="24"/>
          <w:szCs w:val="24"/>
          <w:color w:val="auto"/>
        </w:rPr>
      </w:pPr>
    </w:p>
    <w:p>
      <w:pPr>
        <w:ind w:left="36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-6350</wp:posOffset>
            </wp:positionV>
            <wp:extent cx="1144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2191385</wp:posOffset>
            </wp:positionH>
            <wp:positionV relativeFrom="paragraph">
              <wp:posOffset>161290</wp:posOffset>
            </wp:positionV>
            <wp:extent cx="27679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7965" cy="8255"/>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371475</wp:posOffset>
            </wp:positionV>
            <wp:extent cx="2910840" cy="378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0840" cy="378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42"/>
          <w:szCs w:val="42"/>
          <w:b w:val="1"/>
          <w:bCs w:val="1"/>
          <w:color w:val="auto"/>
        </w:rPr>
        <w:t>WESTERN DIGITAL CORPORATION</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2191385</wp:posOffset>
            </wp:positionH>
            <wp:positionV relativeFrom="paragraph">
              <wp:posOffset>57785</wp:posOffset>
            </wp:positionV>
            <wp:extent cx="2767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203" w:lineRule="exact"/>
        <w:rPr>
          <w:sz w:val="24"/>
          <w:szCs w:val="24"/>
          <w:color w:val="auto"/>
        </w:rPr>
      </w:pPr>
    </w:p>
    <w:tbl>
      <w:tblPr>
        <w:tblLayout w:type="fixed"/>
        <w:tblInd w:w="320" w:type="dxa"/>
        <w:tblCellMar>
          <w:top w:w="0" w:type="dxa"/>
          <w:left w:w="0" w:type="dxa"/>
          <w:bottom w:w="0" w:type="dxa"/>
          <w:right w:w="0" w:type="dxa"/>
        </w:tblCellMar>
      </w:tblPr>
      <w:tr>
        <w:trPr>
          <w:trHeight w:val="208"/>
        </w:trPr>
        <w:tc>
          <w:tcPr>
            <w:tcW w:w="1220" w:type="dxa"/>
            <w:vAlign w:val="bottom"/>
          </w:tcPr>
          <w:p>
            <w:pPr>
              <w:spacing w:after="0"/>
              <w:rPr>
                <w:sz w:val="18"/>
                <w:szCs w:val="18"/>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60" w:type="dxa"/>
            <w:vAlign w:val="bottom"/>
            <w:gridSpan w:val="2"/>
          </w:tcPr>
          <w:p>
            <w:pPr>
              <w:jc w:val="right"/>
              <w:ind w:right="734"/>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2040" w:type="dxa"/>
            <w:vAlign w:val="bottom"/>
            <w:gridSpan w:val="3"/>
          </w:tcPr>
          <w:p>
            <w:pPr>
              <w:jc w:val="center"/>
              <w:ind w:right="100"/>
              <w:spacing w:after="0" w:line="125" w:lineRule="exact"/>
              <w:rPr>
                <w:sz w:val="20"/>
                <w:szCs w:val="20"/>
                <w:color w:val="auto"/>
              </w:rPr>
            </w:pPr>
            <w:r>
              <w:rPr>
                <w:rFonts w:ascii="Arial" w:cs="Arial" w:eastAsia="Arial" w:hAnsi="Arial"/>
                <w:sz w:val="12"/>
                <w:szCs w:val="12"/>
                <w:i w:val="1"/>
                <w:iCs w:val="1"/>
                <w:color w:val="auto"/>
                <w:w w:val="97"/>
              </w:rPr>
              <w:t>(State or other jurisdiction of</w:t>
            </w: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60" w:type="dxa"/>
            <w:vAlign w:val="bottom"/>
            <w:vMerge w:val="restart"/>
          </w:tcPr>
          <w:p>
            <w:pPr>
              <w:jc w:val="center"/>
              <w:ind w:left="354"/>
              <w:spacing w:after="0"/>
              <w:rPr>
                <w:sz w:val="20"/>
                <w:szCs w:val="20"/>
                <w:color w:val="auto"/>
              </w:rPr>
            </w:pPr>
            <w:r>
              <w:rPr>
                <w:rFonts w:ascii="Arial" w:cs="Arial" w:eastAsia="Arial" w:hAnsi="Arial"/>
                <w:sz w:val="12"/>
                <w:szCs w:val="12"/>
                <w:i w:val="1"/>
                <w:iCs w:val="1"/>
                <w:color w:val="auto"/>
                <w:w w:val="96"/>
              </w:rPr>
              <w:t>(I.R.S. Employer Identification No.)</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2"/>
                <w:szCs w:val="12"/>
                <w:i w:val="1"/>
                <w:iCs w:val="1"/>
                <w:color w:val="auto"/>
                <w:w w:val="98"/>
              </w:rPr>
              <w:t>incorporation or organization)</w:t>
            </w:r>
          </w:p>
        </w:tc>
        <w:tc>
          <w:tcPr>
            <w:tcW w:w="1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420" w:type="dxa"/>
            <w:vAlign w:val="bottom"/>
            <w:gridSpan w:val="2"/>
          </w:tcPr>
          <w:p>
            <w:pPr>
              <w:ind w:left="520"/>
              <w:spacing w:after="0"/>
              <w:rPr>
                <w:sz w:val="20"/>
                <w:szCs w:val="20"/>
                <w:color w:val="auto"/>
              </w:rPr>
            </w:pPr>
            <w:r>
              <w:rPr>
                <w:rFonts w:ascii="Arial" w:cs="Arial" w:eastAsia="Arial" w:hAnsi="Arial"/>
                <w:sz w:val="14"/>
                <w:szCs w:val="14"/>
                <w:b w:val="1"/>
                <w:bCs w:val="1"/>
                <w:color w:val="auto"/>
              </w:rPr>
              <w:t>5601 Great Oaks Parkway</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San Jose,</w:t>
            </w:r>
          </w:p>
        </w:tc>
        <w:tc>
          <w:tcPr>
            <w:tcW w:w="35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21"/>
                <w:szCs w:val="21"/>
                <w:color w:val="auto"/>
              </w:rPr>
            </w:pPr>
          </w:p>
        </w:tc>
        <w:tc>
          <w:tcPr>
            <w:tcW w:w="2960" w:type="dxa"/>
            <w:vAlign w:val="bottom"/>
            <w:gridSpan w:val="2"/>
          </w:tcPr>
          <w:p>
            <w:pPr>
              <w:jc w:val="right"/>
              <w:ind w:right="934"/>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66"/>
        </w:trPr>
        <w:tc>
          <w:tcPr>
            <w:tcW w:w="1220" w:type="dxa"/>
            <w:vAlign w:val="bottom"/>
          </w:tcPr>
          <w:p>
            <w:pPr>
              <w:spacing w:after="0"/>
              <w:rPr>
                <w:sz w:val="14"/>
                <w:szCs w:val="14"/>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2"/>
                <w:szCs w:val="12"/>
                <w:i w:val="1"/>
                <w:iCs w:val="1"/>
                <w:color w:val="auto"/>
                <w:w w:val="94"/>
              </w:rPr>
              <w:t>(Address of principal executive offices)</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tcPr>
          <w:p>
            <w:pPr>
              <w:jc w:val="center"/>
              <w:ind w:left="354"/>
              <w:spacing w:after="0"/>
              <w:rPr>
                <w:sz w:val="20"/>
                <w:szCs w:val="20"/>
                <w:color w:val="auto"/>
              </w:rPr>
            </w:pPr>
            <w:r>
              <w:rPr>
                <w:rFonts w:ascii="Arial" w:cs="Arial" w:eastAsia="Arial" w:hAnsi="Arial"/>
                <w:sz w:val="12"/>
                <w:szCs w:val="12"/>
                <w:i w:val="1"/>
                <w:iCs w:val="1"/>
                <w:color w:val="auto"/>
                <w:w w:val="95"/>
              </w:rPr>
              <w:t>(Zip Code)</w:t>
            </w:r>
          </w:p>
        </w:tc>
        <w:tc>
          <w:tcPr>
            <w:tcW w:w="0" w:type="dxa"/>
            <w:vAlign w:val="bottom"/>
          </w:tcPr>
          <w:p>
            <w:pPr>
              <w:spacing w:after="0"/>
              <w:rPr>
                <w:sz w:val="1"/>
                <w:szCs w:val="1"/>
                <w:color w:val="auto"/>
              </w:rPr>
            </w:pPr>
          </w:p>
        </w:tc>
      </w:tr>
      <w:tr>
        <w:trPr>
          <w:trHeight w:val="449"/>
        </w:trPr>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40" w:type="dxa"/>
            <w:vAlign w:val="bottom"/>
            <w:gridSpan w:val="8"/>
          </w:tcPr>
          <w:p>
            <w:pPr>
              <w:jc w:val="center"/>
              <w:ind w:right="2014"/>
              <w:spacing w:after="0"/>
              <w:rPr>
                <w:sz w:val="20"/>
                <w:szCs w:val="20"/>
                <w:color w:val="auto"/>
              </w:rPr>
            </w:pPr>
            <w:r>
              <w:rPr>
                <w:rFonts w:ascii="Arial" w:cs="Arial" w:eastAsia="Arial" w:hAnsi="Arial"/>
                <w:sz w:val="16"/>
                <w:szCs w:val="16"/>
                <w:b w:val="1"/>
                <w:bCs w:val="1"/>
                <w:color w:val="auto"/>
                <w:w w:val="88"/>
              </w:rPr>
              <w:t>Registrant’s telephone number, including area code: (408) 717-6000</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Securities registered pursuant to Section 12(b) of the Act:</w:t>
            </w: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w w:val="87"/>
              </w:rPr>
              <w:t>Trading symbol(s)</w:t>
            </w:r>
          </w:p>
        </w:tc>
        <w:tc>
          <w:tcPr>
            <w:tcW w:w="540" w:type="dxa"/>
            <w:vAlign w:val="bottom"/>
          </w:tcPr>
          <w:p>
            <w:pPr>
              <w:spacing w:after="0"/>
              <w:rPr>
                <w:sz w:val="16"/>
                <w:szCs w:val="16"/>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60" w:type="dxa"/>
            <w:vAlign w:val="bottom"/>
            <w:gridSpan w:val="4"/>
          </w:tcPr>
          <w:p>
            <w:pPr>
              <w:jc w:val="center"/>
              <w:ind w:left="309"/>
              <w:spacing w:after="0"/>
              <w:rPr>
                <w:sz w:val="20"/>
                <w:szCs w:val="20"/>
                <w:color w:val="auto"/>
              </w:rPr>
            </w:pPr>
            <w:r>
              <w:rPr>
                <w:rFonts w:ascii="Arial" w:cs="Arial" w:eastAsia="Arial" w:hAnsi="Arial"/>
                <w:sz w:val="14"/>
                <w:szCs w:val="14"/>
                <w:color w:val="auto"/>
                <w:w w:val="89"/>
              </w:rPr>
              <w:t>Common Stock, $.01 Par Value Per Share</w:t>
            </w:r>
          </w:p>
        </w:tc>
        <w:tc>
          <w:tcPr>
            <w:tcW w:w="1420" w:type="dxa"/>
            <w:vAlign w:val="bottom"/>
          </w:tcPr>
          <w:p>
            <w:pPr>
              <w:spacing w:after="0"/>
              <w:rPr>
                <w:sz w:val="16"/>
                <w:szCs w:val="16"/>
                <w:color w:val="auto"/>
              </w:rPr>
            </w:pPr>
          </w:p>
        </w:tc>
        <w:tc>
          <w:tcPr>
            <w:tcW w:w="2080" w:type="dxa"/>
            <w:vAlign w:val="bottom"/>
            <w:gridSpan w:val="2"/>
          </w:tcPr>
          <w:p>
            <w:pPr>
              <w:jc w:val="center"/>
              <w:ind w:right="860"/>
              <w:spacing w:after="0"/>
              <w:rPr>
                <w:sz w:val="20"/>
                <w:szCs w:val="20"/>
                <w:color w:val="auto"/>
              </w:rPr>
            </w:pPr>
            <w:r>
              <w:rPr>
                <w:rFonts w:ascii="Arial" w:cs="Arial" w:eastAsia="Arial" w:hAnsi="Arial"/>
                <w:sz w:val="14"/>
                <w:szCs w:val="14"/>
                <w:color w:val="auto"/>
              </w:rPr>
              <w:t>WDC</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tcPr>
          <w:p>
            <w:pPr>
              <w:jc w:val="center"/>
              <w:ind w:right="154"/>
              <w:spacing w:after="0"/>
              <w:rPr>
                <w:sz w:val="20"/>
                <w:szCs w:val="20"/>
                <w:color w:val="auto"/>
              </w:rPr>
            </w:pPr>
            <w:r>
              <w:rPr>
                <w:rFonts w:ascii="Arial" w:cs="Arial" w:eastAsia="Arial" w:hAnsi="Arial"/>
                <w:sz w:val="14"/>
                <w:szCs w:val="14"/>
                <w:color w:val="auto"/>
                <w:w w:val="92"/>
              </w:rPr>
              <w:t>The Nasdaq Stock Market LLC</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tcPr>
          <w:p>
            <w:pPr>
              <w:jc w:val="center"/>
              <w:ind w:right="134"/>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Securities registered pursuant to Section 12(g) of the Act:</w:t>
            </w: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None</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3140" w:type="dxa"/>
            <w:vAlign w:val="bottom"/>
            <w:gridSpan w:val="3"/>
          </w:tcPr>
          <w:p>
            <w:pPr>
              <w:spacing w:after="0"/>
              <w:rPr>
                <w:sz w:val="6"/>
                <w:szCs w:val="6"/>
                <w:color w:val="auto"/>
              </w:rPr>
            </w:pPr>
          </w:p>
        </w:tc>
        <w:tc>
          <w:tcPr>
            <w:tcW w:w="3620" w:type="dxa"/>
            <w:vAlign w:val="bottom"/>
            <w:tcBorders>
              <w:bottom w:val="single" w:sz="8" w:color="auto"/>
            </w:tcBorders>
            <w:gridSpan w:val="4"/>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2"/>
        </w:trPr>
        <w:tc>
          <w:tcPr>
            <w:tcW w:w="676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54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9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31"/>
        </w:trPr>
        <w:tc>
          <w:tcPr>
            <w:tcW w:w="6760" w:type="dxa"/>
            <w:vAlign w:val="bottom"/>
            <w:gridSpan w:val="7"/>
          </w:tcPr>
          <w:p>
            <w:pPr>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Section 15(d) of the Act.</w:t>
            </w:r>
          </w:p>
        </w:tc>
        <w:tc>
          <w:tcPr>
            <w:tcW w:w="540" w:type="dxa"/>
            <w:vAlign w:val="bottom"/>
          </w:tcPr>
          <w:p>
            <w:pPr>
              <w:ind w:left="14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296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firstLine="318"/>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380" w:firstLine="318"/>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260" w:firstLine="318"/>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640"/>
        <w:spacing w:after="0"/>
        <w:tabs>
          <w:tab w:leader="none" w:pos="3020" w:val="left"/>
          <w:tab w:leader="none" w:pos="5140" w:val="left"/>
          <w:tab w:leader="none" w:pos="7200" w:val="left"/>
          <w:tab w:leader="none" w:pos="94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Arial" w:cs="Arial" w:eastAsia="Arial" w:hAnsi="Arial"/>
          <w:sz w:val="12"/>
          <w:szCs w:val="12"/>
          <w:color w:val="auto"/>
        </w:rPr>
        <w:t>Emerging growth company</w:t>
      </w:r>
    </w:p>
    <w:p>
      <w:pPr>
        <w:spacing w:after="0" w:line="19" w:lineRule="exact"/>
        <w:rPr>
          <w:sz w:val="24"/>
          <w:szCs w:val="24"/>
          <w:color w:val="auto"/>
        </w:rPr>
      </w:pPr>
    </w:p>
    <w:p>
      <w:pPr>
        <w:ind w:left="1200"/>
        <w:spacing w:after="0" w:line="141" w:lineRule="exact"/>
        <w:tabs>
          <w:tab w:leader="none" w:pos="3420" w:val="left"/>
          <w:tab w:leader="none" w:pos="5660" w:val="left"/>
          <w:tab w:leader="none" w:pos="7900" w:val="left"/>
          <w:tab w:leader="none" w:pos="101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90" w:lineRule="exact"/>
        <w:rPr>
          <w:sz w:val="24"/>
          <w:szCs w:val="24"/>
          <w:color w:val="auto"/>
        </w:rPr>
      </w:pPr>
    </w:p>
    <w:p>
      <w:pPr>
        <w:ind w:right="400" w:firstLine="318"/>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2" w:lineRule="exact"/>
        <w:rPr>
          <w:sz w:val="24"/>
          <w:szCs w:val="24"/>
          <w:color w:val="auto"/>
        </w:rPr>
      </w:pPr>
    </w:p>
    <w:p>
      <w:pPr>
        <w:ind w:right="340" w:firstLine="318"/>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11" w:lineRule="exact"/>
        <w:rPr>
          <w:sz w:val="24"/>
          <w:szCs w:val="24"/>
          <w:color w:val="auto"/>
        </w:rPr>
      </w:pPr>
    </w:p>
    <w:p>
      <w:pPr>
        <w:ind w:left="320"/>
        <w:spacing w:after="0" w:line="161" w:lineRule="exact"/>
        <w:tabs>
          <w:tab w:leader="none" w:pos="6260" w:val="left"/>
          <w:tab w:leader="none" w:pos="68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2" w:lineRule="exact"/>
        <w:rPr>
          <w:sz w:val="24"/>
          <w:szCs w:val="24"/>
          <w:color w:val="auto"/>
        </w:rPr>
      </w:pPr>
    </w:p>
    <w:p>
      <w:pPr>
        <w:ind w:right="240" w:firstLine="318"/>
        <w:spacing w:after="0" w:line="265"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December 31, 2020, the last business day of the registrant’s most recently completed second fiscal quarter, was $13.5 billion, based on the closing sale price as reported on the Nasdaq Global Select Market.</w:t>
      </w:r>
    </w:p>
    <w:p>
      <w:pPr>
        <w:spacing w:after="0" w:line="121" w:lineRule="exact"/>
        <w:rPr>
          <w:sz w:val="24"/>
          <w:szCs w:val="24"/>
          <w:color w:val="auto"/>
        </w:rPr>
      </w:pPr>
    </w:p>
    <w:p>
      <w:pPr>
        <w:ind w:left="1940"/>
        <w:spacing w:after="0"/>
        <w:rPr>
          <w:sz w:val="20"/>
          <w:szCs w:val="20"/>
          <w:color w:val="auto"/>
        </w:rPr>
      </w:pPr>
      <w:r>
        <w:rPr>
          <w:rFonts w:ascii="Arial" w:cs="Arial" w:eastAsia="Arial" w:hAnsi="Arial"/>
          <w:sz w:val="14"/>
          <w:szCs w:val="14"/>
          <w:color w:val="auto"/>
        </w:rPr>
        <w:t>There were 308,748,049 shares of common stock, par value $0.01 per share, outstanding as of the close of business on August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2292350</wp:posOffset>
            </wp:positionH>
            <wp:positionV relativeFrom="paragraph">
              <wp:posOffset>161925</wp:posOffset>
            </wp:positionV>
            <wp:extent cx="2767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980" w:orient="portrait"/>
          <w:cols w:equalWidth="0" w:num="1">
            <w:col w:w="11180"/>
          </w:cols>
          <w:pgMar w:left="320" w:top="1066" w:right="399" w:bottom="0" w:gutter="0" w:footer="0" w:header="0"/>
        </w:sectPr>
      </w:pPr>
    </w:p>
    <w:p>
      <w:pPr>
        <w:spacing w:after="0" w:line="156" w:lineRule="exact"/>
        <w:rPr>
          <w:sz w:val="24"/>
          <w:szCs w:val="24"/>
          <w:color w:val="auto"/>
        </w:rPr>
      </w:pPr>
    </w:p>
    <w:p>
      <w:pPr>
        <w:ind w:right="20" w:firstLine="318"/>
        <w:spacing w:after="0" w:line="349" w:lineRule="auto"/>
        <w:rPr>
          <w:sz w:val="20"/>
          <w:szCs w:val="20"/>
          <w:color w:val="auto"/>
        </w:rPr>
      </w:pPr>
      <w:r>
        <w:rPr>
          <w:rFonts w:ascii="Arial" w:cs="Arial" w:eastAsia="Arial" w:hAnsi="Arial"/>
          <w:sz w:val="12"/>
          <w:szCs w:val="12"/>
          <w:color w:val="auto"/>
        </w:rPr>
        <w:t>Part III incorporates by reference certain information from the registrant’s definitive proxy statement (the “Proxy Statement”) for the 2021 Annual Meeting of Stockholders, which will be filed with the Securities and Exchange Commission within 120 days after the end of the 2021 fiscal year. Except with respect to information specifically incorporated by reference in this Form 10-K, the</w:t>
      </w:r>
    </w:p>
    <w:p>
      <w:pPr>
        <w:sectPr>
          <w:pgSz w:w="11900" w:h="16980" w:orient="portrait"/>
          <w:cols w:equalWidth="0" w:num="1">
            <w:col w:w="11180"/>
          </w:cols>
          <w:pgMar w:left="320" w:top="1066" w:right="39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Proxy Statement is not deemed to be filed as 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1"/>
                <w:szCs w:val="21"/>
                <w:color w:val="auto"/>
              </w:rPr>
            </w:pPr>
          </w:p>
        </w:tc>
        <w:tc>
          <w:tcPr>
            <w:tcW w:w="8760" w:type="dxa"/>
            <w:vAlign w:val="bottom"/>
          </w:tcPr>
          <w:p>
            <w:pPr>
              <w:jc w:val="center"/>
              <w:ind w:left="730"/>
              <w:spacing w:after="0"/>
              <w:rPr>
                <w:sz w:val="20"/>
                <w:szCs w:val="20"/>
                <w:color w:val="auto"/>
              </w:rPr>
            </w:pPr>
            <w:r>
              <w:rPr>
                <w:rFonts w:ascii="Arial" w:cs="Arial" w:eastAsia="Arial" w:hAnsi="Arial"/>
                <w:sz w:val="21"/>
                <w:szCs w:val="21"/>
                <w:b w:val="1"/>
                <w:bCs w:val="1"/>
                <w:color w:val="auto"/>
              </w:rPr>
              <w:t>WESTERN DIGITAL CORPORATION</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40" w:type="dxa"/>
            <w:vAlign w:val="bottom"/>
          </w:tcPr>
          <w:p>
            <w:pPr>
              <w:spacing w:after="0"/>
              <w:rPr>
                <w:sz w:val="24"/>
                <w:szCs w:val="24"/>
                <w:color w:val="auto"/>
              </w:rPr>
            </w:pPr>
          </w:p>
        </w:tc>
        <w:tc>
          <w:tcPr>
            <w:tcW w:w="8760" w:type="dxa"/>
            <w:vAlign w:val="bottom"/>
          </w:tcPr>
          <w:p>
            <w:pPr>
              <w:jc w:val="center"/>
              <w:ind w:left="710"/>
              <w:spacing w:after="0"/>
              <w:rPr>
                <w:sz w:val="20"/>
                <w:szCs w:val="20"/>
                <w:color w:val="auto"/>
              </w:rPr>
            </w:pPr>
            <w:r>
              <w:rPr>
                <w:rFonts w:ascii="Arial" w:cs="Arial" w:eastAsia="Arial" w:hAnsi="Arial"/>
                <w:sz w:val="21"/>
                <w:szCs w:val="21"/>
                <w:b w:val="1"/>
                <w:bCs w:val="1"/>
                <w:color w:val="auto"/>
              </w:rPr>
              <w:t>INDEX</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640" w:type="dxa"/>
            <w:vAlign w:val="bottom"/>
          </w:tcPr>
          <w:p>
            <w:pPr>
              <w:ind w:left="4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840" w:type="dxa"/>
            <w:vAlign w:val="bottom"/>
          </w:tcPr>
          <w:p>
            <w:pPr>
              <w:spacing w:after="0"/>
              <w:rPr>
                <w:sz w:val="2"/>
                <w:szCs w:val="2"/>
                <w:color w:val="auto"/>
              </w:rPr>
            </w:pPr>
          </w:p>
        </w:tc>
        <w:tc>
          <w:tcPr>
            <w:tcW w:w="8760" w:type="dxa"/>
            <w:vAlign w:val="bottom"/>
            <w:vMerge w:val="restart"/>
          </w:tcPr>
          <w:p>
            <w:pPr>
              <w:jc w:val="center"/>
              <w:ind w:left="7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38"/>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1A.</w:t>
            </w:r>
          </w:p>
        </w:tc>
        <w:tc>
          <w:tcPr>
            <w:tcW w:w="876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640" w:type="dxa"/>
            <w:vAlign w:val="bottom"/>
          </w:tcPr>
          <w:p>
            <w:pPr>
              <w:jc w:val="center"/>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1B.</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Unresolved Staff Comments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237"/>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876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1640" w:type="dxa"/>
            <w:vAlign w:val="bottom"/>
          </w:tcPr>
          <w:p>
            <w:pPr>
              <w:jc w:val="center"/>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28</w:t>
              </w:r>
            </w:hyperlink>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3.</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c>
          <w:tcPr>
            <w:tcW w:w="0" w:type="dxa"/>
            <w:vAlign w:val="bottom"/>
          </w:tcPr>
          <w:p>
            <w:pPr>
              <w:spacing w:after="0"/>
              <w:rPr>
                <w:sz w:val="1"/>
                <w:szCs w:val="1"/>
                <w:color w:val="auto"/>
              </w:rPr>
            </w:pPr>
          </w:p>
        </w:tc>
      </w:tr>
      <w:tr>
        <w:trPr>
          <w:trHeight w:val="237"/>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8760" w:type="dxa"/>
            <w:vAlign w:val="bottom"/>
          </w:tcPr>
          <w:p>
            <w:pPr>
              <w:ind w:left="160"/>
              <w:spacing w:after="0"/>
              <w:rPr>
                <w:sz w:val="20"/>
                <w:szCs w:val="20"/>
                <w:color w:val="auto"/>
              </w:rPr>
            </w:pPr>
            <w:r>
              <w:rPr>
                <w:rFonts w:ascii="Arial" w:cs="Arial" w:eastAsia="Arial" w:hAnsi="Arial"/>
                <w:sz w:val="18"/>
                <w:szCs w:val="18"/>
                <w:color w:val="auto"/>
              </w:rPr>
              <w:t>Mine Safety Disclosures</w:t>
            </w:r>
          </w:p>
        </w:tc>
        <w:tc>
          <w:tcPr>
            <w:tcW w:w="1640" w:type="dxa"/>
            <w:vAlign w:val="bottom"/>
          </w:tcPr>
          <w:p>
            <w:pPr>
              <w:jc w:val="center"/>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c>
          <w:tcPr>
            <w:tcW w:w="0" w:type="dxa"/>
            <w:vAlign w:val="bottom"/>
          </w:tcPr>
          <w:p>
            <w:pPr>
              <w:spacing w:after="0"/>
              <w:rPr>
                <w:sz w:val="1"/>
                <w:szCs w:val="1"/>
                <w:color w:val="auto"/>
              </w:rPr>
            </w:pPr>
          </w:p>
        </w:tc>
      </w:tr>
      <w:tr>
        <w:trPr>
          <w:trHeight w:val="318"/>
        </w:trPr>
        <w:tc>
          <w:tcPr>
            <w:tcW w:w="840" w:type="dxa"/>
            <w:vAlign w:val="bottom"/>
          </w:tcPr>
          <w:p>
            <w:pPr>
              <w:spacing w:after="0"/>
              <w:rPr>
                <w:sz w:val="24"/>
                <w:szCs w:val="24"/>
                <w:color w:val="auto"/>
              </w:rPr>
            </w:pPr>
          </w:p>
        </w:tc>
        <w:tc>
          <w:tcPr>
            <w:tcW w:w="876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PART II</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5.</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Market for Registrant’s Common Equity, Related Stockholder Matters and Issuer Purchases of Equity Securities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0" w:type="dxa"/>
            <w:vAlign w:val="bottom"/>
          </w:tcPr>
          <w:p>
            <w:pPr>
              <w:spacing w:after="0"/>
              <w:rPr>
                <w:sz w:val="1"/>
                <w:szCs w:val="1"/>
                <w:color w:val="auto"/>
              </w:rPr>
            </w:pPr>
          </w:p>
        </w:tc>
      </w:tr>
      <w:tr>
        <w:trPr>
          <w:trHeight w:val="238"/>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8760" w:type="dxa"/>
            <w:vAlign w:val="bottom"/>
          </w:tcPr>
          <w:p>
            <w:pPr>
              <w:ind w:left="160"/>
              <w:spacing w:after="0"/>
              <w:rPr>
                <w:sz w:val="20"/>
                <w:szCs w:val="20"/>
                <w:color w:val="auto"/>
              </w:rPr>
            </w:pPr>
            <w:r>
              <w:rPr>
                <w:rFonts w:ascii="Arial" w:cs="Arial" w:eastAsia="Arial" w:hAnsi="Arial"/>
                <w:sz w:val="18"/>
                <w:szCs w:val="18"/>
                <w:color w:val="auto"/>
              </w:rPr>
              <w:t>Selected Financial Data</w:t>
            </w:r>
          </w:p>
        </w:tc>
        <w:tc>
          <w:tcPr>
            <w:tcW w:w="1640" w:type="dxa"/>
            <w:vAlign w:val="bottom"/>
          </w:tcPr>
          <w:p>
            <w:pPr>
              <w:jc w:val="center"/>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7.</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238"/>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7A.</w:t>
            </w:r>
          </w:p>
        </w:tc>
        <w:tc>
          <w:tcPr>
            <w:tcW w:w="876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640" w:type="dxa"/>
            <w:vAlign w:val="bottom"/>
          </w:tcPr>
          <w:p>
            <w:pPr>
              <w:jc w:val="cente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8.</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38"/>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9.</w:t>
            </w:r>
          </w:p>
        </w:tc>
        <w:tc>
          <w:tcPr>
            <w:tcW w:w="8760" w:type="dxa"/>
            <w:vAlign w:val="bottom"/>
          </w:tcPr>
          <w:p>
            <w:pPr>
              <w:ind w:left="1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640" w:type="dxa"/>
            <w:vAlign w:val="bottom"/>
          </w:tcPr>
          <w:p>
            <w:pPr>
              <w:jc w:val="center"/>
              <w:spacing w:after="0"/>
              <w:rPr>
                <w:rFonts w:ascii="Arial" w:cs="Arial" w:eastAsia="Arial" w:hAnsi="Arial"/>
                <w:sz w:val="18"/>
                <w:szCs w:val="18"/>
                <w:color w:val="0000FF"/>
                <w:w w:val="93"/>
              </w:rPr>
            </w:pPr>
            <w:hyperlink w:anchor="page99">
              <w:r>
                <w:rPr>
                  <w:rFonts w:ascii="Arial" w:cs="Arial" w:eastAsia="Arial" w:hAnsi="Arial"/>
                  <w:sz w:val="18"/>
                  <w:szCs w:val="18"/>
                  <w:color w:val="0000FF"/>
                  <w:w w:val="93"/>
                </w:rPr>
                <w:t>100</w:t>
              </w:r>
            </w:hyperlink>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9A.</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93"/>
              </w:rPr>
            </w:pPr>
            <w:hyperlink w:anchor="page100">
              <w:r>
                <w:rPr>
                  <w:rFonts w:ascii="Arial" w:cs="Arial" w:eastAsia="Arial" w:hAnsi="Arial"/>
                  <w:sz w:val="18"/>
                  <w:szCs w:val="18"/>
                  <w:color w:val="0000FF"/>
                  <w:w w:val="93"/>
                </w:rPr>
                <w:t>100</w:t>
              </w:r>
            </w:hyperlink>
          </w:p>
        </w:tc>
        <w:tc>
          <w:tcPr>
            <w:tcW w:w="0" w:type="dxa"/>
            <w:vAlign w:val="bottom"/>
          </w:tcPr>
          <w:p>
            <w:pPr>
              <w:spacing w:after="0"/>
              <w:rPr>
                <w:sz w:val="1"/>
                <w:szCs w:val="1"/>
                <w:color w:val="auto"/>
              </w:rPr>
            </w:pPr>
          </w:p>
        </w:tc>
      </w:tr>
      <w:tr>
        <w:trPr>
          <w:trHeight w:val="238"/>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9B.</w:t>
            </w:r>
          </w:p>
        </w:tc>
        <w:tc>
          <w:tcPr>
            <w:tcW w:w="876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640" w:type="dxa"/>
            <w:vAlign w:val="bottom"/>
          </w:tcPr>
          <w:p>
            <w:pPr>
              <w:jc w:val="center"/>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101</w:t>
              </w:r>
            </w:hyperlink>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9C.</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101</w:t>
              </w:r>
            </w:hyperlink>
          </w:p>
        </w:tc>
        <w:tc>
          <w:tcPr>
            <w:tcW w:w="0" w:type="dxa"/>
            <w:vAlign w:val="bottom"/>
          </w:tcPr>
          <w:p>
            <w:pPr>
              <w:spacing w:after="0"/>
              <w:rPr>
                <w:sz w:val="1"/>
                <w:szCs w:val="1"/>
                <w:color w:val="auto"/>
              </w:rPr>
            </w:pPr>
          </w:p>
        </w:tc>
      </w:tr>
      <w:tr>
        <w:trPr>
          <w:trHeight w:val="290"/>
        </w:trPr>
        <w:tc>
          <w:tcPr>
            <w:tcW w:w="840" w:type="dxa"/>
            <w:vAlign w:val="bottom"/>
          </w:tcPr>
          <w:p>
            <w:pPr>
              <w:spacing w:after="0"/>
              <w:rPr>
                <w:sz w:val="24"/>
                <w:szCs w:val="24"/>
                <w:color w:val="auto"/>
              </w:rPr>
            </w:pPr>
          </w:p>
        </w:tc>
        <w:tc>
          <w:tcPr>
            <w:tcW w:w="8760" w:type="dxa"/>
            <w:vAlign w:val="bottom"/>
          </w:tcPr>
          <w:p>
            <w:pPr>
              <w:jc w:val="center"/>
              <w:ind w:left="710"/>
              <w:spacing w:after="0"/>
              <w:rPr>
                <w:sz w:val="20"/>
                <w:szCs w:val="20"/>
                <w:color w:val="auto"/>
              </w:rPr>
            </w:pPr>
            <w:r>
              <w:rPr>
                <w:rFonts w:ascii="Arial" w:cs="Arial" w:eastAsia="Arial" w:hAnsi="Arial"/>
                <w:sz w:val="18"/>
                <w:szCs w:val="18"/>
                <w:b w:val="1"/>
                <w:bCs w:val="1"/>
                <w:color w:val="auto"/>
              </w:rPr>
              <w:t>PART III</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10.</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Directors, Executive Officers and Corporate Governance</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38"/>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11.</w:t>
            </w:r>
          </w:p>
        </w:tc>
        <w:tc>
          <w:tcPr>
            <w:tcW w:w="8760" w:type="dxa"/>
            <w:vAlign w:val="bottom"/>
          </w:tcPr>
          <w:p>
            <w:pPr>
              <w:ind w:left="160"/>
              <w:spacing w:after="0"/>
              <w:rPr>
                <w:sz w:val="20"/>
                <w:szCs w:val="20"/>
                <w:color w:val="auto"/>
              </w:rPr>
            </w:pPr>
            <w:r>
              <w:rPr>
                <w:rFonts w:ascii="Arial" w:cs="Arial" w:eastAsia="Arial" w:hAnsi="Arial"/>
                <w:sz w:val="18"/>
                <w:szCs w:val="18"/>
                <w:color w:val="auto"/>
              </w:rPr>
              <w:t>Executive Compensation</w:t>
            </w:r>
          </w:p>
        </w:tc>
        <w:tc>
          <w:tcPr>
            <w:tcW w:w="1640" w:type="dxa"/>
            <w:vAlign w:val="bottom"/>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12.</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38"/>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13.</w:t>
            </w:r>
          </w:p>
        </w:tc>
        <w:tc>
          <w:tcPr>
            <w:tcW w:w="8760" w:type="dxa"/>
            <w:vAlign w:val="bottom"/>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640" w:type="dxa"/>
            <w:vAlign w:val="bottom"/>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14.</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Principal Accountant Fees and Services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91"/>
        </w:trPr>
        <w:tc>
          <w:tcPr>
            <w:tcW w:w="840" w:type="dxa"/>
            <w:vAlign w:val="bottom"/>
          </w:tcPr>
          <w:p>
            <w:pPr>
              <w:spacing w:after="0"/>
              <w:rPr>
                <w:sz w:val="24"/>
                <w:szCs w:val="24"/>
                <w:color w:val="auto"/>
              </w:rPr>
            </w:pPr>
          </w:p>
        </w:tc>
        <w:tc>
          <w:tcPr>
            <w:tcW w:w="8760" w:type="dxa"/>
            <w:vAlign w:val="bottom"/>
          </w:tcPr>
          <w:p>
            <w:pPr>
              <w:jc w:val="center"/>
              <w:ind w:left="730"/>
              <w:spacing w:after="0"/>
              <w:rPr>
                <w:sz w:val="20"/>
                <w:szCs w:val="20"/>
                <w:color w:val="auto"/>
              </w:rPr>
            </w:pPr>
            <w:r>
              <w:rPr>
                <w:rFonts w:ascii="Arial" w:cs="Arial" w:eastAsia="Arial" w:hAnsi="Arial"/>
                <w:sz w:val="18"/>
                <w:szCs w:val="18"/>
                <w:b w:val="1"/>
                <w:bCs w:val="1"/>
                <w:color w:val="auto"/>
                <w:w w:val="98"/>
              </w:rPr>
              <w:t>PART IV</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15.</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Exhibits and Financial Statement Schedules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103</w:t>
              </w:r>
            </w:hyperlink>
          </w:p>
        </w:tc>
        <w:tc>
          <w:tcPr>
            <w:tcW w:w="0" w:type="dxa"/>
            <w:vAlign w:val="bottom"/>
          </w:tcPr>
          <w:p>
            <w:pPr>
              <w:spacing w:after="0"/>
              <w:rPr>
                <w:sz w:val="1"/>
                <w:szCs w:val="1"/>
                <w:color w:val="auto"/>
              </w:rPr>
            </w:pPr>
          </w:p>
        </w:tc>
      </w:tr>
      <w:tr>
        <w:trPr>
          <w:trHeight w:val="238"/>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16.</w:t>
            </w:r>
          </w:p>
        </w:tc>
        <w:tc>
          <w:tcPr>
            <w:tcW w:w="8760" w:type="dxa"/>
            <w:vAlign w:val="bottom"/>
          </w:tcPr>
          <w:p>
            <w:pPr>
              <w:ind w:left="160"/>
              <w:spacing w:after="0"/>
              <w:rPr>
                <w:sz w:val="20"/>
                <w:szCs w:val="20"/>
                <w:color w:val="auto"/>
              </w:rPr>
            </w:pPr>
            <w:r>
              <w:rPr>
                <w:rFonts w:ascii="Arial" w:cs="Arial" w:eastAsia="Arial" w:hAnsi="Arial"/>
                <w:sz w:val="18"/>
                <w:szCs w:val="18"/>
                <w:color w:val="auto"/>
              </w:rPr>
              <w:t>Form 10-K Summary</w:t>
            </w:r>
          </w:p>
        </w:tc>
        <w:tc>
          <w:tcPr>
            <w:tcW w:w="1640" w:type="dxa"/>
            <w:vAlign w:val="bottom"/>
          </w:tcPr>
          <w:p>
            <w:pPr>
              <w:jc w:val="center"/>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107</w:t>
              </w:r>
            </w:hyperlink>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5"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207"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FORWARD-LOOKING STATEMENTS</w:t>
      </w:r>
    </w:p>
    <w:p>
      <w:pPr>
        <w:spacing w:after="0" w:line="256"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Forward-looking statements may include statements regarding our market position and portfolio synergies; consumer trends and market conditions. Examples of forward-looking statements include, but are not limited to, statements concerning:</w:t>
      </w:r>
    </w:p>
    <w:p>
      <w:pPr>
        <w:spacing w:after="0" w:line="206"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consumer trends and market conditions, market opportunities and our market position;</w:t>
      </w:r>
    </w:p>
    <w:p>
      <w:pPr>
        <w:spacing w:after="0" w:line="16" w:lineRule="exact"/>
        <w:rPr>
          <w:rFonts w:ascii="Arial" w:cs="Arial" w:eastAsia="Arial" w:hAnsi="Arial"/>
          <w:sz w:val="18"/>
          <w:szCs w:val="18"/>
          <w:i w:val="1"/>
          <w:iCs w:val="1"/>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effects of the COVID-19 pandemic and measures intended to reduce its spread;</w:t>
      </w:r>
    </w:p>
    <w:p>
      <w:pPr>
        <w:spacing w:after="0" w:line="5" w:lineRule="exact"/>
        <w:rPr>
          <w:rFonts w:ascii="Arial" w:cs="Arial" w:eastAsia="Arial" w:hAnsi="Arial"/>
          <w:sz w:val="18"/>
          <w:szCs w:val="18"/>
          <w:i w:val="1"/>
          <w:iCs w:val="1"/>
          <w:color w:val="auto"/>
        </w:rPr>
      </w:pPr>
    </w:p>
    <w:p>
      <w:pPr>
        <w:ind w:left="640" w:hanging="316"/>
        <w:spacing w:after="0"/>
        <w:tabs>
          <w:tab w:leader="none" w:pos="64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expectations regarding our Flash Ventures joint venture with Kioxia Corporation (“Kioxia”), the flash industry and our flash wafer output plans;</w:t>
      </w:r>
    </w:p>
    <w:p>
      <w:pPr>
        <w:spacing w:after="0" w:line="39" w:lineRule="exact"/>
        <w:rPr>
          <w:rFonts w:ascii="Arial" w:cs="Arial" w:eastAsia="Arial" w:hAnsi="Arial"/>
          <w:sz w:val="15"/>
          <w:szCs w:val="15"/>
          <w:i w:val="1"/>
          <w:iCs w:val="1"/>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synergies and our product plans and business strategies;</w:t>
      </w:r>
    </w:p>
    <w:p>
      <w:pPr>
        <w:spacing w:after="0" w:line="5" w:lineRule="exact"/>
        <w:rPr>
          <w:rFonts w:ascii="Arial" w:cs="Arial" w:eastAsia="Arial" w:hAnsi="Arial"/>
          <w:sz w:val="18"/>
          <w:szCs w:val="18"/>
          <w:i w:val="1"/>
          <w:iCs w:val="1"/>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pricing trends and conditions for our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cost saving initiatives;</w:t>
      </w:r>
    </w:p>
    <w:p>
      <w:pPr>
        <w:spacing w:after="0" w:line="5" w:lineRule="exact"/>
        <w:rPr>
          <w:rFonts w:ascii="Arial" w:cs="Arial" w:eastAsia="Arial" w:hAnsi="Arial"/>
          <w:sz w:val="18"/>
          <w:szCs w:val="18"/>
          <w:i w:val="1"/>
          <w:iCs w:val="1"/>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5" w:lineRule="exact"/>
        <w:rPr>
          <w:rFonts w:ascii="Arial" w:cs="Arial" w:eastAsia="Arial" w:hAnsi="Arial"/>
          <w:sz w:val="18"/>
          <w:szCs w:val="18"/>
          <w:i w:val="1"/>
          <w:iCs w:val="1"/>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5" w:lineRule="exact"/>
        <w:rPr>
          <w:rFonts w:ascii="Arial" w:cs="Arial" w:eastAsia="Arial" w:hAnsi="Arial"/>
          <w:sz w:val="18"/>
          <w:szCs w:val="18"/>
          <w:i w:val="1"/>
          <w:iCs w:val="1"/>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reinvestment in the business and ongoing deleveraging efforts;</w:t>
      </w:r>
    </w:p>
    <w:p>
      <w:pPr>
        <w:spacing w:after="0" w:line="5" w:lineRule="exact"/>
        <w:rPr>
          <w:rFonts w:ascii="Arial" w:cs="Arial" w:eastAsia="Arial" w:hAnsi="Arial"/>
          <w:sz w:val="18"/>
          <w:szCs w:val="18"/>
          <w:i w:val="1"/>
          <w:iCs w:val="1"/>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share repurchase program and resumption of our quarterly cash dividend policy;</w:t>
      </w:r>
    </w:p>
    <w:p>
      <w:pPr>
        <w:spacing w:after="0" w:line="5" w:lineRule="exact"/>
        <w:rPr>
          <w:rFonts w:ascii="Arial" w:cs="Arial" w:eastAsia="Arial" w:hAnsi="Arial"/>
          <w:sz w:val="18"/>
          <w:szCs w:val="18"/>
          <w:i w:val="1"/>
          <w:iCs w:val="1"/>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repatriation of funds from our foreign operations;</w:t>
      </w:r>
    </w:p>
    <w:p>
      <w:pPr>
        <w:spacing w:after="0" w:line="5" w:lineRule="exact"/>
        <w:rPr>
          <w:rFonts w:ascii="Arial" w:cs="Arial" w:eastAsia="Arial" w:hAnsi="Arial"/>
          <w:sz w:val="18"/>
          <w:szCs w:val="18"/>
          <w:i w:val="1"/>
          <w:iCs w:val="1"/>
          <w:color w:val="auto"/>
        </w:rPr>
      </w:pPr>
    </w:p>
    <w:p>
      <w:pPr>
        <w:ind w:left="640" w:right="38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and capital expenditure needs.</w:t>
      </w:r>
    </w:p>
    <w:p>
      <w:pPr>
        <w:spacing w:after="0" w:line="232"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i w:val="1"/>
          <w:iCs w:val="1"/>
          <w:color w:val="auto"/>
        </w:rPr>
        <w:t>These forward-looking statements are based on management’s current expectations and are subject to risks and uncertainties that could cause actual results to differ materially from those expressed or implied in the forward-looking statements. You are urged to carefully review the disclosures we make concerning risks and other factors that may affect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Western Digital Corporation (“Western Digital”) is a leading developer, manufacturer, and provider of data storage devices and solutions that address the evolving needs of information technology (“IT”) and the infrastructure that enables the proliferation of data in virtually every industry. We create environments for data to thrive. We are driving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72"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Founded in 1970 in Santa Ana, California, Western Digital is now a Standard &amp; Poor’s 500 (“S&amp;P 500”) company headquartered in San Jose, California. We have one of the technology industry’s most valuable patent portfolios with approximately 13,700 active patents worldwide. We have a rich heritage of innovation and operational excellence, a wide range of intellectual property (“IP”) assets and broad research and development (“R&amp;D”) capabilities. The unabated growth in amount, value, and use of data continues, creating a global need for a larger, faster and more capable storage infrastructure.</w:t>
      </w:r>
    </w:p>
    <w:p>
      <w:pPr>
        <w:spacing w:after="0" w:line="172"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We are a customer-focused organization that has developed deep relationships with industry leaders to continue to deliver innovative solutions to help users capture, store and transform data across a boundless range of applications. Wherever data needs to be stored and accessed - from consumer devices such as cameras, drones and virtual reality headsets, to the most complex data centers - Western Digital is there. We enable cloud, Internet, and social media infrastructure players to build more powerful, cost effective and efficient data centers. We help original equipment manufacturers (“OEM”) address storage opportunities and solutions to capture and transform data in myriad devices and edge technologies. We have also built strong consumer brands with tools to manage fast-accumulating libraries of personal content.</w:t>
      </w:r>
    </w:p>
    <w:p>
      <w:pPr>
        <w:spacing w:after="0" w:line="206"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To increase focus, drive innovation and improve execution, we have recently structured our operations with dedicated leadership of our two broad categories of technology: hard disk drives (“HDD”), which are based on rotating magnetic technology, and flash-based memory (“flash”), which is a semiconductor technology. We continue to transform ourselves to address the growth in data by providing what we believe to be the broadest range of storage technologies in the industry with a comprehensive product portfolio and global reach.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50"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We operate in the data storage industry. The ability to access, store and share data from anywhere on any device is increasingly important to our customers. From the intelligent edge to the cloud, data storage is a fundamental component underpinning the global technology architecture. Our strengths in innovation and cost leadership, expansive product portfolio and broad routes to market provide a foundation upon which we are solidifying our position as an essential building block of the digital economy. There’s tremendous market opportunity flowing from the rapid global adoption of the technology architecture built with cloud infrastructure tied to intelligent endpoints all connected by high performance networks. The value and urgency of data storage at every point across this architecture has never been more clear.</w:t>
      </w:r>
    </w:p>
    <w:p>
      <w:pPr>
        <w:spacing w:after="0" w:line="206"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The growth in computing complexity, cloud computing applications, connected mobile devices and Internet connected products, and edge devices is driving unabated growth in the volume of digital content to be stored and used. This growth has led to a creation of new form factors for data storage. The storage industry is increasingly utilizing tiered architectures with HDDs, solid state drives (“SSDs”) and other non-volatile memory-based storage to address an expanding set of uses and applications. We believe our expertise and innovation across both HDD and flash technologies enable us to bring powerful solutions to a broader range of applications. We continuously monitor the full array of storage technologies, including reviewing these technologies with our customers, to ensure we are appropriately resourced to meet our customers’ storage needs.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0" w:lineRule="exact"/>
        <w:rPr>
          <w:sz w:val="20"/>
          <w:szCs w:val="20"/>
          <w:color w:val="auto"/>
        </w:rPr>
      </w:pPr>
    </w:p>
    <w:p>
      <w:pPr>
        <w:jc w:val="both"/>
        <w:ind w:right="140" w:firstLine="318"/>
        <w:spacing w:after="0" w:line="271" w:lineRule="auto"/>
        <w:rPr>
          <w:sz w:val="20"/>
          <w:szCs w:val="20"/>
          <w:color w:val="auto"/>
        </w:rPr>
      </w:pPr>
      <w:r>
        <w:rPr>
          <w:rFonts w:ascii="Arial" w:cs="Arial" w:eastAsia="Arial" w:hAnsi="Arial"/>
          <w:sz w:val="17"/>
          <w:szCs w:val="17"/>
          <w:color w:val="auto"/>
        </w:rPr>
        <w:t>Our industry is highly competitive. We compete with manufacturers of HDDs and flash-based memory for client devices and solutions, and data center devices and solutions. In HDD, we compete with Seagate Technology plc and Toshiba Electronic Devices &amp; Storage Corporation. In flash, we compete with vertically integrated suppliers such as Intel Corporation, Kioxia, Micron Technology, Inc., Samsung Electronics Co., Ltd., SK hynix, Inc., Yangtze Memory Technologies Co., Ltd. and numerous smaller companies that assemble flash into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0"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Our overall strategy is to leverage our innovation, technology and execution capabilities to be an industry-leading and broad-based developer, manufacturer and provider of storage devices and solutions that support the infrastructure that has enabled the unabated proliferation of data. We believe we are the only company in the world with large-scale capabilities to develop and manufacture a portfolio of integrated data storage solutions that are based on both HDD and flash memory technologies. We strive to successfully execute our strategy through the following foundational elements in order to deliver the best outcome for our customers, partners, investors and employees:</w:t>
      </w:r>
    </w:p>
    <w:p>
      <w:pPr>
        <w:spacing w:after="0" w:line="207" w:lineRule="exact"/>
        <w:rPr>
          <w:sz w:val="20"/>
          <w:szCs w:val="20"/>
          <w:color w:val="auto"/>
        </w:rPr>
      </w:pPr>
    </w:p>
    <w:p>
      <w:pPr>
        <w:ind w:left="640" w:right="26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Innovation and Cost Leadership: </w:t>
      </w:r>
      <w:r>
        <w:rPr>
          <w:rFonts w:ascii="Arial" w:cs="Arial" w:eastAsia="Arial" w:hAnsi="Arial"/>
          <w:sz w:val="17"/>
          <w:szCs w:val="17"/>
          <w:color w:val="auto"/>
        </w:rPr>
        <w:t>We continue to innovate and develop advanced technologies across platforms for both HDD and flash to deliver</w:t>
      </w:r>
      <w:r>
        <w:rPr>
          <w:rFonts w:ascii="Arial" w:cs="Arial" w:eastAsia="Arial" w:hAnsi="Arial"/>
          <w:sz w:val="17"/>
          <w:szCs w:val="17"/>
          <w:i w:val="1"/>
          <w:iCs w:val="1"/>
          <w:color w:val="auto"/>
        </w:rPr>
        <w:t xml:space="preserve"> </w:t>
      </w:r>
      <w:r>
        <w:rPr>
          <w:rFonts w:ascii="Arial" w:cs="Arial" w:eastAsia="Arial" w:hAnsi="Arial"/>
          <w:sz w:val="17"/>
          <w:szCs w:val="17"/>
          <w:color w:val="auto"/>
        </w:rPr>
        <w:t>timely new products and solutions to meet growing demands for scale, performance and cost efficiency in the market.</w:t>
      </w:r>
    </w:p>
    <w:p>
      <w:pPr>
        <w:spacing w:after="0" w:line="183" w:lineRule="exact"/>
        <w:rPr>
          <w:rFonts w:ascii="Arial" w:cs="Arial" w:eastAsia="Arial" w:hAnsi="Arial"/>
          <w:sz w:val="17"/>
          <w:szCs w:val="17"/>
          <w:color w:val="auto"/>
        </w:rPr>
      </w:pPr>
    </w:p>
    <w:p>
      <w:pPr>
        <w:ind w:left="640" w:right="220" w:hanging="316"/>
        <w:spacing w:after="0" w:line="255" w:lineRule="auto"/>
        <w:tabs>
          <w:tab w:leader="none" w:pos="6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Broad Product Portfolio: </w:t>
      </w:r>
      <w:r>
        <w:rPr>
          <w:rFonts w:ascii="Arial" w:cs="Arial" w:eastAsia="Arial" w:hAnsi="Arial"/>
          <w:sz w:val="18"/>
          <w:szCs w:val="18"/>
          <w:color w:val="auto"/>
        </w:rPr>
        <w:t>We leverage our capabilities in firmware, software and systems in both HDD and flash to deliver compelling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integrated storage solutions to our customers that offer the best combinations of performance, cost, power consumption, form factor, quality and reliability, while creating new use cases for our solutions in emerging markets.</w:t>
      </w:r>
    </w:p>
    <w:p>
      <w:pPr>
        <w:spacing w:after="0" w:line="214" w:lineRule="exact"/>
        <w:rPr>
          <w:rFonts w:ascii="Arial" w:cs="Arial" w:eastAsia="Arial" w:hAnsi="Arial"/>
          <w:sz w:val="18"/>
          <w:szCs w:val="18"/>
          <w:i w:val="1"/>
          <w:iCs w:val="1"/>
          <w:color w:val="auto"/>
        </w:rPr>
      </w:pPr>
    </w:p>
    <w:p>
      <w:pPr>
        <w:ind w:left="640" w:right="280" w:hanging="316"/>
        <w:spacing w:after="0" w:line="252" w:lineRule="auto"/>
        <w:tabs>
          <w:tab w:leader="none" w:pos="6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We are focused on delivering the best value for our customers in data center, client and consumer markets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relentless focus on appropriately scaling our operations across both HDD and flash technologies to efficiently support business growth, achieving best in class cost, quality and cycle-time, maintaining industry leading manufacturing capabilities, and having a competitive advantage in supply-chain management.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strategy provides the following benefits, which distinguish us in the dynamic and competitive data storage industry:</w:t>
      </w:r>
    </w:p>
    <w:p>
      <w:pPr>
        <w:spacing w:after="0" w:line="244" w:lineRule="exact"/>
        <w:rPr>
          <w:sz w:val="20"/>
          <w:szCs w:val="20"/>
          <w:color w:val="auto"/>
        </w:rPr>
      </w:pPr>
    </w:p>
    <w:p>
      <w:pPr>
        <w:ind w:left="640" w:right="80" w:hanging="316"/>
        <w:spacing w:after="0" w:line="365"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a broad product portfolio that differentiates us as a leading developer and manufacturer of integrated products and solutions based on both HDD and flash, making us a more strategic supply partner to our large-scale customers who have storage needs across the data infrastructure ecosystem;</w:t>
      </w:r>
    </w:p>
    <w:p>
      <w:pPr>
        <w:spacing w:after="0" w:line="137" w:lineRule="exact"/>
        <w:rPr>
          <w:rFonts w:ascii="Arial" w:cs="Arial" w:eastAsia="Arial" w:hAnsi="Arial"/>
          <w:sz w:val="15"/>
          <w:szCs w:val="15"/>
          <w:color w:val="auto"/>
        </w:rPr>
      </w:pPr>
    </w:p>
    <w:p>
      <w:pPr>
        <w:ind w:left="640" w:right="6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and flexible manufacturing capabilities, allowing us to leverage our HDD and flash R&amp;D and capital expenditures to deliver innovative and cost-effective storage solutions to multiple markets;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 relationships with industry leaders across the data ecosystems that give us the broadest routes to market.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Solutions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offer a broad line of data solutions to various end markets to meet the evolving storage needs of our customers.</w:t>
      </w:r>
    </w:p>
    <w:p>
      <w:pPr>
        <w:spacing w:after="0" w:line="24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i w:val="1"/>
          <w:iCs w:val="1"/>
          <w:color w:val="auto"/>
        </w:rPr>
        <w:t xml:space="preserve">Client Devices. </w:t>
      </w:r>
      <w:r>
        <w:rPr>
          <w:rFonts w:ascii="Arial" w:cs="Arial" w:eastAsia="Arial" w:hAnsi="Arial"/>
          <w:sz w:val="18"/>
          <w:szCs w:val="18"/>
          <w:color w:val="auto"/>
        </w:rPr>
        <w:t>We provide numerous data solutions that we incorporate into our client’s devices, which consist of HDD and SSD desktop and notebook</w:t>
      </w:r>
      <w:r>
        <w:rPr>
          <w:rFonts w:ascii="Arial" w:cs="Arial" w:eastAsia="Arial" w:hAnsi="Arial"/>
          <w:sz w:val="18"/>
          <w:szCs w:val="18"/>
          <w:i w:val="1"/>
          <w:iCs w:val="1"/>
          <w:color w:val="auto"/>
        </w:rPr>
        <w:t xml:space="preserve"> </w:t>
      </w:r>
      <w:r>
        <w:rPr>
          <w:rFonts w:ascii="Arial" w:cs="Arial" w:eastAsia="Arial" w:hAnsi="Arial"/>
          <w:sz w:val="18"/>
          <w:szCs w:val="18"/>
          <w:color w:val="auto"/>
        </w:rPr>
        <w:t>PCs, smart video systems, gaming consoles and set top boxes, as well as flash-based embedded storage products for mobile phones, tablets, notebook PCs and other portable and wearable devices, automotive applications, Internet of Things, industrial and connected home applications. Our HDDs and SSDs are designed for use in devices requiring high performance, reliability and capacity with various attributes such as low cost per gigabyte (“GB”), quiet acoustics, low power consumption and protection against shocks.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i w:val="1"/>
          <w:iCs w:val="1"/>
          <w:color w:val="auto"/>
        </w:rPr>
        <w:t xml:space="preserve">Data Center Devices &amp; Solutions. </w:t>
      </w:r>
      <w:r>
        <w:rPr>
          <w:rFonts w:ascii="Arial" w:cs="Arial" w:eastAsia="Arial" w:hAnsi="Arial"/>
          <w:sz w:val="17"/>
          <w:szCs w:val="17"/>
          <w:color w:val="auto"/>
        </w:rPr>
        <w:t>We provide an array of high-capacity enterprise HDDs and high-performance enterprise SSDs, and platforms.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enterprise helium hard drives provide high capacity storage needs and low total cost of ownership per GB for the growing cloud data center market. These drives are primarily for use in data storage systems, in tiered storage models and where data must be stored reliably for years. Our high-performance enterprise class SSDs include high-performance flash-based SSDs and software solutions that are optimized for performance applications providing a range of capacity and performance levels primarily for use in enterprise servers and supporting high volume on-line transactions, data analysis and other enterprise applications. We also provide higher value data storage platforms to the market.</w:t>
      </w:r>
    </w:p>
    <w:p>
      <w:pPr>
        <w:spacing w:after="0" w:line="206"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i w:val="1"/>
          <w:iCs w:val="1"/>
          <w:color w:val="auto"/>
        </w:rPr>
        <w:t xml:space="preserve">Client Solutions. </w:t>
      </w:r>
      <w:r>
        <w:rPr>
          <w:rFonts w:ascii="Arial" w:cs="Arial" w:eastAsia="Arial" w:hAnsi="Arial"/>
          <w:sz w:val="17"/>
          <w:szCs w:val="17"/>
          <w:color w:val="auto"/>
        </w:rPr>
        <w:t>We provide consumers with a portfolio of HDDs and SSDs embedded into external storage products and removable flash-based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which include cards, universal serial bus (“USB”) flash drives and wireless drives, through our retail and channel routes to market. Our external HDD storage products in both mobile and desktop form factors provide affordable, high quality, reliable storage for backup and capacity expansion that are designed to keep digital content secure. We offer client portable SSDs with a range of capacities and performance characteristics to address a broad spectrum of the client storage market. Our removable cards are designed primarily for use in consumer devices, such as mobile phones, tablets, imaging systems, cameras and smart video systems. Our USB flash drives are used in the computing and consumer markets and are designed for high-performance and reliability. Our wireless drive products allow in-field back up of created content, as well as wireless streaming of high-definition movies, photos, music and documents to tablets, smartphones and PCs.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5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i w:val="1"/>
          <w:iCs w:val="1"/>
          <w:color w:val="auto"/>
        </w:rPr>
        <w:t xml:space="preserve">Hard Disk Drives. </w:t>
      </w:r>
      <w:r>
        <w:rPr>
          <w:rFonts w:ascii="Arial" w:cs="Arial" w:eastAsia="Arial" w:hAnsi="Arial"/>
          <w:sz w:val="17"/>
          <w:szCs w:val="17"/>
          <w:color w:val="auto"/>
        </w:rPr>
        <w:t>HDDs provide non-volatile data storage by recording magnetic information on a rotating disk. We have led the industry in innovation</w:t>
      </w:r>
      <w:r>
        <w:rPr>
          <w:rFonts w:ascii="Arial" w:cs="Arial" w:eastAsia="Arial" w:hAnsi="Arial"/>
          <w:sz w:val="17"/>
          <w:szCs w:val="17"/>
          <w:i w:val="1"/>
          <w:iCs w:val="1"/>
          <w:color w:val="auto"/>
        </w:rPr>
        <w:t xml:space="preserve"> </w:t>
      </w:r>
      <w:r>
        <w:rPr>
          <w:rFonts w:ascii="Arial" w:cs="Arial" w:eastAsia="Arial" w:hAnsi="Arial"/>
          <w:sz w:val="17"/>
          <w:szCs w:val="17"/>
          <w:color w:val="auto"/>
        </w:rPr>
        <w:t>to drive increased areal density and high performance attributes. Our improvements in HDD capacity, which lower product costs over time, have been enabled largely through advancements in magnetic recording head and media technologies. We develop and manufacture substantially all of the recording heads and magnetic media used in our HDD products. The recording heads act as the “to brain” of the HDD and require semiconductor production equipment and technology to produce them.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w:t>
      </w:r>
    </w:p>
    <w:p>
      <w:pPr>
        <w:spacing w:after="0" w:line="212"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i w:val="1"/>
          <w:iCs w:val="1"/>
          <w:color w:val="auto"/>
        </w:rPr>
        <w:t xml:space="preserve">Flash Technologies. </w:t>
      </w:r>
      <w:r>
        <w:rPr>
          <w:rFonts w:ascii="Arial" w:cs="Arial" w:eastAsia="Arial" w:hAnsi="Arial"/>
          <w:sz w:val="15"/>
          <w:szCs w:val="15"/>
          <w:color w:val="auto"/>
        </w:rPr>
        <w:t>Flash based storage products provide non-volatile data storage based on flash technology. We develop and manufacture solid state</w:t>
      </w:r>
      <w:r>
        <w:rPr>
          <w:rFonts w:ascii="Arial" w:cs="Arial" w:eastAsia="Arial" w:hAnsi="Arial"/>
          <w:sz w:val="15"/>
          <w:szCs w:val="15"/>
          <w:i w:val="1"/>
          <w:iCs w:val="1"/>
          <w:color w:val="auto"/>
        </w:rPr>
        <w:t xml:space="preserve"> </w:t>
      </w:r>
      <w:r>
        <w:rPr>
          <w:rFonts w:ascii="Arial" w:cs="Arial" w:eastAsia="Arial" w:hAnsi="Arial"/>
          <w:sz w:val="15"/>
          <w:szCs w:val="15"/>
          <w:color w:val="auto"/>
        </w:rPr>
        <w:t>storage products for a variety of applications including enterprise or cloud storage, client storage, automotive, mobile devices and removable memory devices.</w:t>
      </w:r>
    </w:p>
    <w:p>
      <w:pPr>
        <w:spacing w:after="0" w:line="138"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We devote significant research and development resources to the development of highly reliable, high-performance, cost-effective flash-based technology. Over time, we have successfully developed and commercialized successive generations of 3-dimensional flash technology with increased numbers of storage bits per cell in an increasingly smaller form factor, further driving cost reductions. We began shipping our 5th generation 112-layer BiCS5 products in 2020 and continue to pursue development of increased-capacity, lower-cost devices.</w:t>
      </w:r>
    </w:p>
    <w:p>
      <w:pPr>
        <w:spacing w:after="0" w:line="20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ease-of-use.</w:t>
      </w:r>
    </w:p>
    <w:p>
      <w:pPr>
        <w:spacing w:after="0" w:line="215"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0" w:lineRule="exact"/>
        <w:rPr>
          <w:sz w:val="20"/>
          <w:szCs w:val="20"/>
          <w:color w:val="auto"/>
        </w:rPr>
      </w:pPr>
    </w:p>
    <w:p>
      <w:pPr>
        <w:jc w:val="both"/>
        <w:ind w:right="440" w:firstLine="318"/>
        <w:spacing w:after="0" w:line="255" w:lineRule="auto"/>
        <w:rPr>
          <w:sz w:val="20"/>
          <w:szCs w:val="20"/>
          <w:color w:val="auto"/>
        </w:rPr>
      </w:pPr>
      <w:r>
        <w:rPr>
          <w:rFonts w:ascii="Arial" w:cs="Arial" w:eastAsia="Arial" w:hAnsi="Arial"/>
          <w:sz w:val="18"/>
          <w:szCs w:val="18"/>
          <w:color w:val="auto"/>
        </w:rPr>
        <w:t xml:space="preserve">We devote substantial resources to the development of new products and the improvement of existing products. We focus our engineering efforts on coordinating our product design and manufacturing processes to bring our products to market in a cost-effective and timely manner.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Information</w:t>
      </w:r>
    </w:p>
    <w:p>
      <w:pPr>
        <w:spacing w:after="0" w:line="25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We rely on a combination of patents, trademarks, copyright and trade secret laws, confidentiality procedures and licensing arrangements to protect our IP rights.</w:t>
      </w:r>
    </w:p>
    <w:p>
      <w:pPr>
        <w:spacing w:after="0" w:line="207"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We have approximately 13,700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spacing w:after="0" w:line="21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spacing w:after="0" w:line="220" w:lineRule="exact"/>
        <w:rPr>
          <w:sz w:val="20"/>
          <w:szCs w:val="20"/>
          <w:color w:val="auto"/>
        </w:rPr>
      </w:pPr>
    </w:p>
    <w:p>
      <w:pPr>
        <w:ind w:right="260" w:firstLine="318"/>
        <w:spacing w:after="0" w:line="216" w:lineRule="exact"/>
        <w:rPr>
          <w:sz w:val="20"/>
          <w:szCs w:val="20"/>
          <w:color w:val="auto"/>
        </w:rPr>
      </w:pPr>
      <w:r>
        <w:rPr>
          <w:rFonts w:ascii="Arial" w:cs="Arial" w:eastAsia="Arial" w:hAnsi="Arial"/>
          <w:sz w:val="18"/>
          <w:szCs w:val="18"/>
          <w:color w:val="auto"/>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0"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We believe that we have significant know-how, unique product manufacturing processes, test and tooling, execution skills, human resources and training to continue to be successful and to grow our manufacturing operations as necessary. We strive to maintain manufacturing flexibility, high manufacturing yields, reliable products and high-quality components. The critical elements of our production of HDD and flash-based products are high-volume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spacing w:after="0" w:line="206"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HDD and flash-based product manufacturing are complex processes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We also leverage contract manufacturers when strategically advantageous.</w:t>
      </w:r>
    </w:p>
    <w:p>
      <w:pPr>
        <w:spacing w:after="0" w:line="17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Our vertically integrated, in-house assembly and test operations for our HDD products are concentrated in Prachinburi and Bang Pa-In, Thailand, Penang, Johor Bahru, and Sarawak, Malaysia, Laguna, Philippines, Shenzhen, China, San Jose and Fremont, CA, USA.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Ventures with Kioxia</w:t>
      </w:r>
    </w:p>
    <w:p>
      <w:pPr>
        <w:spacing w:after="0" w:line="25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Substantially all of our flash-based supply requirements for our flash-based products is obtained from our ventures with Kioxia, which provide us with leading-edge, high-quality and low-cost flash memory wafers. While substantially all of our flash memory supply utilized for our products is purchased from these ventures, from time-to-time, we also purchase flash memory from other flash manufacturers. While we do not unilaterally control the operations of our ventures with Kioxia, we believe that our business venture relationship with Kioxia helps us reduce product costs, increases our ability to control the quality of our products and speeds delivery of our products to our customers. Our business ventures with Kioxia are located primarily in Yokkaichi, Japan, and our in-house assembly and test operations located in Shanghai, China and Penang, Malaysia.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40" w:firstLine="318"/>
        <w:spacing w:after="0" w:line="303" w:lineRule="auto"/>
        <w:rPr>
          <w:sz w:val="20"/>
          <w:szCs w:val="20"/>
          <w:color w:val="auto"/>
        </w:rPr>
      </w:pPr>
      <w:r>
        <w:rPr>
          <w:rFonts w:ascii="Arial" w:cs="Arial" w:eastAsia="Arial" w:hAnsi="Arial"/>
          <w:sz w:val="15"/>
          <w:szCs w:val="15"/>
          <w:color w:val="auto"/>
        </w:rPr>
        <w:t>We and Kioxia currently operate three business ventures in 300-millimeter flash-based manufacturing facilities in Japan, which provide us leading-edge, cost-competitive flash-based memory wafers for our end products. Through Flash Partners Ltd., Flash Alliance Ltd., and Flash Forward Ltd., which we collectively refer to as Flash Ventures, we and Kioxia collaborate in the development and manufacture of flash-based memory wafers using semiconductor manufacturing equipment owned or leased by each of the Flash Venture entities. We hold a 49.9% ownership position in each of the Flash Venture entities. Each Flash Venture entity purchases wafers from Kioxia at cost and then resells those wafers to us and Kioxia at cost plus a small mark-up. We are obligated to take our share of the output from these ventures or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 of each Flash Ventures entity’s capital investments to the extent that the Flash Ventures entity’s operating cash flow is insufficient to fund these investments. We co-develop flash technologies (including process technology and memory design) with Kioxia and contribute IP for Flash Ventures’ use.</w:t>
      </w:r>
    </w:p>
    <w:p>
      <w:pPr>
        <w:spacing w:after="0" w:line="399"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The agreements governing the operations of the Flash Venture entities also set out a framework for any investment by the joint venture partners in flash manufacturing capacity. Since its inception, Flash Ventures’ primary manufacturing site has been located in Yokkaichi, Japan. The Yokkaichi site, which is owned and operated by Kioxia, currently includes five wafer fabrication facilities. We have jointly invested, and intend to continue to jointly invest, with Kioxia in manufacturing equipment for the Yokkaichi fabrication facilities. We also entered into additional agreements to extend Flash Ventures to a wafer fabrication facility known as “K1”. Located in Kitakami, Japan, K1 is operated by Kioxia Iwate Corporation, a wholly owned subsidiary of Kioxia. The primary purpose of K1 is to provide clean room space to continue the transition of existing flash-based wafer capacity to newer technology nodes. In October 2020, Kioxia announced the start of construction of the shell for a new fabrication facility in Yokkaichi, Japan, referred to as “Y7”. We expect to continue Flash Ventures investments into Y7 in due course, following the completion of agreements with Kioxia governing the construction and operation of the new facility and according to prevailing market trends.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a discussion of risks associated with our business ventures with Kioxia, see Part I, Item 1A, </w:t>
      </w:r>
      <w:r>
        <w:rPr>
          <w:rFonts w:ascii="Arial" w:cs="Arial" w:eastAsia="Arial" w:hAnsi="Arial"/>
          <w:sz w:val="15"/>
          <w:szCs w:val="15"/>
          <w:i w:val="1"/>
          <w:iCs w:val="1"/>
          <w:color w:val="auto"/>
        </w:rPr>
        <w:t>Risk Factors</w:t>
      </w:r>
      <w:r>
        <w:rPr>
          <w:rFonts w:ascii="Arial" w:cs="Arial" w:eastAsia="Arial" w:hAnsi="Arial"/>
          <w:sz w:val="15"/>
          <w:szCs w:val="15"/>
          <w:color w:val="auto"/>
        </w:rPr>
        <w:t>, of this Annual Report on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Supplies</w:t>
      </w:r>
    </w:p>
    <w:p>
      <w:pPr>
        <w:spacing w:after="0" w:line="250"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HDD consists primarily of recording heads, magnetic media, controllers and firmware, and a printed circuit board assembly. We design and manufacture substantially all of the recording heads and magnetic media required for our products. As a result, we are more dependent upon our own development and execution efforts for these components and less reliant on recording head and magnetic media technologies developed by other manufacturers. We depend on an external supply base for all remaining components and materials for use in our HDD product design, manufacturing, and testing. We believe the use of our in-house manufacturing, assembly and test facilities provides the controls necessary to provide the demanding capabilities, performance and reliability our customers require.</w:t>
      </w:r>
    </w:p>
    <w:p>
      <w:pPr>
        <w:spacing w:after="0" w:line="222"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Our flash-based products consist of flash memory, controllers and firmware and other components. Substantially all of our flash-based memory is supplied by our business ventures with Kioxia. Controllers are primarily designed in-house and manufactured by third-party foundries or acquired from third-party suppliers. We believe the use of our in-house assembly and test facilities, as well as contract manufacturers, provides flexibility and gives us access to increased production capacity. We have developed deep relationships with these vendors and Kioxia to establish continuous supply of flash-based memory and controllers.</w:t>
      </w:r>
    </w:p>
    <w:p>
      <w:pPr>
        <w:spacing w:after="0" w:line="22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We generally retain multiple suppliers for our component requirements but, for business or technology reasons, we source some of our components from a limited number of sole or single source providers. For a discussion of associated risks, see Part I, Item 1A, </w:t>
      </w:r>
      <w:r>
        <w:rPr>
          <w:rFonts w:ascii="Arial" w:cs="Arial" w:eastAsia="Arial" w:hAnsi="Arial"/>
          <w:sz w:val="15"/>
          <w:szCs w:val="15"/>
          <w:i w:val="1"/>
          <w:iCs w:val="1"/>
          <w:color w:val="auto"/>
        </w:rPr>
        <w:t>Risk Factors</w:t>
      </w:r>
      <w:r>
        <w:rPr>
          <w:rFonts w:ascii="Arial" w:cs="Arial" w:eastAsia="Arial" w:hAnsi="Arial"/>
          <w:sz w:val="15"/>
          <w:szCs w:val="15"/>
          <w:color w:val="auto"/>
        </w:rPr>
        <w:t>, of this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50"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 xml:space="preserve">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78%, 72% and 78% of our net revenue for 2021, 2020 and 2019, respectively. Sales to international customers are subject to certain risks not normally encountered in domestic operations, including exposure to tariffs and various trade regulations.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We perform our marketing and advertising functions internally and through outside firms utilizing both consumer media and trade publications targeting various reseller and end-user markets.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 While these groups of customers make up our end markets, some of these customers cross into multiple groups. We define these customers as follows:</w:t>
      </w:r>
    </w:p>
    <w:p>
      <w:pPr>
        <w:spacing w:after="0" w:line="17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i w:val="1"/>
          <w:iCs w:val="1"/>
          <w:color w:val="auto"/>
        </w:rPr>
        <w:t xml:space="preserve">Original Equipment Manufacturers. </w:t>
      </w:r>
      <w:r>
        <w:rPr>
          <w:rFonts w:ascii="Arial" w:cs="Arial" w:eastAsia="Arial" w:hAnsi="Arial"/>
          <w:sz w:val="18"/>
          <w:szCs w:val="18"/>
          <w:color w:val="auto"/>
        </w:rPr>
        <w:t>OEMs purchase our products either directly or through a contract manufacturer such as an original design</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(“ODM”) and assemble them into the devices they build and market under their own brands. This category extends beyond traditional IT manufacturers and includes manufacturers that incorporate data and storage into their own products across a spectrum of applications, including gaming and personal devices, automotive, industrial and connected home applications. OEMs typically seek to qualify two or more providers for each generation of products and generally will purchase products from those vendors for the life of that product. Many of our OEM customers utilize just-in-time inventory management processes. As a result, for certain OEMs, we maintain a base stock of finished goods inventory in facilities located near or adjacent to the OEM’s operations. In addition, we sell flash storage solutions directly to customers that offer our products under their own brand name in the retail market, which we also classify as OEMs.</w:t>
      </w:r>
    </w:p>
    <w:p>
      <w:pPr>
        <w:spacing w:after="0" w:line="223"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i w:val="1"/>
          <w:iCs w:val="1"/>
          <w:color w:val="auto"/>
        </w:rPr>
        <w:t xml:space="preserve">Cloud. </w:t>
      </w:r>
      <w:r>
        <w:rPr>
          <w:rFonts w:ascii="Arial" w:cs="Arial" w:eastAsia="Arial" w:hAnsi="Arial"/>
          <w:sz w:val="17"/>
          <w:szCs w:val="17"/>
          <w:color w:val="auto"/>
        </w:rPr>
        <w:t>A large and growing customer base are those who integrate our storage solutions to provide services to other companies and end users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cloud. This customer base includes hyper-scale users that utilize our storage solutions to provide cloud-based services and infrastructure including IT services, social media, gaming, streaming media, advertising, cryptocurrency, research and other services to an ever-increasing market. This group of customers purchase either directly, through an integrator, an ODM, an OEM or a combination of channels.</w:t>
      </w:r>
    </w:p>
    <w:p>
      <w:pPr>
        <w:spacing w:after="0" w:line="20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i w:val="1"/>
          <w:iCs w:val="1"/>
          <w:color w:val="auto"/>
        </w:rPr>
        <w:t xml:space="preserve">Distributors. </w:t>
      </w:r>
      <w:r>
        <w:rPr>
          <w:rFonts w:ascii="Arial" w:cs="Arial" w:eastAsia="Arial" w:hAnsi="Arial"/>
          <w:sz w:val="18"/>
          <w:szCs w:val="18"/>
          <w:color w:val="auto"/>
        </w:rPr>
        <w:t>We use a broad group of distributors to sell our products to non-direct customers such as small computer and consumer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dealers, value-added resellers, systems integrators, and other resellers. Distributors generally enter into non-exclusive agreements with us for the purchase and redistribution of our products in specific territories.</w:t>
      </w:r>
    </w:p>
    <w:p>
      <w:pPr>
        <w:spacing w:after="0" w:line="215"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sell our branded products directly to a select group of major retailers such as computer superstores, warehouse clubs, online retailers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 electronics stores, and authorize sales through distributors to smaller retailers. The retail channel complements our other sales channels while helping to build brand awareness for us and our products. We also sell our branded products through our websites.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each of 2021, 2020 and 2019, no single customer accounted for 10% or more of our net revenue.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0"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 xml:space="preserve">We have historically experienced seasonal fluctuations in our business with higher levels of demand in the first and second quarters of our fiscal year as a result of increased customer spending. Seasonality can also be impacted by the growth in emerging markets and macroeconomic conditions.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50"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Arial" w:cs="Arial" w:eastAsia="Arial" w:hAnsi="Arial"/>
          <w:sz w:val="18"/>
          <w:szCs w:val="18"/>
          <w:i w:val="1"/>
          <w:iCs w:val="1"/>
          <w:color w:val="auto"/>
        </w:rPr>
        <w:t xml:space="preserve">Organization and Basis of Presentation, </w:t>
      </w:r>
      <w:r>
        <w:rPr>
          <w:rFonts w:ascii="Arial" w:cs="Arial" w:eastAsia="Arial" w:hAnsi="Arial"/>
          <w:sz w:val="18"/>
          <w:szCs w:val="18"/>
          <w:color w:val="auto"/>
        </w:rPr>
        <w:t>and Note 4,</w:t>
      </w:r>
      <w:r>
        <w:rPr>
          <w:rFonts w:ascii="Arial" w:cs="Arial" w:eastAsia="Arial" w:hAnsi="Arial"/>
          <w:sz w:val="18"/>
          <w:szCs w:val="18"/>
          <w:i w:val="1"/>
          <w:iCs w:val="1"/>
          <w:color w:val="auto"/>
        </w:rPr>
        <w:t xml:space="preserve"> Supplemental Financial Statement Data, </w:t>
      </w:r>
      <w:r>
        <w:rPr>
          <w:rFonts w:ascii="Arial" w:cs="Arial" w:eastAsia="Arial" w:hAnsi="Arial"/>
          <w:sz w:val="18"/>
          <w:szCs w:val="18"/>
          <w:color w:val="auto"/>
        </w:rPr>
        <w:t>of the Notes to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0"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Our approximately 65,600 employees worldwide are our most valuable resource. We believe we can achieve the best business outcomes by empowering our diverse and talented employees to make an impact together. We are committed to an inclusive environment where every individual can thrive and contribute to our technology leadership across our broad product portfolio and operational excellence to deliver value for our customers. The Compensation and Talent Committee of our Board of Directors is responsible for providing Board-level oversight and reviews our human capital management programs and initiatives, focusing on our culture, talent development, retention and equity, inclusion and diversity. Our global workforce is based in the following geographic regions: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4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Region</w:t>
            </w:r>
          </w:p>
        </w:tc>
        <w:tc>
          <w:tcPr>
            <w:tcW w:w="100" w:type="dxa"/>
            <w:vAlign w:val="bottom"/>
            <w:tcBorders>
              <w:bottom w:val="single" w:sz="8" w:color="CCEEFF"/>
            </w:tcBorders>
          </w:tcPr>
          <w:p>
            <w:pPr>
              <w:spacing w:after="0"/>
              <w:rPr>
                <w:sz w:val="16"/>
                <w:szCs w:val="16"/>
                <w:color w:val="auto"/>
              </w:rPr>
            </w:pPr>
          </w:p>
        </w:tc>
        <w:tc>
          <w:tcPr>
            <w:tcW w:w="36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Primary Functions</w:t>
            </w:r>
          </w:p>
        </w:tc>
        <w:tc>
          <w:tcPr>
            <w:tcW w:w="10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right"/>
              <w:ind w:right="883"/>
              <w:spacing w:after="0"/>
              <w:rPr>
                <w:sz w:val="20"/>
                <w:szCs w:val="20"/>
                <w:color w:val="auto"/>
              </w:rPr>
            </w:pPr>
            <w:r>
              <w:rPr>
                <w:rFonts w:ascii="Arial" w:cs="Arial" w:eastAsia="Arial" w:hAnsi="Arial"/>
                <w:sz w:val="14"/>
                <w:szCs w:val="14"/>
                <w:b w:val="1"/>
                <w:bCs w:val="1"/>
                <w:color w:val="auto"/>
              </w:rPr>
              <w:t>Approximate # of Employees</w:t>
            </w:r>
          </w:p>
        </w:tc>
      </w:tr>
      <w:tr>
        <w:trPr>
          <w:trHeight w:val="224"/>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Asia Pacific</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Manufacturing, engineering</w:t>
            </w:r>
          </w:p>
        </w:tc>
        <w:tc>
          <w:tcPr>
            <w:tcW w:w="3660" w:type="dxa"/>
            <w:vAlign w:val="bottom"/>
            <w:shd w:val="clear" w:color="auto" w:fill="CCEEFF"/>
          </w:tcPr>
          <w:p>
            <w:pPr>
              <w:jc w:val="right"/>
              <w:ind w:right="1003"/>
              <w:spacing w:after="0"/>
              <w:rPr>
                <w:sz w:val="20"/>
                <w:szCs w:val="20"/>
                <w:color w:val="auto"/>
              </w:rPr>
            </w:pPr>
            <w:r>
              <w:rPr>
                <w:rFonts w:ascii="Arial" w:cs="Arial" w:eastAsia="Arial" w:hAnsi="Arial"/>
                <w:sz w:val="16"/>
                <w:szCs w:val="16"/>
                <w:color w:val="auto"/>
              </w:rPr>
              <w:t>54,200</w:t>
            </w:r>
          </w:p>
        </w:tc>
      </w:tr>
      <w:tr>
        <w:trPr>
          <w:trHeight w:val="176"/>
        </w:trPr>
        <w:tc>
          <w:tcPr>
            <w:tcW w:w="3740" w:type="dxa"/>
            <w:vAlign w:val="bottom"/>
            <w:gridSpan w:val="2"/>
          </w:tcPr>
          <w:p>
            <w:pPr>
              <w:spacing w:after="0" w:line="176" w:lineRule="exact"/>
              <w:rPr>
                <w:sz w:val="20"/>
                <w:szCs w:val="20"/>
                <w:color w:val="auto"/>
              </w:rPr>
            </w:pPr>
            <w:r>
              <w:rPr>
                <w:rFonts w:ascii="Arial" w:cs="Arial" w:eastAsia="Arial" w:hAnsi="Arial"/>
                <w:sz w:val="16"/>
                <w:szCs w:val="16"/>
                <w:color w:val="auto"/>
              </w:rPr>
              <w:t>The Americas</w:t>
            </w:r>
          </w:p>
        </w:tc>
        <w:tc>
          <w:tcPr>
            <w:tcW w:w="378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Engineering, manufacturing, R&amp;D, shared services,</w:t>
            </w:r>
          </w:p>
        </w:tc>
        <w:tc>
          <w:tcPr>
            <w:tcW w:w="3660" w:type="dxa"/>
            <w:vAlign w:val="bottom"/>
          </w:tcPr>
          <w:p>
            <w:pPr>
              <w:jc w:val="right"/>
              <w:ind w:right="1003"/>
              <w:spacing w:after="0" w:line="176" w:lineRule="exact"/>
              <w:rPr>
                <w:sz w:val="20"/>
                <w:szCs w:val="20"/>
                <w:color w:val="auto"/>
              </w:rPr>
            </w:pPr>
            <w:r>
              <w:rPr>
                <w:rFonts w:ascii="Arial" w:cs="Arial" w:eastAsia="Arial" w:hAnsi="Arial"/>
                <w:sz w:val="16"/>
                <w:szCs w:val="16"/>
                <w:color w:val="auto"/>
              </w:rPr>
              <w:t>8,000</w:t>
            </w:r>
          </w:p>
        </w:tc>
      </w:tr>
      <w:tr>
        <w:trPr>
          <w:trHeight w:val="213"/>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3660" w:type="dxa"/>
            <w:vAlign w:val="bottom"/>
          </w:tcPr>
          <w:p>
            <w:pPr>
              <w:spacing w:after="0"/>
              <w:rPr>
                <w:sz w:val="18"/>
                <w:szCs w:val="18"/>
                <w:color w:val="auto"/>
              </w:rPr>
            </w:pPr>
          </w:p>
        </w:tc>
      </w:tr>
      <w:tr>
        <w:trPr>
          <w:trHeight w:val="234"/>
        </w:trPr>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Europe, the Middle East, Africa, Israel and India</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marketing, R&amp;D and engineering</w:t>
            </w:r>
          </w:p>
        </w:tc>
        <w:tc>
          <w:tcPr>
            <w:tcW w:w="3660" w:type="dxa"/>
            <w:vAlign w:val="bottom"/>
            <w:shd w:val="clear" w:color="auto" w:fill="CCEEFF"/>
          </w:tcPr>
          <w:p>
            <w:pPr>
              <w:jc w:val="right"/>
              <w:ind w:right="1003"/>
              <w:spacing w:after="0"/>
              <w:rPr>
                <w:sz w:val="20"/>
                <w:szCs w:val="20"/>
                <w:color w:val="auto"/>
              </w:rPr>
            </w:pPr>
            <w:r>
              <w:rPr>
                <w:rFonts w:ascii="Arial" w:cs="Arial" w:eastAsia="Arial" w:hAnsi="Arial"/>
                <w:sz w:val="16"/>
                <w:szCs w:val="16"/>
                <w:color w:val="auto"/>
              </w:rPr>
              <w:t>3,400</w:t>
            </w:r>
          </w:p>
        </w:tc>
      </w:tr>
    </w:tbl>
    <w:p>
      <w:pPr>
        <w:spacing w:after="0" w:line="319"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i w:val="1"/>
          <w:iCs w:val="1"/>
          <w:color w:val="auto"/>
        </w:rPr>
        <w:t xml:space="preserve">Equity, Inclusion and Diversity. </w:t>
      </w:r>
      <w:r>
        <w:rPr>
          <w:rFonts w:ascii="Arial" w:cs="Arial" w:eastAsia="Arial" w:hAnsi="Arial"/>
          <w:sz w:val="17"/>
          <w:szCs w:val="17"/>
          <w:color w:val="auto"/>
        </w:rPr>
        <w:t>Our commitment to equity, inclusion and diversity starts at the top, where half of the members of our highly skilled and</w:t>
      </w:r>
      <w:r>
        <w:rPr>
          <w:rFonts w:ascii="Arial" w:cs="Arial" w:eastAsia="Arial" w:hAnsi="Arial"/>
          <w:sz w:val="17"/>
          <w:szCs w:val="17"/>
          <w:i w:val="1"/>
          <w:iCs w:val="1"/>
          <w:color w:val="auto"/>
        </w:rPr>
        <w:t xml:space="preserve"> </w:t>
      </w:r>
      <w:r>
        <w:rPr>
          <w:rFonts w:ascii="Arial" w:cs="Arial" w:eastAsia="Arial" w:hAnsi="Arial"/>
          <w:sz w:val="17"/>
          <w:szCs w:val="17"/>
          <w:color w:val="auto"/>
        </w:rPr>
        <w:t>diverse Board of Directors are women. In fiscal year 2021, women represented 25.7% of our management positions and 22.2% of our technical staff. Additionally, members of racially or ethnically diverse groups, such as Asian, Black/African American or Hispanic/Latinx, represented 57.6% of our U.S. management positions. For additional detail about our workforce in fiscal 2021, including data about employee hiring, turnover, and demographics, we encourage you to review our upcoming 2021 Sustainability Report. Our 2020 Sustainability Report and 2021 ESG Data Download are currently available on our corporate website. Nothing on our website, including our Sustainability Reports, ESG Data Downloads or sections thereof, shall be deemed incorporated by reference into this Annual Report on Form 10-K.</w:t>
      </w:r>
    </w:p>
    <w:p>
      <w:pPr>
        <w:spacing w:after="0" w:line="212"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We are striving to increase representation of women and members of underrepresented communities in our global workforce and particularly in leadership and technical roles.</w:t>
      </w:r>
    </w:p>
    <w:p>
      <w:pPr>
        <w:spacing w:after="0" w:line="207"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As part of our diversity efforts, we have delivered unconscious bias training to hundreds of leaders, equipping them to lead inclusively and identify unconscious bias. We also rolled out a required employee self-directed unconscious bias training in the U.S. and are planning to roll out the training globally.</w:t>
      </w:r>
    </w:p>
    <w:p>
      <w:pPr>
        <w:spacing w:after="0" w:line="13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We provide our employees competitive compensation consisting of base salary, cash short-term incentives and equity-based</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incentives for certain employees. We also offer a competitive benefit package that includes sick time and paid time off. We believe people should be paid for what they do and how they do it, regardless of their gender, race, or other personal characteristics. To fulfill that commitment, we benchmark pay using technology market data, set pay ranges based on market data and consider factors such as an employee’s role and experience, the location of their job, and their performance. We regularly review our compensation practices, both in terms of our overall workforce and individual employees, to ensure our pay is fair and equitable. We also monitor the competitiveness of our compensation and benefits to ensure that we remain an employer of choice in light of intense global competition for talent in the technology sector.</w:t>
      </w:r>
    </w:p>
    <w:p>
      <w:pPr>
        <w:spacing w:after="0" w:line="212" w:lineRule="exact"/>
        <w:rPr>
          <w:sz w:val="20"/>
          <w:szCs w:val="20"/>
          <w:color w:val="auto"/>
        </w:rPr>
      </w:pPr>
    </w:p>
    <w:p>
      <w:pPr>
        <w:jc w:val="both"/>
        <w:ind w:right="40" w:firstLine="318"/>
        <w:spacing w:after="0" w:line="318" w:lineRule="auto"/>
        <w:rPr>
          <w:sz w:val="20"/>
          <w:szCs w:val="20"/>
          <w:color w:val="auto"/>
        </w:rPr>
      </w:pPr>
      <w:r>
        <w:rPr>
          <w:rFonts w:ascii="Arial" w:cs="Arial" w:eastAsia="Arial" w:hAnsi="Arial"/>
          <w:sz w:val="15"/>
          <w:szCs w:val="15"/>
          <w:color w:val="auto"/>
        </w:rPr>
        <w:t>To further ensure consistent and fair pay practices, we have conducted pay equity reviews of our U.S. employees since 2017, using a reputable third-party expert. If our review identifies any unexplainable pay gaps, we take action to remedy them. In fiscal year 2021, we expanded our annual pay review to include two international sites, and in fiscal year 2022, we will further expand to ensure we have a comprehensive global review. We plan to publish more information about our fiscal year 2021 U.S. pay equity analysis in our forthcoming 2021 Sustainability Report, which we will publish on our corporate website.</w:t>
      </w:r>
    </w:p>
    <w:p>
      <w:pPr>
        <w:spacing w:after="0" w:line="17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i w:val="1"/>
          <w:iCs w:val="1"/>
          <w:color w:val="auto"/>
        </w:rPr>
        <w:t xml:space="preserve">Talent Attraction and Development. </w:t>
      </w:r>
      <w:r>
        <w:rPr>
          <w:rFonts w:ascii="Arial" w:cs="Arial" w:eastAsia="Arial" w:hAnsi="Arial"/>
          <w:sz w:val="17"/>
          <w:szCs w:val="17"/>
          <w:color w:val="auto"/>
        </w:rPr>
        <w:t>We have targeted recruitment strategies and innovative development and advancement programs to meet our</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 to attract, retain and develop a diverse and talented workforce. Our management team is committed to diverse interview panels and diverse candidate slates for open positions at the director-level and above. We have relationships with diversity-focused student organizations and programs at our target universities for recruitment and are exploring new relationships with colleges that graduate significant percentages of underrepresented students. We implemented a global, multi-week program to develop leadership capabilities in high-potential women to accelerate their advancement. We also sponsor and participate in various conferences and summits focused on developing our pipeline of underrepresented talent. Our Business Resource Group community includes seven active groups, each with an executive sponsor, and supports our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diverse workforce, including our female, Black, Hispanic/Latinx and LGBTQ employees, as well as Veterans and future leaders.</w:t>
      </w:r>
    </w:p>
    <w:p>
      <w:pPr>
        <w:spacing w:after="0" w:line="244"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Turnover rates indicate the health of our workforce culture, and we monitor these metrics carefully in support of our business strategy and execution. We are proud that our worldwide voluntary turnover rate in fiscal year 2021 was 9.2%, which was below the industry average of 13.8%.</w:t>
      </w:r>
    </w:p>
    <w:p>
      <w:pPr>
        <w:spacing w:after="0" w:line="1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Employee Engagement and Culture. </w:t>
      </w:r>
      <w:r>
        <w:rPr>
          <w:rFonts w:ascii="Arial" w:cs="Arial" w:eastAsia="Arial" w:hAnsi="Arial"/>
          <w:sz w:val="18"/>
          <w:szCs w:val="18"/>
          <w:color w:val="auto"/>
        </w:rPr>
        <w:t>In fiscal year 2021, we implemented a continuous employee listening platform to collect feedback to better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 and improve the employee experience and identify opportunities to strengthen employee engagement. Our inaugural survey had a 92% employee participation rate and identified key strengths including that employees felt that their work was meaningful, that they felt a sense of belonging at the company and that they were excited about our future.</w:t>
      </w:r>
    </w:p>
    <w:p>
      <w:pPr>
        <w:spacing w:after="0" w:line="217" w:lineRule="exact"/>
        <w:rPr>
          <w:sz w:val="20"/>
          <w:szCs w:val="20"/>
          <w:color w:val="auto"/>
        </w:rPr>
      </w:pPr>
    </w:p>
    <w:p>
      <w:pPr>
        <w:ind w:right="560" w:firstLine="318"/>
        <w:spacing w:after="0" w:line="252" w:lineRule="auto"/>
        <w:rPr>
          <w:sz w:val="20"/>
          <w:szCs w:val="20"/>
          <w:color w:val="auto"/>
        </w:rPr>
      </w:pPr>
      <w:r>
        <w:rPr>
          <w:rFonts w:ascii="Arial" w:cs="Arial" w:eastAsia="Arial" w:hAnsi="Arial"/>
          <w:sz w:val="18"/>
          <w:szCs w:val="18"/>
          <w:color w:val="auto"/>
        </w:rPr>
        <w:t>To promote our 11 global culture attributes, including inclusion and integrity, we designated approximately 100 culture advocates representing our employees around the world and 20 culture champions selected by members of our executive leadership team to represent our culture attributes at the leadership level. With the support of our culture advocates and champions, our business leaders and employees have been embracing the attributes and bringing them to life.</w:t>
      </w:r>
    </w:p>
    <w:p>
      <w:pPr>
        <w:spacing w:after="0" w:line="217"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In 2021, we were named one of the World’s Most Ethical Companies by Ethisphere Institute, our third year in a row achieving that distinction, which reflects our culture of ethics. Our Global Code of Conduct is a unifying guide anchored in our core values and our ethical and legal obligations. It is available to our workforce in 11 languages. We also provide comprehensive annual training on key compliance topics and our Global Code of Conduct to our worldwide workforce, from our factory employees to our executive leadership team.</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Health, Safety and Wellness. </w:t>
      </w:r>
      <w:r>
        <w:rPr>
          <w:rFonts w:ascii="Arial" w:cs="Arial" w:eastAsia="Arial" w:hAnsi="Arial"/>
          <w:sz w:val="17"/>
          <w:szCs w:val="17"/>
          <w:color w:val="auto"/>
        </w:rPr>
        <w:t>The physical health, financial well-being, life balance and mental health of our employees are vital to our success. We</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global wellness programs designed to enhance physical, financial, and mental well-being for all our employees around the world. We offer locally appropriate medical, retirement, disability and life insurance benefits. We provide 12 weeks of paid time off for all new parents in the U.S. We offer an employee assistance program to our employees in several countries, which provides confidential counseling for support with a wide range of personal issues and concerns at no cost. We are expanding this program to cover all employees globally in fiscal year 2022. Throughout the year, we encourage healthy behaviors through regular communications, podcasts, educational sessions, wellness challenges, and other incentives.</w:t>
      </w:r>
    </w:p>
    <w:p>
      <w:pPr>
        <w:spacing w:after="0" w:line="206"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Our manufacturing facilities continue to present our most significant health and safety risks, due to higher potential for exposure to chemicals, infectious diseases, hazardous substances and machinery-related hazards. Managing and reducing risks at these facilities remains a focus, and a specific health and safety assessment is performed at each of our sites. We also use an integrated management system to manage health and safety standards.</w:t>
      </w:r>
    </w:p>
    <w:p>
      <w:pPr>
        <w:spacing w:after="0" w:line="163"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In response to the COVID-19 pandemic, we quickly implemented robust safety measures, including adoption of personal protective equipment for our workforce, enhanced sanitation and social distancing practices, work from home policies, contact tracing and temperature screening at our sites. As the number of COVID-19 cases decline and vaccination rates have increased, we have been welcoming employees who transitioned to working from home during the pandemic back to the office, based on an evaluation of local conditions and regulations. We have provided our workforce with locally relevant information about the pandemic, including how employees can get vaccinated, and we continue to follow guidance from governmental authorities and health officials everywhere we operate. In locations where vaccines are not readily available, we have organized vaccine drives for our employees and their dependents.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0"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Our worldwide business activities are subject to various laws, rules, and regulations of the United States as well as of foreign governments. Compliance with these laws, rules, and regulations has not had a material effect upon our capital expenditures, results of operations, or competitive position. Nevertheless, compliance with existing or future governmental regulations, including, but not limited to, those pertaining to global trade, the environment, consumer and data protection, employee health and safety, and taxes, could have a material impact on our business in subsequent periods. Refer to “Item 1A. Risk Factors” for a discussion of these potential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250"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We believe responsible and sustainable business practices support our long-term success. As a company, we are deeply committed to protecting and supporting our people, our environment, and our communities. That commitment is reflected through sustainability-focused initiatives as well as day-to-day activities, including our adoption of sustainability-focused policies and procedures, our publicly-recognized focus on fostering an inclusive workplace, our constant drive toward more efficient use of materials and energy, our careful and active management of our supply chain, our community-focused volunteerism programs and philanthropic initiatives, and our impactful, globally-integrated ethics and compliance program.</w:t>
      </w:r>
    </w:p>
    <w:p>
      <w:pPr>
        <w:spacing w:after="0" w:line="177" w:lineRule="exact"/>
        <w:rPr>
          <w:sz w:val="20"/>
          <w:szCs w:val="20"/>
          <w:color w:val="auto"/>
        </w:rPr>
      </w:pPr>
    </w:p>
    <w:p>
      <w:pPr>
        <w:ind w:left="640" w:right="20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seek to protect the human rights and civil liberties of our employees through policies, procedures, and programs that avoid risks of compulsory and child labor, both within our company and throughout our supply chain.</w:t>
      </w:r>
    </w:p>
    <w:p>
      <w:pPr>
        <w:spacing w:after="0" w:line="207"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foster a workplace of dignity, respect, diversity, and inclusion through our recruiting and advancement practices, internal communications, and employee resource groups.</w:t>
      </w:r>
    </w:p>
    <w:p>
      <w:pPr>
        <w:spacing w:after="0" w:line="207" w:lineRule="exact"/>
        <w:rPr>
          <w:rFonts w:ascii="Arial" w:cs="Arial" w:eastAsia="Arial" w:hAnsi="Arial"/>
          <w:sz w:val="18"/>
          <w:szCs w:val="18"/>
          <w:color w:val="auto"/>
        </w:rPr>
      </w:pPr>
    </w:p>
    <w:p>
      <w:pPr>
        <w:ind w:left="640" w:right="300" w:hanging="316"/>
        <w:spacing w:after="0" w:line="365"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educate our employees annually on relevant ethics and compliance topics, publish accessible guidance on ethical issues and related company resources in our Global Code of Conduct, and encourage reporting of ethical concerns through any of several global and local reporting channels.</w:t>
      </w:r>
    </w:p>
    <w:p>
      <w:pPr>
        <w:spacing w:after="0" w:line="137" w:lineRule="exact"/>
        <w:rPr>
          <w:rFonts w:ascii="Arial" w:cs="Arial" w:eastAsia="Arial" w:hAnsi="Arial"/>
          <w:sz w:val="15"/>
          <w:szCs w:val="15"/>
          <w:color w:val="auto"/>
        </w:rPr>
      </w:pPr>
    </w:p>
    <w:p>
      <w:pPr>
        <w:ind w:left="640" w:right="10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support local communities throughout the world, focusing on hunger relief, environmental quality, and STEM (science, technology, engineering, and math) education, especially for underrepresented and underprivileged youth.</w:t>
      </w:r>
    </w:p>
    <w:p>
      <w:pPr>
        <w:spacing w:after="0" w:line="207"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utilize a robust integrated management system, with associated policies and procedures, to evaluate and manage occupational health and safety risks, environmental compliance, and chemical and hazardous substance risks.</w:t>
      </w:r>
    </w:p>
    <w:p>
      <w:pPr>
        <w:spacing w:after="0" w:line="207"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work to minimize our impacts on the environment through emissions reduction targets and other initiatives and to evaluate and enhance our climate resiliency.</w:t>
      </w:r>
    </w:p>
    <w:p>
      <w:pPr>
        <w:spacing w:after="0" w:line="207" w:lineRule="exact"/>
        <w:rPr>
          <w:rFonts w:ascii="Arial" w:cs="Arial" w:eastAsia="Arial" w:hAnsi="Arial"/>
          <w:sz w:val="18"/>
          <w:szCs w:val="18"/>
          <w:color w:val="auto"/>
        </w:rPr>
      </w:pPr>
    </w:p>
    <w:p>
      <w:pPr>
        <w:ind w:left="640" w:right="80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innovate to reduce the energy used by our products, the energy used to manufacture them, and the amount of new materials required to manufacture them.</w:t>
      </w:r>
    </w:p>
    <w:p>
      <w:pPr>
        <w:spacing w:after="0" w:line="207" w:lineRule="exact"/>
        <w:rPr>
          <w:rFonts w:ascii="Arial" w:cs="Arial" w:eastAsia="Arial" w:hAnsi="Arial"/>
          <w:sz w:val="18"/>
          <w:szCs w:val="18"/>
          <w:color w:val="auto"/>
        </w:rPr>
      </w:pPr>
    </w:p>
    <w:p>
      <w:pPr>
        <w:ind w:left="640" w:right="4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proactively protect the health and safety of our employees through a phased return-to-site plan based on local guidance and global best practices, by encouraging employees to get vaccinated, including through vaccine drives in India, Thailand, Malaysia and the Philippines and by providing paid leave for employees impacted by COVID-19.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0"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 xml:space="preserve">We maintain an Internet website at </w:t>
      </w:r>
      <w:r>
        <w:rPr>
          <w:rFonts w:ascii="Arial" w:cs="Arial" w:eastAsia="Arial" w:hAnsi="Arial"/>
          <w:sz w:val="15"/>
          <w:szCs w:val="15"/>
          <w:i w:val="1"/>
          <w:iCs w:val="1"/>
          <w:color w:val="auto"/>
        </w:rPr>
        <w:t>www.wdc.com</w:t>
      </w:r>
      <w:r>
        <w:rPr>
          <w:rFonts w:ascii="Arial" w:cs="Arial" w:eastAsia="Arial" w:hAnsi="Arial"/>
          <w:sz w:val="15"/>
          <w:szCs w:val="15"/>
          <w:color w:val="auto"/>
        </w:rPr>
        <w:t>. The information on our website is not incorporated in this Annual Report on Form 10-K. Our Annual Report on Form 10-K, Quarterly Reports on Form 10-Q, Current Reports on Form 8-K and amendments to reports filed or furnished pursuant to</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Sections 13(a) and 15(d) of the Securities Exchange Act of 1934, as amended, are available on our website at </w:t>
      </w:r>
      <w:r>
        <w:rPr>
          <w:rFonts w:ascii="Arial" w:cs="Arial" w:eastAsia="Arial" w:hAnsi="Arial"/>
          <w:sz w:val="18"/>
          <w:szCs w:val="18"/>
          <w:i w:val="1"/>
          <w:iCs w:val="1"/>
          <w:color w:val="auto"/>
        </w:rPr>
        <w:t>www.wdc.com</w:t>
      </w:r>
      <w:r>
        <w:rPr>
          <w:rFonts w:ascii="Arial" w:cs="Arial" w:eastAsia="Arial" w:hAnsi="Arial"/>
          <w:sz w:val="18"/>
          <w:szCs w:val="18"/>
          <w:color w:val="auto"/>
        </w:rPr>
        <w:t xml:space="preserve">, free of charge, as soon as reasonably practicable after the electronic filing of these reports with, or furnishing of these reports to, the Securities and Exchange Commission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0" w:lineRule="exact"/>
        <w:rPr>
          <w:sz w:val="20"/>
          <w:szCs w:val="20"/>
          <w:color w:val="auto"/>
        </w:rPr>
      </w:pPr>
    </w:p>
    <w:p>
      <w:pPr>
        <w:ind w:right="440" w:firstLine="318"/>
        <w:spacing w:after="0" w:line="277" w:lineRule="auto"/>
        <w:rPr>
          <w:sz w:val="20"/>
          <w:szCs w:val="20"/>
          <w:color w:val="auto"/>
        </w:rPr>
      </w:pPr>
      <w:r>
        <w:rPr>
          <w:rFonts w:ascii="Arial" w:cs="Arial" w:eastAsia="Arial" w:hAnsi="Arial"/>
          <w:sz w:val="17"/>
          <w:szCs w:val="17"/>
          <w:color w:val="auto"/>
        </w:rPr>
        <w:t>Our business can be affected by a number of risks and uncertainties, which could cause material harm to our actual operating results and financial condition. The risks discussed below are not the only ones facing our business, but represent risks that we believe are material to us. Additional risks not presently known to us or that we currently deem immaterial may also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COVID-19 pandemic could negatively affect our business.</w:t>
      </w:r>
    </w:p>
    <w:p>
      <w:pPr>
        <w:spacing w:after="0" w:line="244" w:lineRule="exact"/>
        <w:rPr>
          <w:sz w:val="20"/>
          <w:szCs w:val="20"/>
          <w:color w:val="auto"/>
        </w:rPr>
      </w:pPr>
    </w:p>
    <w:p>
      <w:pPr>
        <w:ind w:right="400" w:firstLine="318"/>
        <w:spacing w:after="0" w:line="271" w:lineRule="auto"/>
        <w:rPr>
          <w:sz w:val="20"/>
          <w:szCs w:val="20"/>
          <w:color w:val="auto"/>
        </w:rPr>
      </w:pPr>
      <w:r>
        <w:rPr>
          <w:rFonts w:ascii="Arial" w:cs="Arial" w:eastAsia="Arial" w:hAnsi="Arial"/>
          <w:sz w:val="17"/>
          <w:szCs w:val="17"/>
          <w:color w:val="auto"/>
        </w:rPr>
        <w:t>The COVID-19 pandemic has impacted and will continue to impact our workforce and operations, and those of our strategic partners, customers, suppliers and logistics providers. These impacts have included and may continue to include under-absorbed overhead, increased logistics and other costs, decreased demand for our products and manufacturing challenges. While our manufacturing facilities and those used by Flash Ventures are all currently operational, this is subject to change based on evolving conditions related to the pandemic.</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effects of the pandemic are uncertain and difficult to predict, but may include:</w:t>
      </w:r>
    </w:p>
    <w:p>
      <w:pPr>
        <w:spacing w:after="0" w:line="244" w:lineRule="exact"/>
        <w:rPr>
          <w:sz w:val="20"/>
          <w:szCs w:val="20"/>
          <w:color w:val="auto"/>
        </w:rPr>
      </w:pPr>
    </w:p>
    <w:p>
      <w:pPr>
        <w:ind w:left="640" w:right="26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disruptions to our supply chain, our operations or those of our strategic partners, customers or suppliers caused by employees or others contracting COVID-19, or governmental orders to contain the spread of COVID-19 such as travel restrictions, quarantines, shelter in place orders, trade controls and business shut-downs;</w:t>
      </w:r>
    </w:p>
    <w:p>
      <w:pPr>
        <w:spacing w:after="0" w:line="214" w:lineRule="exact"/>
        <w:rPr>
          <w:rFonts w:ascii="Arial" w:cs="Arial" w:eastAsia="Arial" w:hAnsi="Arial"/>
          <w:sz w:val="18"/>
          <w:szCs w:val="18"/>
          <w:color w:val="auto"/>
        </w:rPr>
      </w:pPr>
    </w:p>
    <w:p>
      <w:pPr>
        <w:ind w:left="640" w:right="7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economic downturn or a recession causing a decrease or shift in short- or long-term demand for our products, resulting in industry oversupply and decreases of average selling prices (“ASPs”);</w:t>
      </w:r>
    </w:p>
    <w:p>
      <w:pPr>
        <w:spacing w:after="0" w:line="207" w:lineRule="exact"/>
        <w:rPr>
          <w:rFonts w:ascii="Arial" w:cs="Arial" w:eastAsia="Arial" w:hAnsi="Arial"/>
          <w:sz w:val="18"/>
          <w:szCs w:val="18"/>
          <w:color w:val="auto"/>
        </w:rPr>
      </w:pPr>
    </w:p>
    <w:p>
      <w:pPr>
        <w:ind w:left="640" w:right="500" w:hanging="316"/>
        <w:spacing w:after="0" w:line="29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Deterioration of worldwide credit markets that may limit our ability or increase our cost to obtain external financing to fund our operations and capital expenditures and result in a higher rate of losses on our accounts receivables due to customer credit defaults;</w:t>
      </w:r>
    </w:p>
    <w:p>
      <w:pPr>
        <w:spacing w:after="0" w:line="183"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Extreme volatility in financial markets which may harm our ability to access the financial markets on acceptable terms;</w:t>
      </w:r>
    </w:p>
    <w:p>
      <w:pPr>
        <w:spacing w:after="0" w:line="243" w:lineRule="exact"/>
        <w:rPr>
          <w:rFonts w:ascii="Arial" w:cs="Arial" w:eastAsia="Arial" w:hAnsi="Arial"/>
          <w:sz w:val="18"/>
          <w:szCs w:val="18"/>
          <w:color w:val="auto"/>
        </w:rPr>
      </w:pPr>
    </w:p>
    <w:p>
      <w:pPr>
        <w:ind w:left="640" w:right="80" w:hanging="316"/>
        <w:spacing w:after="0" w:line="29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data security and technology risk as many employees continue to work from home, including possible outages to systems and technologies critical to remote work and increased data privacy risk with cybercriminals attempting to take advantage of the disruption; and</w:t>
      </w:r>
    </w:p>
    <w:p>
      <w:pPr>
        <w:spacing w:after="0" w:line="183" w:lineRule="exact"/>
        <w:rPr>
          <w:rFonts w:ascii="Arial" w:cs="Arial" w:eastAsia="Arial" w:hAnsi="Arial"/>
          <w:sz w:val="17"/>
          <w:szCs w:val="17"/>
          <w:color w:val="auto"/>
        </w:rPr>
      </w:pPr>
    </w:p>
    <w:p>
      <w:pPr>
        <w:ind w:left="640" w:right="140" w:hanging="316"/>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productivity or other disruptions of our operations if essential workers in our factories or those returning to our worksites are exposed to or spread COVID-19 to other employees.</w:t>
      </w:r>
    </w:p>
    <w:p>
      <w:pPr>
        <w:spacing w:after="0" w:line="207"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The degree to which the pandemic ultimately impacts our business will depend on future developments beyond our control which are highly uncertain and cannot be predicted at this time, including the severity and duration of the pandemic, the extent of actions to contain or treat COVID-19, the timing, distribution, efficacy and public acceptance of vaccines around the world, any possible resurgence of COVID-19, including the emergence of more contagious or vaccine-resistant variants and how quickly and to what extent normal economic and operating activity can resume.</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Adverse global or regional conditions could harm our business.</w:t>
      </w:r>
    </w:p>
    <w:p>
      <w:pPr>
        <w:spacing w:after="0" w:line="24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 large portion of our revenue is derived from our international operations, and many of our products and components are produced overseas. As a result, our business depends significantly on global and regional conditions. Adverse changes in global or regional economic conditions, including, but not limited to, volatility in the financial markets, tighter credit, slower growth in certain geographic regions, political uncertainty, other macroeconomic factors, changes to social conditions and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w:t>
      </w:r>
    </w:p>
    <w:p>
      <w:pPr>
        <w:spacing w:after="0" w:line="222"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Our revenue growth is significantly dependent on the growth of international markets, and we may face challenges in international sales markets. We are subject to risks associated with our global manufacturing operations and global sales efforts, as well as risks associated with our utilization of contract manufacturers, including:</w:t>
      </w:r>
    </w:p>
    <w:p>
      <w:pPr>
        <w:spacing w:after="0" w:line="215"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governmental approvals and compliance with evolving foreign regulations;</w:t>
      </w:r>
    </w:p>
    <w:p>
      <w:pPr>
        <w:spacing w:after="0" w:line="243"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43"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 such as export controls, export bans, import restrictions, embargoes, sanctions, license and certification requirements (including semiconductor, encryption and other technology), tariffs and complex customs regulations;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a result of these risks, our business could be harmed.</w:t>
      </w:r>
    </w:p>
    <w:p>
      <w:pPr>
        <w:spacing w:after="0" w:line="244" w:lineRule="exact"/>
        <w:rPr>
          <w:sz w:val="20"/>
          <w:szCs w:val="20"/>
          <w:color w:val="auto"/>
        </w:rPr>
      </w:pPr>
    </w:p>
    <w:p>
      <w:pPr>
        <w:ind w:right="380" w:firstLine="159"/>
        <w:spacing w:after="0" w:line="264" w:lineRule="auto"/>
        <w:rPr>
          <w:sz w:val="20"/>
          <w:szCs w:val="20"/>
          <w:color w:val="auto"/>
        </w:rPr>
      </w:pPr>
      <w:r>
        <w:rPr>
          <w:rFonts w:ascii="Arial" w:cs="Arial" w:eastAsia="Arial" w:hAnsi="Arial"/>
          <w:sz w:val="18"/>
          <w:szCs w:val="18"/>
          <w:b w:val="1"/>
          <w:bCs w:val="1"/>
          <w:i w:val="1"/>
          <w:iCs w:val="1"/>
          <w:color w:val="auto"/>
        </w:rPr>
        <w:t>We are dependent on a limited number of qualified suppliers who provide critical services, materials or components, and a disruption in our supply chain could negatively affect our business.</w:t>
      </w:r>
    </w:p>
    <w:p>
      <w:pPr>
        <w:spacing w:after="0" w:line="207"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color w:val="auto"/>
        </w:rPr>
        <w:t>We depend on an external supply base for technologies, software (including firmware), preamps, controllers, dynamic random-access memory,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w:t>
      </w:r>
    </w:p>
    <w:p>
      <w:pPr>
        <w:spacing w:after="0" w:line="183"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Our suppliers have in the past been, and may in the future be, unable or unwilling to meet our requirements.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 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business. Delays or cost increases experienced by our suppliers in developing or sourcing materials and components for use in our products or incompatibility or quality issues relating to our products, could also harm our business.</w:t>
      </w:r>
    </w:p>
    <w:p>
      <w:pPr>
        <w:spacing w:after="0" w:line="22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do not have long-term contracts with some of our existing suppliers, nor do we always have guaranteed manufacturing capacity with our suppliers, so we cannot guarantee that they will devote sufficient resources or capacity to manufacturing our 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w:t>
      </w:r>
    </w:p>
    <w:p>
      <w:pPr>
        <w:spacing w:after="0" w:line="22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decide to exit the industry, or redirect their investments and increase costs to us. In addition, some of our suppliers have experienced a decline in financial performance. Where we rely on a limited number of suppliers or a single supplier, the risk of supplier loss due to industry consolidation or a decline in financial performance is increased. Some of our suppliers may also be competitors in other areas of our business, which could lead to difficulties in price negotiations or meeting our supply requirements.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operations, and those of certain of our suppliers and customers, are subject to substantial risk of damage or disruption.</w:t>
      </w:r>
    </w:p>
    <w:p>
      <w:pPr>
        <w:spacing w:after="0" w:line="244"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We conduct our operations at large, high volume, purpose-built facilities in California and throughout Asia. The facilities of many of our customers, our suppliers and our customers’ suppliers are also concentrated in certain geographic locations throughout Asia and elsewhere. A fire, flood, earthquake, tsunami or other natural disaster, condition or event such as a power outage, terrorist attack, physical security breach, political instability, civil unrest, localized labor unrest or other employment issues, or a health epidemic that negatively affects any of these facilities would significantly affect our ability to manufacture or sell our products and source components and harm our business. Possible impacts include work and equipment stoppages and</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damage to or closure of our facilities, or those of our suppliers or customers, for an indefinite period of time. Climate change has in the past, and is expected to continue to increase the incidence and severity of certain natural disasters. In addition, the geographic concentration of our manufacturing sites could exacerbate the negative impacts resulting from any of these problems.</w:t>
      </w:r>
    </w:p>
    <w:p>
      <w:pPr>
        <w:spacing w:after="0" w:line="215"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spacing w:after="0" w:line="178" w:lineRule="exact"/>
        <w:rPr>
          <w:sz w:val="20"/>
          <w:szCs w:val="20"/>
          <w:color w:val="auto"/>
        </w:rPr>
      </w:pPr>
    </w:p>
    <w:p>
      <w:pPr>
        <w:ind w:right="440" w:firstLine="159"/>
        <w:spacing w:after="0" w:line="264" w:lineRule="auto"/>
        <w:rPr>
          <w:sz w:val="20"/>
          <w:szCs w:val="20"/>
          <w:color w:val="auto"/>
        </w:rPr>
      </w:pPr>
      <w:r>
        <w:rPr>
          <w:rFonts w:ascii="Arial" w:cs="Arial" w:eastAsia="Arial" w:hAnsi="Arial"/>
          <w:sz w:val="18"/>
          <w:szCs w:val="18"/>
          <w:b w:val="1"/>
          <w:bCs w:val="1"/>
          <w:i w:val="1"/>
          <w:iCs w:val="1"/>
          <w:color w:val="auto"/>
        </w:rPr>
        <w:t>The loss of our key management, staff and skilled employees, the inability to hire and integrate new employees or decisions to realign our business could negatively impact our business prospects.</w:t>
      </w:r>
    </w:p>
    <w:p>
      <w:pPr>
        <w:spacing w:after="0" w:line="207" w:lineRule="exact"/>
        <w:rPr>
          <w:sz w:val="20"/>
          <w:szCs w:val="20"/>
          <w:color w:val="auto"/>
        </w:rPr>
      </w:pPr>
    </w:p>
    <w:p>
      <w:pPr>
        <w:ind w:right="120" w:firstLine="318"/>
        <w:spacing w:after="0" w:line="302" w:lineRule="auto"/>
        <w:rPr>
          <w:sz w:val="20"/>
          <w:szCs w:val="20"/>
          <w:color w:val="auto"/>
        </w:rPr>
      </w:pPr>
      <w:r>
        <w:rPr>
          <w:rFonts w:ascii="Arial" w:cs="Arial" w:eastAsia="Arial" w:hAnsi="Arial"/>
          <w:sz w:val="15"/>
          <w:szCs w:val="15"/>
          <w:color w:val="auto"/>
        </w:rPr>
        <w:t>Our success depends upon the continued contributions of our key management, staff and skilled employees, many of whom would be extremely difficult to replace. Changes in our key management team can result in loss of continuity, loss of accumulated knowledge, departure of other key employees, disruptions to our operations and inefficiency during transitional periods. Global competition for skilled employees in the technology industry is intense, and our business success becomes increasingly dependent on our ability to retain our key staff and skilled employees, to implement succession plans for our key management and staff, to attract, integrate and retain new skilled employees, including employees from acquisitions, and to make decisions to realign our business to take advantage of efficiencies or reduce redundancies. Changes in immigration policies may impair our ability to recruit and hire technical and professional talent. Our employee hiring and retention also depend on our ability to build and maintain a diverse and inclusive workplace culture and be viewed as an employer of choice. Additionally, because a substantial portion of our key employees’ compensation is placed “at risk” and linked to the performance of our business, including through equity compensation, when our operating results are negatively impacted, we may be at a competitive disadvantage for retaining and hiring key management, staff and skilled employees. If we are unable to hire and retain key management, staff or skilled employees, our operating results would likely be harmed.</w:t>
      </w:r>
    </w:p>
    <w:p>
      <w:pPr>
        <w:spacing w:after="0" w:line="400" w:lineRule="exact"/>
        <w:rPr>
          <w:sz w:val="20"/>
          <w:szCs w:val="20"/>
          <w:color w:val="auto"/>
        </w:rPr>
      </w:pPr>
    </w:p>
    <w:p>
      <w:pPr>
        <w:ind w:right="140" w:firstLine="159"/>
        <w:spacing w:after="0" w:line="264" w:lineRule="auto"/>
        <w:rPr>
          <w:sz w:val="20"/>
          <w:szCs w:val="20"/>
          <w:color w:val="auto"/>
        </w:rPr>
      </w:pPr>
      <w:r>
        <w:rPr>
          <w:rFonts w:ascii="Arial" w:cs="Arial" w:eastAsia="Arial" w:hAnsi="Arial"/>
          <w:sz w:val="18"/>
          <w:szCs w:val="18"/>
          <w:b w:val="1"/>
          <w:bCs w:val="1"/>
          <w:i w:val="1"/>
          <w:iCs w:val="1"/>
          <w:color w:val="auto"/>
        </w:rPr>
        <w:t>If our technology infrastructure, systems or products are compromised, damaged or interrupted by cyber attacks, data security breaches, other security problems, design defects or sustain system failures, our business could be negatively impacted.</w:t>
      </w:r>
    </w:p>
    <w:p>
      <w:pPr>
        <w:spacing w:after="0" w:line="207"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have in the past experienced and may in the future experience such attacks. Cyber attacks can include ransomware, computer denial-of-service attacks, worms, and other malicious software programs or other attacks, covert introduction of malware to computers and networks, including those using techniques that change frequently or may be disguised or difficult to detect, or designed to remain dormant until a triggering event or that may continue undetected for an extended period of time, impersonation of authorized users, and efforts to discover and exploit any design flaws, bugs, security vulnerabilities or security weaknesses, as well as intentional or unintentional acts by employees or other insiders with access privileges, intentional acts of vandalism or fraud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increasingly organized and well-financed or supported by state actors, and are developing increasingly sophisticated systems and means to not only attack systems, but also to evade detection or to obscure their activities.</w:t>
      </w:r>
    </w:p>
    <w:p>
      <w:pPr>
        <w:spacing w:after="0" w:line="183"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requiring us to employ additional resources to fix the errors or defects, exposing us to litigation and indemnification claims and hurting our reputation.</w:t>
      </w:r>
    </w:p>
    <w:p>
      <w:pPr>
        <w:spacing w:after="0" w:line="25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of actual or perceived breaches, we could experience additional costs, notification requirements, civil and administrative fines and penalties, indemnification claims, litigation, and damage to our brand and reputation. All of these consequences could harm our reputation and our business and materially and negatively impact our operating results and financial condition.</w:t>
      </w:r>
    </w:p>
    <w:p>
      <w:pPr>
        <w:spacing w:after="0" w:line="212" w:lineRule="exact"/>
        <w:rPr>
          <w:sz w:val="20"/>
          <w:szCs w:val="20"/>
          <w:color w:val="auto"/>
        </w:rPr>
      </w:pPr>
    </w:p>
    <w:p>
      <w:pPr>
        <w:ind w:right="200" w:firstLine="159"/>
        <w:spacing w:after="0" w:line="294" w:lineRule="auto"/>
        <w:rPr>
          <w:sz w:val="20"/>
          <w:szCs w:val="20"/>
          <w:color w:val="auto"/>
        </w:rPr>
      </w:pPr>
      <w:r>
        <w:rPr>
          <w:rFonts w:ascii="Arial" w:cs="Arial" w:eastAsia="Arial" w:hAnsi="Arial"/>
          <w:sz w:val="17"/>
          <w:szCs w:val="17"/>
          <w:b w:val="1"/>
          <w:bCs w:val="1"/>
          <w:i w:val="1"/>
          <w:iCs w:val="1"/>
          <w:color w:val="auto"/>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spacing w:after="0" w:line="184"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ODM customers. Our business liability insurance may be inadequate or future coverage may be unavailable on acceptable terms, which could negatively impact our operating results and financial condition.</w:t>
      </w:r>
    </w:p>
    <w:p>
      <w:pPr>
        <w:spacing w:after="0" w:line="21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they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STRATEGIC RISKS</w:t>
      </w:r>
    </w:p>
    <w:p>
      <w:pPr>
        <w:spacing w:after="0" w:line="250" w:lineRule="exact"/>
        <w:rPr>
          <w:sz w:val="20"/>
          <w:szCs w:val="20"/>
          <w:color w:val="auto"/>
        </w:rPr>
      </w:pPr>
    </w:p>
    <w:p>
      <w:pPr>
        <w:ind w:right="20" w:firstLine="159"/>
        <w:spacing w:after="0" w:line="264" w:lineRule="auto"/>
        <w:rPr>
          <w:sz w:val="20"/>
          <w:szCs w:val="20"/>
          <w:color w:val="auto"/>
        </w:rPr>
      </w:pPr>
      <w:r>
        <w:rPr>
          <w:rFonts w:ascii="Arial" w:cs="Arial" w:eastAsia="Arial" w:hAnsi="Arial"/>
          <w:sz w:val="18"/>
          <w:szCs w:val="18"/>
          <w:b w:val="1"/>
          <w:bCs w:val="1"/>
          <w:i w:val="1"/>
          <w:iCs w:val="1"/>
          <w:color w:val="auto"/>
        </w:rPr>
        <w:t>We rely substantially on strategic relationships with various partners, including Kioxia, which subjects us to risks and uncertainties that could harm our business.</w:t>
      </w:r>
    </w:p>
    <w:p>
      <w:pPr>
        <w:spacing w:after="0" w:line="207"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We have entered into strategic relationships with various partners for product development, sales growth and the supply of technologies, components, equipment and materials for use in our product design and manufacturing, including our business ventures with Kioxia. We depend on Flash Ventures for the development and manufacture of flash-based memory. Our strategic relationships, including Flash Ventures, are subject to various risks that could harm the value of our investments, our revenue and costs, our future rate of spending, our technology plans and our future growth opportunities.</w:t>
      </w:r>
    </w:p>
    <w:p>
      <w:pPr>
        <w:spacing w:after="0" w:line="172"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Substantially all of our flash-based memory is supplied by Flash Ventures, which limits our ability to respond to market demand and supply changes and makes our financial results particularly susceptible to variations from our forecasts and expectations. A failure to accurately forecast supply and demand could cause us to over-invest or under-invest in technology transitions or the expansion of Flash Ventures’ capacity. Over-investment by us or our competitors could result in excess supply, which could cause significant decreases in our product prices, significant excess, obsolete inventory or inventory write-downs or under-utilization charges, and the potential impairment of our investments in Flash Ventures. We are contractually obligated to pay for 50% of the fixed costs of Flash Ventures regardless of whether we order any flash-based memory, and our orders placed with Flash Ventures on a three-month rolling basis are binding. On the other hand, if we under-invest in Flash Ventures, or otherwise grow or transition Flash Ventures’ capacity too slowly, we may not have enough supply of flash-based memory, or the right type of flash-based memory, to meet demand on a timely and cost effective basis, and we may lose opportunities for revenue, gross margin and market share as a result. If our supply is limited, we might make strategic decisions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with respect to the allocation of our supply among our products and customers, which could result in less favorable gross margins or damage customer relationships.</w:t>
      </w:r>
    </w:p>
    <w:p>
      <w:pPr>
        <w:spacing w:after="0" w:line="207"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Our control over the operations of our business ventures may be limited, and our interests could diverge from our strategic partners’ interests regarding ongoing and future activities. For example, under the Flash Ventures agreements, we cannot unilaterally direct most of Flash Ventures’ activities, and we have limited ability to source or fabricate flash outside of Flash Ventures. Flash Ventures requires significant investments by both Kioxia and us for technology transitions and capacity expansions, and our business could be harmed if our technology roadmap and investment plans are not sufficiently aligned with Kioxia’s. Lack of alignment with Kioxia with respect to Flash Ventures could negatively impact our ability to stay at the forefront of technological advancement. Misalignment could arise due to changes in Kioxia’s strategic priorities, management, ownership and/or access to capital, which has changed in recent years and could continue to change. Kioxia’s stakeholders may include, or have included in the past, competitors, customers, a private equity firm, government entities and/or public shareholders. Kioxia’s management changes, ownership and capital structure could lead to delays in decision-making, disputes or changes in strategic direction that could negatively impact the strategic partnership, and therefore us. There may exist conflicts of interest between Kioxia’s stakeholders and Flash Ventures or us with respect to, among other things, protecting and growing Flash Ventures’ business, IP and competitively sensitive confidential information.</w:t>
      </w:r>
    </w:p>
    <w:p>
      <w:pPr>
        <w:spacing w:after="0" w:line="21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Together with Kioxia, we fund a portion of the investments required for Flash Ventures through lease financings. Availability of lease financings for Flash Ventures could also be limited by our and/or Kioxia’s financial performance. To the extent that lease financings are not accessible on favorable terms or at all, more cash would be required to fund investments.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strategic relationships are subject to additional risks that could harm our business, including, but not limited to, the following:</w:t>
      </w:r>
    </w:p>
    <w:p>
      <w:pPr>
        <w:spacing w:after="0" w:line="244"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our strategic partners to comply with applicable laws;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difficulties and delays in product and technology development at, ramping production at, and transferring technology to, our strategic partners;</w:t>
      </w:r>
    </w:p>
    <w:p>
      <w:pPr>
        <w:spacing w:after="0" w:line="278" w:lineRule="exact"/>
        <w:rPr>
          <w:rFonts w:ascii="Arial" w:cs="Arial" w:eastAsia="Arial" w:hAnsi="Arial"/>
          <w:sz w:val="15"/>
          <w:szCs w:val="15"/>
          <w:color w:val="auto"/>
        </w:rPr>
      </w:pPr>
    </w:p>
    <w:p>
      <w:pPr>
        <w:ind w:left="640" w:right="1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our strategic partners to timely fund capital investments with us or otherwise meet their commitments, including paying amounts owed to us or third parties when due;</w:t>
      </w:r>
    </w:p>
    <w:p>
      <w:pPr>
        <w:spacing w:after="0" w:line="207"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or manufactured by strategic partners, including if any of them is acquired by another company, files for bankruptcy or experiences financial or other losses;</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bankruptcy event involving a strategic partner could result in structural changes to and/or termination of the strategic partnership; and</w:t>
      </w:r>
    </w:p>
    <w:p>
      <w:pPr>
        <w:spacing w:after="0" w:line="255"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or regulatory requirements may necessitate changes to the agreements governing our strategic partnerships.</w:t>
      </w:r>
    </w:p>
    <w:p>
      <w:pPr>
        <w:spacing w:after="0" w:line="244" w:lineRule="exact"/>
        <w:rPr>
          <w:sz w:val="20"/>
          <w:szCs w:val="20"/>
          <w:color w:val="auto"/>
        </w:rPr>
      </w:pPr>
    </w:p>
    <w:p>
      <w:pPr>
        <w:ind w:right="1020" w:firstLine="159"/>
        <w:spacing w:after="0" w:line="365" w:lineRule="auto"/>
        <w:rPr>
          <w:sz w:val="20"/>
          <w:szCs w:val="20"/>
          <w:color w:val="auto"/>
        </w:rPr>
      </w:pPr>
      <w:r>
        <w:rPr>
          <w:rFonts w:ascii="Arial" w:cs="Arial" w:eastAsia="Arial" w:hAnsi="Arial"/>
          <w:sz w:val="15"/>
          <w:szCs w:val="15"/>
          <w:b w:val="1"/>
          <w:bCs w:val="1"/>
          <w:i w:val="1"/>
          <w:iCs w:val="1"/>
          <w:color w:val="auto"/>
        </w:rPr>
        <w:t>We participate in a highly competitive industry that is subject to declining ASPs, volatile demand, rapid technological change and industry consolidation, as well as lengthy product qualifications, all of which could negatively impact our business.</w:t>
      </w:r>
    </w:p>
    <w:p>
      <w:pPr>
        <w:spacing w:after="0" w:line="13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Demand for our devices, software and solutions,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 the storage market, including the effects of new fab capacity, macroeconomic factors, business conditions, technology transitions and other actions taken by us or our competitors. The storage market has experienced volatile product life cycles, which can harm our ability to recover the cost of product development, and periods of excess capacity, which can lead to liquidation of excess inventories, significant reductions in ASPs and negative impacts on our revenue and gross margins.</w:t>
      </w:r>
    </w:p>
    <w:p>
      <w:pPr>
        <w:spacing w:after="0" w:line="212"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Further, our ASPs and gross margins tend to decline when there is a shift in the mix of product sales to lower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has experienced consolidation over the past several years,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which could enhance the resources and lower the cost structure of some competitors. These factors could result in a substantial decrease in our market share and harm our business.</w:t>
      </w:r>
    </w:p>
    <w:p>
      <w:pPr>
        <w:spacing w:after="0" w:line="207"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As we compete in new product areas, the overall complexity of our business may increase and may result in increases in R&amp;D expenses and substantial investments in manufacturing capability, technology enhancements and go-to-market capability. We must also qualify our products with customers through potentially lengthy testing processes with uncertain results. Some of our competitors offer products that we do not offer, which may allow them to win sales from us, and some of our customers may be developing storage solutions internally, which may reduce their demand for our products. We expect that competition will continue to be intense, and our competitors may be able to gain a product offering or cost structure advantage over us, which would harm our business. Further, our competitors may utilize pricing strategies, including offering products at prices at or below cost, that we may be unable to competitively match. We may also have difficulty effectively competing with manufacturers benefiting from governmental investments.</w:t>
      </w:r>
    </w:p>
    <w:p>
      <w:pPr>
        <w:spacing w:after="0" w:line="183" w:lineRule="exact"/>
        <w:rPr>
          <w:sz w:val="20"/>
          <w:szCs w:val="20"/>
          <w:color w:val="auto"/>
        </w:rPr>
      </w:pPr>
    </w:p>
    <w:p>
      <w:pPr>
        <w:ind w:right="420" w:firstLine="159"/>
        <w:spacing w:after="0" w:line="264" w:lineRule="auto"/>
        <w:rPr>
          <w:sz w:val="20"/>
          <w:szCs w:val="20"/>
          <w:color w:val="auto"/>
        </w:rPr>
      </w:pPr>
      <w:r>
        <w:rPr>
          <w:rFonts w:ascii="Arial" w:cs="Arial" w:eastAsia="Arial" w:hAnsi="Arial"/>
          <w:sz w:val="18"/>
          <w:szCs w:val="18"/>
          <w:b w:val="1"/>
          <w:bCs w:val="1"/>
          <w:i w:val="1"/>
          <w:iCs w:val="1"/>
          <w:color w:val="auto"/>
        </w:rPr>
        <w:t>If we do not properly manage technology transitions and product development and introduction, our competitiveness and operating results may be negatively affected.</w:t>
      </w:r>
    </w:p>
    <w:p>
      <w:pPr>
        <w:spacing w:after="0" w:line="20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markets for our products continuously undergo technology transitions that we must anticipate to adapt our existing products or develop new products effectively. If we fail to implement new technologies or develop new products desired by our customers quickly and cost-effectively, our business may be harmed.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success of our technology transitions and product development depends on a number of other factors, including:</w:t>
      </w:r>
    </w:p>
    <w:p>
      <w:pPr>
        <w:spacing w:after="0" w:line="244"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R&amp;D expenses and results;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43"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vertical integration of some of our products, which may result in more capital expenditures and greater fixed costs than if we were not vertically integrated;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cost effectively respond to customer requests for new products or features and software associated with our products;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44" w:lineRule="exact"/>
        <w:rPr>
          <w:sz w:val="20"/>
          <w:szCs w:val="20"/>
          <w:color w:val="auto"/>
        </w:rPr>
      </w:pPr>
    </w:p>
    <w:p>
      <w:pPr>
        <w:jc w:val="both"/>
        <w:ind w:right="80" w:firstLine="318"/>
        <w:spacing w:after="0" w:line="318" w:lineRule="auto"/>
        <w:rPr>
          <w:sz w:val="20"/>
          <w:szCs w:val="20"/>
          <w:color w:val="auto"/>
        </w:rPr>
      </w:pPr>
      <w:r>
        <w:rPr>
          <w:rFonts w:ascii="Arial" w:cs="Arial" w:eastAsia="Arial" w:hAnsi="Arial"/>
          <w:sz w:val="15"/>
          <w:szCs w:val="15"/>
          <w:color w:val="auto"/>
        </w:rPr>
        <w:t>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72"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Additionally, new products could substitute for our current products and make them obsolete. We also develop products to meet certain industry and technical standards, which may change and cause us to incur substantial costs as we adapt to new standards or invest in different manufacturing processes to remain competitive.</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280" w:firstLine="159"/>
        <w:spacing w:after="0" w:line="264" w:lineRule="auto"/>
        <w:rPr>
          <w:sz w:val="20"/>
          <w:szCs w:val="20"/>
          <w:color w:val="auto"/>
        </w:rPr>
      </w:pPr>
      <w:r>
        <w:rPr>
          <w:rFonts w:ascii="Arial" w:cs="Arial" w:eastAsia="Arial" w:hAnsi="Arial"/>
          <w:sz w:val="18"/>
          <w:szCs w:val="18"/>
          <w:b w:val="1"/>
          <w:bCs w:val="1"/>
          <w:i w:val="1"/>
          <w:iCs w:val="1"/>
          <w:color w:val="auto"/>
        </w:rPr>
        <w:t>We experience sales seasonality and cyclicality, which could cause our operating results to fluctuate. In addition, accurately forecasting demand has become more difficult, which could harm our business.</w:t>
      </w:r>
    </w:p>
    <w:p>
      <w:pPr>
        <w:spacing w:after="0" w:line="207"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Sales of many of our products tend to be seasonal and subject to supply-demand cycles. Changes in seasonal and cyclical supply and demand patterns have made it, and could continue to make it, more difficult for us to forecast demand. Changes in the product or channel mix of our business can also impact seasonal and cyclical patterns. For example, we often ship a high percentage of our total quarterly sales in the third month of the quarter, which makes it difficult for us to forecast our financial results before the end of each quarter. As a result of the above or other factors, our forecast of financial results for a given quarter may differ materially from our actual financial results.</w:t>
      </w:r>
    </w:p>
    <w:p>
      <w:pPr>
        <w:spacing w:after="0" w:line="220"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The variety and volume of products we manufacture are based in part on accurately forecasting market and customer demand for our products. Accurately forecasting demand has also become increasingly difficult for us, our customers and our suppliers due to volatility in global economic conditions, end market dynamics and industry consolidation, resulting in less availability of historical market data for certain product segments. Further, for many of our OEM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we could experience periods of product oversupply, excess inventory, and price decreases, which could impact our sales, ASPs and gross margin, thereby negatively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200" w:lineRule="exact"/>
        <w:rPr>
          <w:sz w:val="20"/>
          <w:szCs w:val="20"/>
          <w:color w:val="auto"/>
        </w:rPr>
      </w:pPr>
    </w:p>
    <w:p>
      <w:pPr>
        <w:spacing w:after="0" w:line="203" w:lineRule="exact"/>
        <w:rPr>
          <w:sz w:val="20"/>
          <w:szCs w:val="20"/>
          <w:color w:val="auto"/>
        </w:rPr>
      </w:pPr>
    </w:p>
    <w:p>
      <w:pPr>
        <w:ind w:right="360" w:firstLine="159"/>
        <w:spacing w:after="0" w:line="264" w:lineRule="auto"/>
        <w:rPr>
          <w:sz w:val="20"/>
          <w:szCs w:val="20"/>
          <w:color w:val="auto"/>
        </w:rPr>
      </w:pPr>
      <w:r>
        <w:rPr>
          <w:rFonts w:ascii="Arial" w:cs="Arial" w:eastAsia="Arial" w:hAnsi="Arial"/>
          <w:sz w:val="18"/>
          <w:szCs w:val="18"/>
          <w:b w:val="1"/>
          <w:bCs w:val="1"/>
          <w:i w:val="1"/>
          <w:iCs w:val="1"/>
          <w:color w:val="auto"/>
        </w:rPr>
        <w:t>Failure to successfully execute on strategic initiatives including acquisitions, divestitures or cost saving measures may negatively impact our future results.</w:t>
      </w:r>
    </w:p>
    <w:p>
      <w:pPr>
        <w:spacing w:after="0" w:line="207"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We have made and expect to continue to make acquisitions and divestitures, and engage in cost saving measures.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could result in inconsistencies in standards, controls, procedures and policies and may increase the risk that our internal controls are found to be ineffective.</w:t>
      </w:r>
    </w:p>
    <w:p>
      <w:pPr>
        <w:spacing w:after="0" w:line="211"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negatively impact our results of operations or financial condition. Acquisitions and investments may also result in the issuance of equity securities that may be dilutive to our shareholders as well as earn-out or other contingent consideration payments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399"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Cost saving measures, restructurings and divestitures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Loss of revenue from a key customer, or consolidation among our customer base, could harm our operating results.</w:t>
      </w:r>
    </w:p>
    <w:p>
      <w:pPr>
        <w:spacing w:after="0" w:line="24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Historically, nearly one half of our total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would likely harm our operating results and financial condition. Further, government authorities may implement laws or regulations or take other actions that could result in significant changes to the business or operating models of our customers. Such changes could negatively impact our operating results.</w:t>
      </w:r>
    </w:p>
    <w:p>
      <w:pPr>
        <w:spacing w:after="0" w:line="208"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negatively impact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21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negatively impact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12" w:lineRule="exact"/>
        <w:rPr>
          <w:sz w:val="20"/>
          <w:szCs w:val="20"/>
          <w:color w:val="auto"/>
        </w:rPr>
      </w:pPr>
    </w:p>
    <w:p>
      <w:pPr>
        <w:ind w:right="540" w:firstLine="159"/>
        <w:spacing w:after="0" w:line="264"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business could suffer.</w:t>
      </w:r>
    </w:p>
    <w:p>
      <w:pPr>
        <w:spacing w:after="0" w:line="20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 market as complete systems, which could weaken the distribution market. If we fail to respond to changes in demand in the distribution market, our business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negatively impacted.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23"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negative publicity, whether or not justified, or allegations of product or service quality issues, even if false or unfounded, could damage our reputation and cause our customers to choose products offered by our competitors. Further, changes to the retail environment, such as store closures caused by macroeconomic conditions or changing customer preferences, may reduce the demand for our products. If customers no longer maintain a preference for our product brands or if our retailers are not successful in selling our products, our operating results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0" w:lineRule="exact"/>
        <w:rPr>
          <w:sz w:val="20"/>
          <w:szCs w:val="20"/>
          <w:color w:val="auto"/>
        </w:rPr>
      </w:pPr>
    </w:p>
    <w:p>
      <w:pPr>
        <w:ind w:right="240" w:firstLine="159"/>
        <w:spacing w:after="0" w:line="264" w:lineRule="auto"/>
        <w:rPr>
          <w:sz w:val="20"/>
          <w:szCs w:val="20"/>
          <w:color w:val="auto"/>
        </w:rPr>
      </w:pPr>
      <w:r>
        <w:rPr>
          <w:rFonts w:ascii="Arial" w:cs="Arial" w:eastAsia="Arial" w:hAnsi="Arial"/>
          <w:sz w:val="18"/>
          <w:szCs w:val="18"/>
          <w:b w:val="1"/>
          <w:bCs w:val="1"/>
          <w:i w:val="1"/>
          <w:iCs w:val="1"/>
          <w:color w:val="auto"/>
        </w:rPr>
        <w:t>Our substantial level of debt may negatively impact our liquidity, restrict our operations and ability to respond to business opportunities, and increase our vulnerability to adverse economic and industry conditions.</w:t>
      </w:r>
    </w:p>
    <w:p>
      <w:pPr>
        <w:spacing w:after="0" w:line="207" w:lineRule="exact"/>
        <w:rPr>
          <w:sz w:val="20"/>
          <w:szCs w:val="20"/>
          <w:color w:val="auto"/>
        </w:rPr>
      </w:pPr>
    </w:p>
    <w:p>
      <w:pPr>
        <w:ind w:right="140" w:firstLine="318"/>
        <w:spacing w:after="0" w:line="294" w:lineRule="auto"/>
        <w:rPr>
          <w:sz w:val="20"/>
          <w:szCs w:val="20"/>
          <w:color w:val="auto"/>
        </w:rPr>
      </w:pPr>
      <w:r>
        <w:rPr>
          <w:rFonts w:ascii="Arial" w:cs="Arial" w:eastAsia="Arial" w:hAnsi="Arial"/>
          <w:sz w:val="17"/>
          <w:szCs w:val="17"/>
          <w:color w:val="auto"/>
        </w:rPr>
        <w:t>We have a substantial amount of debt and may incur additional debt, including under our revolving credit facility, subject to customary conditions in our credit agreement. Our high level of debt could have significant consequences, which include, but are not limited to, the following:</w:t>
      </w:r>
    </w:p>
    <w:p>
      <w:pPr>
        <w:spacing w:after="0" w:line="184"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acquisitions or other general corporate purposes;</w:t>
      </w:r>
    </w:p>
    <w:p>
      <w:pPr>
        <w:spacing w:after="0" w:line="255" w:lineRule="exact"/>
        <w:rPr>
          <w:rFonts w:ascii="Arial" w:cs="Arial" w:eastAsia="Arial" w:hAnsi="Arial"/>
          <w:sz w:val="17"/>
          <w:szCs w:val="17"/>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w:t>
      </w:r>
    </w:p>
    <w:p>
      <w:pPr>
        <w:spacing w:after="0" w:line="243" w:lineRule="exact"/>
        <w:rPr>
          <w:rFonts w:ascii="Arial" w:cs="Arial" w:eastAsia="Arial" w:hAnsi="Arial"/>
          <w:sz w:val="18"/>
          <w:szCs w:val="18"/>
          <w:color w:val="auto"/>
        </w:rPr>
      </w:pPr>
    </w:p>
    <w:p>
      <w:pPr>
        <w:ind w:left="640" w:hanging="316"/>
        <w:spacing w:after="0" w:line="277"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 and</w:t>
      </w:r>
    </w:p>
    <w:p>
      <w:pPr>
        <w:spacing w:after="0" w:line="197"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207"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Our ability to meet our debt service obligations, comply with our debt covenants and deleverage depends on our cash flows and financial performance, which are affected by financial, business, economic and other factors. The rate at which we will be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may not have sufficient funds available to repay accelerated indebtedness,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harm our business.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88"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As our bank debt contains a variable interest rate component based on our corporate credit ratings, a decline in our ratings could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spacing w:after="0" w:line="204"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Our credit agreement uses the London Interbank Offered Rate (“LIBOR”) as a reference rate for our term loans and revolving credit facility, such that the applicable interest rate may, at our option, be calculated based on LIBOR. In July 2017, the U.K.’s Financial Conduct Authority, which regulates LIBOR, announced that it intends to phase out LIBOR beginning at the end of 2021, and LIBOR remains subject to ongoing national, international and other regulatory guidance and proposals for reform. As a result, LIBOR may perform differently than in the past and may ultimately cease to be utilized or to exist, either during or after 2021. Alternative benchmark rates may replace LIBOR, and we cannot predict how markets will respond to these proposed alternative benchmark rates or the effect of any changes to LIBOR or the discontinuation of LIBOR. If LIBOR is no longer available or if our lenders have increased costs due to changes in LIBOR, we may experience potential increases in interest rates on our variable rate debt, which could negatively impact our interest expense, results of operations and cash flows. In addition, replacing LIBOR with an alternative reference rate for any of our debt could be a taxable event.</w:t>
      </w:r>
    </w:p>
    <w:p>
      <w:pPr>
        <w:spacing w:after="0" w:line="181"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also guarantee a significant amount of lease obligations of Flash Ventures owed to third parties. Flash Ventures sells to and leases back a portion of its equipment from a consortium of financial institutions. Most of the lease obligations are guaranteed 50% by us and 50% by Kioxia. Some of the lease obligations are guaranteed in full by us. The leases are subject to customary covenants and cancellation events that relate to Flash Ventures and each of the guarantors. If a cancellation event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172"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common stock or other securities that are convertible into common stock or grant the holder the right to purchase common stock, each of which may dilute our existing shareholders, reduce the value of our common stock, or both.</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Tax matters may materially affect our financial position and results of operations.</w:t>
      </w:r>
    </w:p>
    <w:p>
      <w:pPr>
        <w:spacing w:after="0" w:line="24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Changes in tax laws in the United States, the European Union and around the globe have impacted and will continue to impact our effective worldwide tax rate, which may materially affect our financial position and results of operations.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including cash movements, could increase our worldwide effective tax rate and harm our business.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181"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Our determination of our tax liability in the U.S. and other jurisdictions is subject to review by applicable domestic and foreign tax authorities. For example, as disclosed in [Part I, Item 1, Note 14, Income Tax Expense, of the Notes to Consolidated Financial Statements] included in this Annual Report on Form 10-K, we are under examination by the Internal Revenue Service for certain fiscal years and in connection with that examination, we received statutory notices of deficiency seeking certain adjustments to income and have filed petitions with the U.S. Tax Court.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or decrease of our current estimate of unrecognized tax benefits and may harm our business.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4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When such events occur, they have had, and may in the future have, a negative impact on our business.</w:t>
      </w:r>
    </w:p>
    <w:p>
      <w:pPr>
        <w:spacing w:after="0" w:line="211"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negatively impact demand and revenue growth. In addition, currency variations can adversely affect margins on sales of our products in countries outside the U.S.</w:t>
      </w:r>
    </w:p>
    <w:p>
      <w:pPr>
        <w:spacing w:after="0" w:line="20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may actually harm our operating results. Further, the ability to enter into foreign exchange contracts with</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right="280"/>
        <w:spacing w:after="0" w:line="277" w:lineRule="auto"/>
        <w:rPr>
          <w:sz w:val="20"/>
          <w:szCs w:val="20"/>
          <w:color w:val="auto"/>
        </w:rPr>
      </w:pPr>
      <w:r>
        <w:rPr>
          <w:rFonts w:ascii="Arial" w:cs="Arial" w:eastAsia="Arial" w:hAnsi="Arial"/>
          <w:sz w:val="17"/>
          <w:szCs w:val="17"/>
          <w:color w:val="auto"/>
        </w:rPr>
        <w:t>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98" w:lineRule="exact"/>
        <w:rPr>
          <w:sz w:val="20"/>
          <w:szCs w:val="20"/>
          <w:color w:val="auto"/>
        </w:rPr>
      </w:pPr>
    </w:p>
    <w:p>
      <w:pPr>
        <w:ind w:right="60" w:firstLine="159"/>
        <w:spacing w:after="0" w:line="264"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COMPLIANCE RISKS</w:t>
      </w:r>
    </w:p>
    <w:p>
      <w:pPr>
        <w:spacing w:after="0" w:line="250" w:lineRule="exact"/>
        <w:rPr>
          <w:sz w:val="20"/>
          <w:szCs w:val="20"/>
          <w:color w:val="auto"/>
        </w:rPr>
      </w:pPr>
    </w:p>
    <w:p>
      <w:pPr>
        <w:ind w:right="20" w:firstLine="159"/>
        <w:spacing w:after="0" w:line="277" w:lineRule="auto"/>
        <w:rPr>
          <w:sz w:val="20"/>
          <w:szCs w:val="20"/>
          <w:color w:val="auto"/>
        </w:rPr>
      </w:pPr>
      <w:r>
        <w:rPr>
          <w:rFonts w:ascii="Arial" w:cs="Arial" w:eastAsia="Arial" w:hAnsi="Arial"/>
          <w:sz w:val="17"/>
          <w:szCs w:val="17"/>
          <w:b w:val="1"/>
          <w:bCs w:val="1"/>
          <w:i w:val="1"/>
          <w:iCs w:val="1"/>
          <w:color w:val="auto"/>
        </w:rPr>
        <w:t>We are subject to laws, rules, and regulations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p>
    <w:p>
      <w:pPr>
        <w:spacing w:after="0" w:line="198"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We are subject to laws, rules, and regulations relating to the collection, use, and security and privacy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require us to notify vendors, customers or employees or other parties with which we have commercial relations of a data security breach and to respond to regulatory inquiries and to enforcement proceedings. Laws and regulations relating to the collection, use, security and privacy of third-party data change over time and new laws and regulations become effective from time to time. We are subject to notice and privacy policy requirements, as well as obligations to respond to requests to know and access personal information, correct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We may also be subject to restrictions on cross-border data transfers and requirements for localized storage of data that could increase our</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compliance costs and risks and affect the ability of our global operations to coordinate activities and respond to customers.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20" w:firstLine="159"/>
        <w:spacing w:after="0" w:line="330" w:lineRule="auto"/>
        <w:rPr>
          <w:sz w:val="20"/>
          <w:szCs w:val="20"/>
          <w:color w:val="auto"/>
        </w:rPr>
      </w:pPr>
      <w:r>
        <w:rPr>
          <w:rFonts w:ascii="Arial" w:cs="Arial" w:eastAsia="Arial" w:hAnsi="Arial"/>
          <w:sz w:val="15"/>
          <w:szCs w:val="15"/>
          <w:b w:val="1"/>
          <w:bCs w:val="1"/>
          <w:i w:val="1"/>
          <w:iCs w:val="1"/>
          <w:color w:val="auto"/>
        </w:rPr>
        <w:t>We are subject to state, federal and international legal and regulatory requirements, such as environmental, labor, trade, health and safety regulations, customers’ standards of corporate citizenship, and industry and coalition standards, such as those established by the Responsible Business Alliance (“RBA”), and compliance with those requirements could cause an increase in our operating costs and failure to comply may harm our business.</w:t>
      </w:r>
    </w:p>
    <w:p>
      <w:pPr>
        <w:spacing w:after="0" w:line="163" w:lineRule="exact"/>
        <w:rPr>
          <w:sz w:val="20"/>
          <w:szCs w:val="20"/>
          <w:color w:val="auto"/>
        </w:rPr>
      </w:pPr>
    </w:p>
    <w:p>
      <w:pPr>
        <w:ind w:right="140" w:firstLine="318"/>
        <w:spacing w:after="0" w:line="264" w:lineRule="auto"/>
        <w:rPr>
          <w:sz w:val="20"/>
          <w:szCs w:val="20"/>
          <w:color w:val="auto"/>
        </w:rPr>
      </w:pPr>
      <w:r>
        <w:rPr>
          <w:rFonts w:ascii="Arial" w:cs="Arial" w:eastAsia="Arial" w:hAnsi="Arial"/>
          <w:sz w:val="17"/>
          <w:szCs w:val="17"/>
          <w:color w:val="auto"/>
        </w:rPr>
        <w:t>We are subject to, and may become subject to additional, state, federal and international laws and regulations governing our environmental, labor, trade, health and safety practices.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w:t>
      </w:r>
    </w:p>
    <w:p>
      <w:pPr>
        <w:spacing w:after="0" w:line="211" w:lineRule="exact"/>
        <w:rPr>
          <w:sz w:val="20"/>
          <w:szCs w:val="20"/>
          <w:color w:val="auto"/>
        </w:rPr>
      </w:pPr>
    </w:p>
    <w:p>
      <w:pPr>
        <w:ind w:right="180" w:firstLine="318"/>
        <w:spacing w:after="0" w:line="267" w:lineRule="auto"/>
        <w:rPr>
          <w:sz w:val="20"/>
          <w:szCs w:val="20"/>
          <w:color w:val="auto"/>
        </w:rPr>
      </w:pPr>
      <w:r>
        <w:rPr>
          <w:rFonts w:ascii="Arial" w:cs="Arial" w:eastAsia="Arial" w:hAnsi="Arial"/>
          <w:sz w:val="17"/>
          <w:szCs w:val="17"/>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6" w:lineRule="exact"/>
        <w:rPr>
          <w:sz w:val="20"/>
          <w:szCs w:val="20"/>
          <w:color w:val="auto"/>
        </w:rPr>
      </w:pPr>
    </w:p>
    <w:p>
      <w:pPr>
        <w:ind w:right="440" w:firstLine="159"/>
        <w:spacing w:after="0" w:line="365" w:lineRule="auto"/>
        <w:rPr>
          <w:sz w:val="20"/>
          <w:szCs w:val="20"/>
          <w:color w:val="auto"/>
        </w:rPr>
      </w:pPr>
      <w:r>
        <w:rPr>
          <w:rFonts w:ascii="Arial" w:cs="Arial" w:eastAsia="Arial" w:hAnsi="Arial"/>
          <w:sz w:val="15"/>
          <w:szCs w:val="15"/>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3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From time to time, we are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222"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spacing w:after="0" w:line="212"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80" w:firstLine="159"/>
        <w:spacing w:after="0" w:line="264"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20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harm our business.</w:t>
      </w:r>
    </w:p>
    <w:p>
      <w:pPr>
        <w:spacing w:after="0" w:line="208"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81" w:lineRule="exact"/>
        <w:rPr>
          <w:sz w:val="20"/>
          <w:szCs w:val="20"/>
          <w:color w:val="auto"/>
        </w:rPr>
      </w:pPr>
    </w:p>
    <w:p>
      <w:pPr>
        <w:ind w:right="300" w:firstLine="318"/>
        <w:spacing w:after="0" w:line="252" w:lineRule="auto"/>
        <w:rPr>
          <w:sz w:val="20"/>
          <w:szCs w:val="20"/>
          <w:color w:val="auto"/>
        </w:rPr>
      </w:pPr>
      <w:r>
        <w:rPr>
          <w:rFonts w:ascii="Arial" w:cs="Arial" w:eastAsia="Arial" w:hAnsi="Arial"/>
          <w:sz w:val="18"/>
          <w:szCs w:val="18"/>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7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39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negatively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firstLine="159"/>
        <w:spacing w:after="0" w:line="264" w:lineRule="auto"/>
        <w:rPr>
          <w:sz w:val="20"/>
          <w:szCs w:val="20"/>
          <w:color w:val="auto"/>
        </w:rPr>
      </w:pPr>
      <w:r>
        <w:rPr>
          <w:rFonts w:ascii="Arial" w:cs="Arial" w:eastAsia="Arial" w:hAnsi="Arial"/>
          <w:sz w:val="18"/>
          <w:szCs w:val="18"/>
          <w:b w:val="1"/>
          <w:bCs w:val="1"/>
          <w:i w:val="1"/>
          <w:iCs w:val="1"/>
          <w:color w:val="auto"/>
        </w:rPr>
        <w:t>The exclusive forum provisions in our Bylaws could limit our stockholders' ability to bring a claim in a judicial forum that it finds favorable for disputes with the Company or its directors, officers or other employees.</w:t>
      </w:r>
    </w:p>
    <w:p>
      <w:pPr>
        <w:spacing w:after="0" w:line="207"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Our Bylaws provide that, unless the Company consents in writing to the selection of an alternative forum, the Court of Chancery of the State of Delaware is the sole and exclusive forum for (i) any derivative action or proceeding brought on behalf of the Company, (ii) any action or proceeding asserting a claim of breach of a fiduciary duty owed by any current or former director, officer or other employee of the Company or its stockholders, (iii) any action or proceeding asserting a claim arising pursuant to any provision of the Delaware General Corporation Law or the Company’s Certificate of Incorporation or Bylaws, or (iv) any action or proceeding asserting a claim governed by the internal affairs doctrine (the “Delaware Exclusive Forum Provision”). Our Bylaws further provide that the federal district courts of the United States of America will, to the fullest extent permitted by law, be the exclusive forum for resolving any complaint asserting a cause of action under the Securities Act of 1933, as amended (the “Federal Forum Provision”).</w:t>
      </w:r>
    </w:p>
    <w:p>
      <w:pPr>
        <w:spacing w:after="0" w:line="183"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Delaware Exclusive Forum Provision is intended to apply to claims arising under Delaware state law and would not apply to claims brought pursuant to the Exchange Act or the Securities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in the Company’s Bylaws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will not be deemed to have waived our compliance with these laws, rules and regulations.</w:t>
      </w:r>
    </w:p>
    <w:p>
      <w:pPr>
        <w:spacing w:after="0" w:line="17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exclusive forum provisions in the Company’s Bylaws may limit a stockholder’s ability to bring a claim in a judicial forum of its choosing for disputes with the company or its directors, officers or other employees, which may discourage lawsuits against the Company and its directors, officers and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the Company than to our stockholders. Further, the enforceability of similar exclusive forum provisions in other companies’ organizational documents has been challenged in legal proceedings, and it is possible that a court could find any of our exclusive forum provisions to be inapplicable to, or unenforceable in respect of, one or more of the specified types of actions or proceedings. If a court were to find all or any part of our exclusive forum provisions to be inapplicable or unenforceable in an action, we might incur additional costs associated with resolving such action in other jurisdictions.</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0" w:lineRule="exact"/>
        <w:rPr>
          <w:sz w:val="20"/>
          <w:szCs w:val="20"/>
          <w:color w:val="auto"/>
        </w:rPr>
      </w:pPr>
    </w:p>
    <w:p>
      <w:pPr>
        <w:ind w:right="300" w:firstLine="318"/>
        <w:spacing w:after="0" w:line="262" w:lineRule="auto"/>
        <w:rPr>
          <w:sz w:val="20"/>
          <w:szCs w:val="20"/>
          <w:color w:val="auto"/>
        </w:rPr>
      </w:pPr>
      <w:r>
        <w:rPr>
          <w:rFonts w:ascii="Arial" w:cs="Arial" w:eastAsia="Arial" w:hAnsi="Arial"/>
          <w:sz w:val="18"/>
          <w:szCs w:val="18"/>
          <w:color w:val="auto"/>
        </w:rPr>
        <w:t>Our principal executive offices are located in San Jose, California. Our leased facilities are occupied under leases that expire at various times through 2034. Our principal manufacturing, R&amp;D, marketing and administrative facilities as of July 2, 2021 were as follows:</w:t>
      </w:r>
    </w:p>
    <w:tbl>
      <w:tblPr>
        <w:tblLayout w:type="fixed"/>
        <w:tblInd w:w="0" w:type="dxa"/>
        <w:tblCellMar>
          <w:top w:w="0" w:type="dxa"/>
          <w:left w:w="0" w:type="dxa"/>
          <w:bottom w:w="0" w:type="dxa"/>
          <w:right w:w="0" w:type="dxa"/>
        </w:tblCellMar>
      </w:tblPr>
      <w:tr>
        <w:trPr>
          <w:trHeight w:val="143"/>
        </w:trPr>
        <w:tc>
          <w:tcPr>
            <w:tcW w:w="26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Location</w:t>
            </w:r>
          </w:p>
        </w:tc>
        <w:tc>
          <w:tcPr>
            <w:tcW w:w="1240" w:type="dxa"/>
            <w:vAlign w:val="bottom"/>
            <w:gridSpan w:val="2"/>
          </w:tcPr>
          <w:p>
            <w:pPr>
              <w:ind w:left="440"/>
              <w:spacing w:after="0" w:line="143" w:lineRule="exact"/>
              <w:rPr>
                <w:sz w:val="20"/>
                <w:szCs w:val="20"/>
                <w:color w:val="auto"/>
              </w:rPr>
            </w:pPr>
            <w:r>
              <w:rPr>
                <w:rFonts w:ascii="Arial" w:cs="Arial" w:eastAsia="Arial" w:hAnsi="Arial"/>
                <w:sz w:val="14"/>
                <w:szCs w:val="14"/>
                <w:b w:val="1"/>
                <w:bCs w:val="1"/>
                <w:color w:val="auto"/>
              </w:rPr>
              <w:t>Buildings</w:t>
            </w:r>
          </w:p>
        </w:tc>
        <w:tc>
          <w:tcPr>
            <w:tcW w:w="1260" w:type="dxa"/>
            <w:vAlign w:val="bottom"/>
            <w:gridSpan w:val="2"/>
          </w:tcPr>
          <w:p>
            <w:pPr>
              <w:ind w:left="340"/>
              <w:spacing w:after="0" w:line="143" w:lineRule="exact"/>
              <w:rPr>
                <w:sz w:val="20"/>
                <w:szCs w:val="20"/>
                <w:color w:val="auto"/>
              </w:rPr>
            </w:pPr>
            <w:r>
              <w:rPr>
                <w:rFonts w:ascii="Arial" w:cs="Arial" w:eastAsia="Arial" w:hAnsi="Arial"/>
                <w:sz w:val="14"/>
                <w:szCs w:val="14"/>
                <w:b w:val="1"/>
                <w:bCs w:val="1"/>
                <w:color w:val="auto"/>
              </w:rPr>
              <w:t>Approximate</w:t>
            </w:r>
          </w:p>
        </w:tc>
        <w:tc>
          <w:tcPr>
            <w:tcW w:w="6020" w:type="dxa"/>
            <w:vAlign w:val="bottom"/>
            <w:vMerge w:val="restart"/>
          </w:tcPr>
          <w:p>
            <w:pPr>
              <w:ind w:left="2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660" w:type="dxa"/>
            <w:vAlign w:val="bottom"/>
            <w:gridSpan w:val="2"/>
            <w:vMerge w:val="continue"/>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Owned or Leased</w:t>
            </w: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Square Footage</w:t>
            </w:r>
          </w:p>
        </w:tc>
        <w:tc>
          <w:tcPr>
            <w:tcW w:w="6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United States</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660"/>
              <w:spacing w:after="0"/>
              <w:rPr>
                <w:sz w:val="20"/>
                <w:szCs w:val="20"/>
                <w:color w:val="auto"/>
              </w:rPr>
            </w:pPr>
            <w:r>
              <w:rPr>
                <w:rFonts w:ascii="Arial" w:cs="Arial" w:eastAsia="Arial" w:hAnsi="Arial"/>
                <w:sz w:val="16"/>
                <w:szCs w:val="16"/>
                <w:color w:val="auto"/>
              </w:rPr>
              <w:t>California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Fremont</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Leased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290,000</w:t>
            </w: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Manufacturing of head wafers and R&amp;D</w:t>
            </w:r>
          </w:p>
        </w:tc>
        <w:tc>
          <w:tcPr>
            <w:tcW w:w="0" w:type="dxa"/>
            <w:vAlign w:val="bottom"/>
          </w:tcPr>
          <w:p>
            <w:pPr>
              <w:spacing w:after="0"/>
              <w:rPr>
                <w:sz w:val="1"/>
                <w:szCs w:val="1"/>
                <w:color w:val="auto"/>
              </w:rPr>
            </w:pPr>
          </w:p>
        </w:tc>
      </w:tr>
      <w:tr>
        <w:trPr>
          <w:trHeight w:val="210"/>
        </w:trPr>
        <w:tc>
          <w:tcPr>
            <w:tcW w:w="2660" w:type="dxa"/>
            <w:vAlign w:val="bottom"/>
            <w:gridSpan w:val="2"/>
          </w:tcPr>
          <w:p>
            <w:pPr>
              <w:ind w:left="980"/>
              <w:spacing w:after="0"/>
              <w:rPr>
                <w:sz w:val="20"/>
                <w:szCs w:val="20"/>
                <w:color w:val="auto"/>
              </w:rPr>
            </w:pPr>
            <w:r>
              <w:rPr>
                <w:rFonts w:ascii="Arial" w:cs="Arial" w:eastAsia="Arial" w:hAnsi="Arial"/>
                <w:sz w:val="16"/>
                <w:szCs w:val="16"/>
                <w:color w:val="auto"/>
              </w:rPr>
              <w:t>Irvine</w:t>
            </w:r>
          </w:p>
        </w:tc>
        <w:tc>
          <w:tcPr>
            <w:tcW w:w="1240" w:type="dxa"/>
            <w:vAlign w:val="bottom"/>
            <w:gridSpan w:val="2"/>
          </w:tcPr>
          <w:p>
            <w:pPr>
              <w:ind w:left="340"/>
              <w:spacing w:after="0"/>
              <w:rPr>
                <w:sz w:val="20"/>
                <w:szCs w:val="20"/>
                <w:color w:val="auto"/>
              </w:rPr>
            </w:pPr>
            <w:r>
              <w:rPr>
                <w:rFonts w:ascii="Arial" w:cs="Arial" w:eastAsia="Arial" w:hAnsi="Arial"/>
                <w:sz w:val="16"/>
                <w:szCs w:val="16"/>
                <w:color w:val="auto"/>
              </w:rPr>
              <w:t>Leased</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434,000</w:t>
            </w:r>
          </w:p>
        </w:tc>
        <w:tc>
          <w:tcPr>
            <w:tcW w:w="10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R&amp;D, administrative, marketing and sales</w:t>
            </w: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Milpitas</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589,000</w:t>
            </w: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R&amp;D, marketing and sales, and administrative</w:t>
            </w:r>
          </w:p>
        </w:tc>
        <w:tc>
          <w:tcPr>
            <w:tcW w:w="0" w:type="dxa"/>
            <w:vAlign w:val="bottom"/>
          </w:tcPr>
          <w:p>
            <w:pPr>
              <w:spacing w:after="0"/>
              <w:rPr>
                <w:sz w:val="1"/>
                <w:szCs w:val="1"/>
                <w:color w:val="auto"/>
              </w:rPr>
            </w:pPr>
          </w:p>
        </w:tc>
      </w:tr>
      <w:tr>
        <w:trPr>
          <w:trHeight w:val="162"/>
        </w:trPr>
        <w:tc>
          <w:tcPr>
            <w:tcW w:w="2660" w:type="dxa"/>
            <w:vAlign w:val="bottom"/>
            <w:gridSpan w:val="2"/>
          </w:tcPr>
          <w:p>
            <w:pPr>
              <w:ind w:left="980"/>
              <w:spacing w:after="0" w:line="162" w:lineRule="exact"/>
              <w:rPr>
                <w:sz w:val="20"/>
                <w:szCs w:val="20"/>
                <w:color w:val="auto"/>
              </w:rPr>
            </w:pPr>
            <w:r>
              <w:rPr>
                <w:rFonts w:ascii="Arial" w:cs="Arial" w:eastAsia="Arial" w:hAnsi="Arial"/>
                <w:sz w:val="16"/>
                <w:szCs w:val="16"/>
                <w:color w:val="auto"/>
              </w:rPr>
              <w:t>San Jose</w:t>
            </w:r>
          </w:p>
        </w:tc>
        <w:tc>
          <w:tcPr>
            <w:tcW w:w="1240" w:type="dxa"/>
            <w:vAlign w:val="bottom"/>
            <w:gridSpan w:val="2"/>
          </w:tcPr>
          <w:p>
            <w:pPr>
              <w:ind w:left="340"/>
              <w:spacing w:after="0" w:line="162" w:lineRule="exact"/>
              <w:rPr>
                <w:sz w:val="20"/>
                <w:szCs w:val="20"/>
                <w:color w:val="auto"/>
              </w:rPr>
            </w:pPr>
            <w:r>
              <w:rPr>
                <w:rFonts w:ascii="Arial" w:cs="Arial" w:eastAsia="Arial" w:hAnsi="Arial"/>
                <w:sz w:val="16"/>
                <w:szCs w:val="16"/>
                <w:color w:val="auto"/>
              </w:rPr>
              <w:t>Owned</w:t>
            </w:r>
          </w:p>
        </w:tc>
        <w:tc>
          <w:tcPr>
            <w:tcW w:w="1160" w:type="dxa"/>
            <w:vAlign w:val="bottom"/>
          </w:tcPr>
          <w:p>
            <w:pPr>
              <w:jc w:val="right"/>
              <w:ind w:right="1"/>
              <w:spacing w:after="0" w:line="162" w:lineRule="exact"/>
              <w:rPr>
                <w:sz w:val="20"/>
                <w:szCs w:val="20"/>
                <w:color w:val="auto"/>
              </w:rPr>
            </w:pPr>
            <w:r>
              <w:rPr>
                <w:rFonts w:ascii="Arial" w:cs="Arial" w:eastAsia="Arial" w:hAnsi="Arial"/>
                <w:sz w:val="16"/>
                <w:szCs w:val="16"/>
                <w:color w:val="auto"/>
              </w:rPr>
              <w:t>2,275,000</w:t>
            </w:r>
          </w:p>
        </w:tc>
        <w:tc>
          <w:tcPr>
            <w:tcW w:w="100" w:type="dxa"/>
            <w:vAlign w:val="bottom"/>
          </w:tcPr>
          <w:p>
            <w:pPr>
              <w:spacing w:after="0"/>
              <w:rPr>
                <w:sz w:val="14"/>
                <w:szCs w:val="14"/>
                <w:color w:val="auto"/>
              </w:rPr>
            </w:pPr>
          </w:p>
        </w:tc>
        <w:tc>
          <w:tcPr>
            <w:tcW w:w="6020" w:type="dxa"/>
            <w:vAlign w:val="bottom"/>
          </w:tcPr>
          <w:p>
            <w:pPr>
              <w:ind w:left="340"/>
              <w:spacing w:after="0" w:line="162" w:lineRule="exact"/>
              <w:rPr>
                <w:sz w:val="20"/>
                <w:szCs w:val="20"/>
                <w:color w:val="auto"/>
              </w:rPr>
            </w:pPr>
            <w:r>
              <w:rPr>
                <w:rFonts w:ascii="Arial" w:cs="Arial" w:eastAsia="Arial" w:hAnsi="Arial"/>
                <w:sz w:val="16"/>
                <w:szCs w:val="16"/>
                <w:color w:val="auto"/>
              </w:rPr>
              <w:t>Manufacturing of head wafers, head, media and product development, R&amp;D,</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Pr>
          <w:p>
            <w:pPr>
              <w:ind w:left="20"/>
              <w:spacing w:after="0"/>
              <w:rPr>
                <w:sz w:val="20"/>
                <w:szCs w:val="20"/>
                <w:color w:val="auto"/>
              </w:rPr>
            </w:pPr>
            <w:r>
              <w:rPr>
                <w:rFonts w:ascii="Arial" w:cs="Arial" w:eastAsia="Arial" w:hAnsi="Arial"/>
                <w:sz w:val="16"/>
                <w:szCs w:val="16"/>
                <w:color w:val="auto"/>
              </w:rPr>
              <w:t>administrative, marketing and sales</w:t>
            </w: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Colorado</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980"/>
              <w:spacing w:after="0"/>
              <w:rPr>
                <w:sz w:val="20"/>
                <w:szCs w:val="20"/>
                <w:color w:val="auto"/>
              </w:rPr>
            </w:pPr>
            <w:r>
              <w:rPr>
                <w:rFonts w:ascii="Arial" w:cs="Arial" w:eastAsia="Arial" w:hAnsi="Arial"/>
                <w:sz w:val="16"/>
                <w:szCs w:val="16"/>
                <w:color w:val="auto"/>
              </w:rPr>
              <w:t>Longmont</w:t>
            </w:r>
          </w:p>
        </w:tc>
        <w:tc>
          <w:tcPr>
            <w:tcW w:w="1240" w:type="dxa"/>
            <w:vAlign w:val="bottom"/>
            <w:gridSpan w:val="2"/>
          </w:tcPr>
          <w:p>
            <w:pPr>
              <w:ind w:left="340"/>
              <w:spacing w:after="0"/>
              <w:rPr>
                <w:sz w:val="20"/>
                <w:szCs w:val="20"/>
                <w:color w:val="auto"/>
              </w:rPr>
            </w:pPr>
            <w:r>
              <w:rPr>
                <w:rFonts w:ascii="Arial" w:cs="Arial" w:eastAsia="Arial" w:hAnsi="Arial"/>
                <w:sz w:val="16"/>
                <w:szCs w:val="16"/>
                <w:color w:val="auto"/>
              </w:rPr>
              <w:t>Leased</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87,000</w:t>
            </w:r>
          </w:p>
        </w:tc>
        <w:tc>
          <w:tcPr>
            <w:tcW w:w="10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Colorado Springs</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Leased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59,000</w:t>
            </w: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210"/>
        </w:trPr>
        <w:tc>
          <w:tcPr>
            <w:tcW w:w="2660" w:type="dxa"/>
            <w:vAlign w:val="bottom"/>
            <w:gridSpan w:val="2"/>
          </w:tcPr>
          <w:p>
            <w:pPr>
              <w:ind w:left="660"/>
              <w:spacing w:after="0"/>
              <w:rPr>
                <w:sz w:val="20"/>
                <w:szCs w:val="20"/>
                <w:color w:val="auto"/>
              </w:rPr>
            </w:pPr>
            <w:r>
              <w:rPr>
                <w:rFonts w:ascii="Arial" w:cs="Arial" w:eastAsia="Arial" w:hAnsi="Arial"/>
                <w:sz w:val="16"/>
                <w:szCs w:val="16"/>
                <w:color w:val="auto"/>
              </w:rPr>
              <w:t>Minnesota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Rochester</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Leased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121,000</w:t>
            </w: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210"/>
        </w:trPr>
        <w:tc>
          <w:tcPr>
            <w:tcW w:w="2660" w:type="dxa"/>
            <w:vAlign w:val="bottom"/>
            <w:gridSpan w:val="2"/>
          </w:tcPr>
          <w:p>
            <w:pPr>
              <w:ind w:left="340"/>
              <w:spacing w:after="0"/>
              <w:rPr>
                <w:sz w:val="20"/>
                <w:szCs w:val="20"/>
                <w:color w:val="auto"/>
              </w:rPr>
            </w:pPr>
            <w:r>
              <w:rPr>
                <w:rFonts w:ascii="Arial" w:cs="Arial" w:eastAsia="Arial" w:hAnsi="Arial"/>
                <w:sz w:val="16"/>
                <w:szCs w:val="16"/>
                <w:b w:val="1"/>
                <w:bCs w:val="1"/>
                <w:color w:val="auto"/>
              </w:rPr>
              <w:t>Asia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China</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gridSpan w:val="2"/>
          </w:tcPr>
          <w:p>
            <w:pPr>
              <w:ind w:left="980"/>
              <w:spacing w:after="0"/>
              <w:rPr>
                <w:sz w:val="20"/>
                <w:szCs w:val="20"/>
                <w:color w:val="auto"/>
              </w:rPr>
            </w:pPr>
            <w:r>
              <w:rPr>
                <w:rFonts w:ascii="Arial" w:cs="Arial" w:eastAsia="Arial" w:hAnsi="Arial"/>
                <w:sz w:val="16"/>
                <w:szCs w:val="16"/>
                <w:color w:val="auto"/>
              </w:rPr>
              <w:t>Shanghai</w:t>
            </w:r>
          </w:p>
        </w:tc>
        <w:tc>
          <w:tcPr>
            <w:tcW w:w="1240" w:type="dxa"/>
            <w:vAlign w:val="bottom"/>
            <w:gridSpan w:val="2"/>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914,000</w:t>
            </w:r>
          </w:p>
        </w:tc>
        <w:tc>
          <w:tcPr>
            <w:tcW w:w="10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Assembly and test of SSDs</w:t>
            </w:r>
          </w:p>
        </w:tc>
        <w:tc>
          <w:tcPr>
            <w:tcW w:w="0" w:type="dxa"/>
            <w:vAlign w:val="bottom"/>
          </w:tcPr>
          <w:p>
            <w:pPr>
              <w:spacing w:after="0"/>
              <w:rPr>
                <w:sz w:val="1"/>
                <w:szCs w:val="1"/>
                <w:color w:val="auto"/>
              </w:rPr>
            </w:pPr>
          </w:p>
        </w:tc>
      </w:tr>
      <w:tr>
        <w:trPr>
          <w:trHeight w:val="165"/>
        </w:trPr>
        <w:tc>
          <w:tcPr>
            <w:tcW w:w="2660" w:type="dxa"/>
            <w:vAlign w:val="bottom"/>
            <w:gridSpan w:val="2"/>
            <w:shd w:val="clear" w:color="auto" w:fill="CCEEFF"/>
          </w:tcPr>
          <w:p>
            <w:pPr>
              <w:ind w:left="980"/>
              <w:spacing w:after="0" w:line="165" w:lineRule="exact"/>
              <w:rPr>
                <w:sz w:val="20"/>
                <w:szCs w:val="20"/>
                <w:color w:val="auto"/>
              </w:rPr>
            </w:pPr>
            <w:r>
              <w:rPr>
                <w:rFonts w:ascii="Arial" w:cs="Arial" w:eastAsia="Arial" w:hAnsi="Arial"/>
                <w:sz w:val="16"/>
                <w:szCs w:val="16"/>
                <w:color w:val="auto"/>
              </w:rPr>
              <w:t>Shenzhen</w:t>
            </w:r>
          </w:p>
        </w:tc>
        <w:tc>
          <w:tcPr>
            <w:tcW w:w="1240" w:type="dxa"/>
            <w:vAlign w:val="bottom"/>
            <w:gridSpan w:val="2"/>
            <w:shd w:val="clear" w:color="auto" w:fill="CCEEFF"/>
          </w:tcPr>
          <w:p>
            <w:pPr>
              <w:ind w:left="340"/>
              <w:spacing w:after="0" w:line="165" w:lineRule="exact"/>
              <w:rPr>
                <w:sz w:val="20"/>
                <w:szCs w:val="20"/>
                <w:color w:val="auto"/>
              </w:rPr>
            </w:pPr>
            <w:r>
              <w:rPr>
                <w:rFonts w:ascii="Arial" w:cs="Arial" w:eastAsia="Arial" w:hAnsi="Arial"/>
                <w:sz w:val="16"/>
                <w:szCs w:val="16"/>
                <w:color w:val="auto"/>
              </w:rPr>
              <w:t>Owned and</w:t>
            </w:r>
          </w:p>
        </w:tc>
        <w:tc>
          <w:tcPr>
            <w:tcW w:w="1160" w:type="dxa"/>
            <w:vAlign w:val="bottom"/>
            <w:shd w:val="clear" w:color="auto" w:fill="CCEEFF"/>
          </w:tcPr>
          <w:p>
            <w:pPr>
              <w:jc w:val="right"/>
              <w:ind w:right="1"/>
              <w:spacing w:after="0" w:line="165" w:lineRule="exact"/>
              <w:rPr>
                <w:sz w:val="20"/>
                <w:szCs w:val="20"/>
                <w:color w:val="auto"/>
              </w:rPr>
            </w:pPr>
            <w:r>
              <w:rPr>
                <w:rFonts w:ascii="Arial" w:cs="Arial" w:eastAsia="Arial" w:hAnsi="Arial"/>
                <w:sz w:val="16"/>
                <w:szCs w:val="16"/>
                <w:color w:val="auto"/>
              </w:rPr>
              <w:t>563,000</w:t>
            </w:r>
          </w:p>
        </w:tc>
        <w:tc>
          <w:tcPr>
            <w:tcW w:w="100" w:type="dxa"/>
            <w:vAlign w:val="bottom"/>
            <w:shd w:val="clear" w:color="auto" w:fill="CCEEFF"/>
          </w:tcPr>
          <w:p>
            <w:pPr>
              <w:spacing w:after="0"/>
              <w:rPr>
                <w:sz w:val="14"/>
                <w:szCs w:val="14"/>
                <w:color w:val="auto"/>
              </w:rPr>
            </w:pPr>
          </w:p>
        </w:tc>
        <w:tc>
          <w:tcPr>
            <w:tcW w:w="60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Manufacturing of media</w:t>
            </w: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660"/>
              <w:spacing w:after="0"/>
              <w:rPr>
                <w:sz w:val="20"/>
                <w:szCs w:val="20"/>
                <w:color w:val="auto"/>
              </w:rPr>
            </w:pPr>
            <w:r>
              <w:rPr>
                <w:rFonts w:ascii="Arial" w:cs="Arial" w:eastAsia="Arial" w:hAnsi="Arial"/>
                <w:sz w:val="16"/>
                <w:szCs w:val="16"/>
                <w:b w:val="1"/>
                <w:bCs w:val="1"/>
                <w:color w:val="auto"/>
              </w:rPr>
              <w:t>Japan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Fujisawa</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661,000</w:t>
            </w: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210"/>
        </w:trPr>
        <w:tc>
          <w:tcPr>
            <w:tcW w:w="2660" w:type="dxa"/>
            <w:vAlign w:val="bottom"/>
            <w:gridSpan w:val="2"/>
          </w:tcPr>
          <w:p>
            <w:pPr>
              <w:ind w:left="660"/>
              <w:spacing w:after="0"/>
              <w:rPr>
                <w:sz w:val="20"/>
                <w:szCs w:val="20"/>
                <w:color w:val="auto"/>
              </w:rPr>
            </w:pPr>
            <w:r>
              <w:rPr>
                <w:rFonts w:ascii="Arial" w:cs="Arial" w:eastAsia="Arial" w:hAnsi="Arial"/>
                <w:sz w:val="16"/>
                <w:szCs w:val="16"/>
                <w:b w:val="1"/>
                <w:bCs w:val="1"/>
                <w:color w:val="auto"/>
              </w:rPr>
              <w:t>Malaysia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Johor</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277,000</w:t>
            </w: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Manufacturing of substrates</w:t>
            </w:r>
          </w:p>
        </w:tc>
        <w:tc>
          <w:tcPr>
            <w:tcW w:w="0" w:type="dxa"/>
            <w:vAlign w:val="bottom"/>
          </w:tcPr>
          <w:p>
            <w:pPr>
              <w:spacing w:after="0"/>
              <w:rPr>
                <w:sz w:val="1"/>
                <w:szCs w:val="1"/>
                <w:color w:val="auto"/>
              </w:rPr>
            </w:pPr>
          </w:p>
        </w:tc>
      </w:tr>
      <w:tr>
        <w:trPr>
          <w:trHeight w:val="216"/>
        </w:trPr>
        <w:tc>
          <w:tcPr>
            <w:tcW w:w="2660" w:type="dxa"/>
            <w:vAlign w:val="bottom"/>
            <w:gridSpan w:val="2"/>
          </w:tcPr>
          <w:p>
            <w:pPr>
              <w:ind w:left="980"/>
              <w:spacing w:after="0"/>
              <w:rPr>
                <w:sz w:val="20"/>
                <w:szCs w:val="20"/>
                <w:color w:val="auto"/>
              </w:rPr>
            </w:pPr>
            <w:r>
              <w:rPr>
                <w:rFonts w:ascii="Arial" w:cs="Arial" w:eastAsia="Arial" w:hAnsi="Arial"/>
                <w:sz w:val="16"/>
                <w:szCs w:val="16"/>
                <w:color w:val="auto"/>
              </w:rPr>
              <w:t>Kuala Lumpur</w:t>
            </w:r>
          </w:p>
        </w:tc>
        <w:tc>
          <w:tcPr>
            <w:tcW w:w="1240" w:type="dxa"/>
            <w:vAlign w:val="bottom"/>
            <w:gridSpan w:val="2"/>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145,000</w:t>
            </w:r>
          </w:p>
        </w:tc>
        <w:tc>
          <w:tcPr>
            <w:tcW w:w="10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R&amp;D and administrative</w:t>
            </w:r>
          </w:p>
        </w:tc>
        <w:tc>
          <w:tcPr>
            <w:tcW w:w="0" w:type="dxa"/>
            <w:vAlign w:val="bottom"/>
          </w:tcPr>
          <w:p>
            <w:pPr>
              <w:spacing w:after="0"/>
              <w:rPr>
                <w:sz w:val="1"/>
                <w:szCs w:val="1"/>
                <w:color w:val="auto"/>
              </w:rPr>
            </w:pPr>
          </w:p>
        </w:tc>
      </w:tr>
      <w:tr>
        <w:trPr>
          <w:trHeight w:val="221"/>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Kuching</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285,000</w:t>
            </w:r>
          </w:p>
        </w:tc>
        <w:tc>
          <w:tcPr>
            <w:tcW w:w="100" w:type="dxa"/>
            <w:vAlign w:val="bottom"/>
            <w:shd w:val="clear" w:color="auto" w:fill="CCEEFF"/>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Manufacturing and development of substrates</w:t>
            </w:r>
          </w:p>
        </w:tc>
        <w:tc>
          <w:tcPr>
            <w:tcW w:w="0" w:type="dxa"/>
            <w:vAlign w:val="bottom"/>
          </w:tcPr>
          <w:p>
            <w:pPr>
              <w:spacing w:after="0"/>
              <w:rPr>
                <w:sz w:val="1"/>
                <w:szCs w:val="1"/>
                <w:color w:val="auto"/>
              </w:rPr>
            </w:pPr>
          </w:p>
        </w:tc>
      </w:tr>
      <w:tr>
        <w:trPr>
          <w:trHeight w:val="209"/>
        </w:trPr>
        <w:tc>
          <w:tcPr>
            <w:tcW w:w="2660" w:type="dxa"/>
            <w:vAlign w:val="bottom"/>
            <w:gridSpan w:val="2"/>
          </w:tcPr>
          <w:p>
            <w:pPr>
              <w:ind w:left="980"/>
              <w:spacing w:after="0"/>
              <w:rPr>
                <w:sz w:val="20"/>
                <w:szCs w:val="20"/>
                <w:color w:val="auto"/>
              </w:rPr>
            </w:pPr>
            <w:r>
              <w:rPr>
                <w:rFonts w:ascii="Arial" w:cs="Arial" w:eastAsia="Arial" w:hAnsi="Arial"/>
                <w:sz w:val="16"/>
                <w:szCs w:val="16"/>
                <w:color w:val="auto"/>
              </w:rPr>
              <w:t>Penang</w:t>
            </w:r>
          </w:p>
        </w:tc>
        <w:tc>
          <w:tcPr>
            <w:tcW w:w="1240" w:type="dxa"/>
            <w:vAlign w:val="bottom"/>
            <w:gridSpan w:val="2"/>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1,872,000</w:t>
            </w:r>
          </w:p>
        </w:tc>
        <w:tc>
          <w:tcPr>
            <w:tcW w:w="10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Assembly and test of SSDs, manufacturing of media, and R&amp;D</w:t>
            </w: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Philippines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980"/>
              <w:spacing w:after="0"/>
              <w:rPr>
                <w:sz w:val="20"/>
                <w:szCs w:val="20"/>
                <w:color w:val="auto"/>
              </w:rPr>
            </w:pPr>
            <w:r>
              <w:rPr>
                <w:rFonts w:ascii="Arial" w:cs="Arial" w:eastAsia="Arial" w:hAnsi="Arial"/>
                <w:sz w:val="16"/>
                <w:szCs w:val="16"/>
                <w:color w:val="auto"/>
              </w:rPr>
              <w:t>Laguna</w:t>
            </w:r>
          </w:p>
        </w:tc>
        <w:tc>
          <w:tcPr>
            <w:tcW w:w="1240" w:type="dxa"/>
            <w:vAlign w:val="bottom"/>
            <w:gridSpan w:val="2"/>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632,000</w:t>
            </w:r>
          </w:p>
        </w:tc>
        <w:tc>
          <w:tcPr>
            <w:tcW w:w="10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Manufacturing of HGAs and slider fabrication</w:t>
            </w: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Thailand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980"/>
              <w:spacing w:after="0" w:line="162" w:lineRule="exact"/>
              <w:rPr>
                <w:sz w:val="20"/>
                <w:szCs w:val="20"/>
                <w:color w:val="auto"/>
              </w:rPr>
            </w:pPr>
            <w:r>
              <w:rPr>
                <w:rFonts w:ascii="Arial" w:cs="Arial" w:eastAsia="Arial" w:hAnsi="Arial"/>
                <w:sz w:val="16"/>
                <w:szCs w:val="16"/>
                <w:color w:val="auto"/>
              </w:rPr>
              <w:t>Bang Pa-In</w:t>
            </w:r>
          </w:p>
        </w:tc>
        <w:tc>
          <w:tcPr>
            <w:tcW w:w="1240" w:type="dxa"/>
            <w:vAlign w:val="bottom"/>
            <w:gridSpan w:val="2"/>
          </w:tcPr>
          <w:p>
            <w:pPr>
              <w:ind w:left="340"/>
              <w:spacing w:after="0" w:line="162" w:lineRule="exact"/>
              <w:rPr>
                <w:sz w:val="20"/>
                <w:szCs w:val="20"/>
                <w:color w:val="auto"/>
              </w:rPr>
            </w:pPr>
            <w:r>
              <w:rPr>
                <w:rFonts w:ascii="Arial" w:cs="Arial" w:eastAsia="Arial" w:hAnsi="Arial"/>
                <w:sz w:val="16"/>
                <w:szCs w:val="16"/>
                <w:color w:val="auto"/>
              </w:rPr>
              <w:t>Owned and</w:t>
            </w:r>
          </w:p>
        </w:tc>
        <w:tc>
          <w:tcPr>
            <w:tcW w:w="1160" w:type="dxa"/>
            <w:vAlign w:val="bottom"/>
          </w:tcPr>
          <w:p>
            <w:pPr>
              <w:jc w:val="right"/>
              <w:ind w:right="1"/>
              <w:spacing w:after="0" w:line="162" w:lineRule="exact"/>
              <w:rPr>
                <w:sz w:val="20"/>
                <w:szCs w:val="20"/>
                <w:color w:val="auto"/>
              </w:rPr>
            </w:pPr>
            <w:r>
              <w:rPr>
                <w:rFonts w:ascii="Arial" w:cs="Arial" w:eastAsia="Arial" w:hAnsi="Arial"/>
                <w:sz w:val="16"/>
                <w:szCs w:val="16"/>
                <w:color w:val="auto"/>
              </w:rPr>
              <w:t>1,673,000</w:t>
            </w:r>
          </w:p>
        </w:tc>
        <w:tc>
          <w:tcPr>
            <w:tcW w:w="100" w:type="dxa"/>
            <w:vAlign w:val="bottom"/>
          </w:tcPr>
          <w:p>
            <w:pPr>
              <w:spacing w:after="0"/>
              <w:rPr>
                <w:sz w:val="14"/>
                <w:szCs w:val="14"/>
                <w:color w:val="auto"/>
              </w:rPr>
            </w:pPr>
          </w:p>
        </w:tc>
        <w:tc>
          <w:tcPr>
            <w:tcW w:w="6020" w:type="dxa"/>
            <w:vAlign w:val="bottom"/>
          </w:tcPr>
          <w:p>
            <w:pPr>
              <w:ind w:left="340"/>
              <w:spacing w:after="0" w:line="162" w:lineRule="exact"/>
              <w:rPr>
                <w:sz w:val="20"/>
                <w:szCs w:val="20"/>
                <w:color w:val="auto"/>
              </w:rPr>
            </w:pPr>
            <w:r>
              <w:rPr>
                <w:rFonts w:ascii="Arial" w:cs="Arial" w:eastAsia="Arial" w:hAnsi="Arial"/>
                <w:sz w:val="16"/>
                <w:szCs w:val="16"/>
                <w:color w:val="auto"/>
              </w:rPr>
              <w:t>Slider fabrication, manufacturing of HDDs and HGAs, and R&amp;D</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Leased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Prachinburi</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1,566,000</w:t>
            </w: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Manufacturing of HDDs</w:t>
            </w:r>
          </w:p>
        </w:tc>
        <w:tc>
          <w:tcPr>
            <w:tcW w:w="0" w:type="dxa"/>
            <w:vAlign w:val="bottom"/>
          </w:tcPr>
          <w:p>
            <w:pPr>
              <w:spacing w:after="0"/>
              <w:rPr>
                <w:sz w:val="1"/>
                <w:szCs w:val="1"/>
                <w:color w:val="auto"/>
              </w:rPr>
            </w:pPr>
          </w:p>
        </w:tc>
      </w:tr>
      <w:tr>
        <w:trPr>
          <w:trHeight w:val="210"/>
        </w:trPr>
        <w:tc>
          <w:tcPr>
            <w:tcW w:w="2660" w:type="dxa"/>
            <w:vAlign w:val="bottom"/>
            <w:gridSpan w:val="2"/>
          </w:tcPr>
          <w:p>
            <w:pPr>
              <w:ind w:left="660"/>
              <w:spacing w:after="0"/>
              <w:rPr>
                <w:sz w:val="20"/>
                <w:szCs w:val="20"/>
                <w:color w:val="auto"/>
              </w:rPr>
            </w:pPr>
            <w:r>
              <w:rPr>
                <w:rFonts w:ascii="Arial" w:cs="Arial" w:eastAsia="Arial" w:hAnsi="Arial"/>
                <w:sz w:val="16"/>
                <w:szCs w:val="16"/>
                <w:b w:val="1"/>
                <w:bCs w:val="1"/>
                <w:color w:val="auto"/>
              </w:rPr>
              <w:t>India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660" w:type="dxa"/>
            <w:vAlign w:val="bottom"/>
            <w:gridSpan w:val="2"/>
            <w:shd w:val="clear" w:color="auto" w:fill="CCEEFF"/>
          </w:tcPr>
          <w:p>
            <w:pPr>
              <w:ind w:left="980"/>
              <w:spacing w:after="0" w:line="165" w:lineRule="exact"/>
              <w:rPr>
                <w:sz w:val="20"/>
                <w:szCs w:val="20"/>
                <w:color w:val="auto"/>
              </w:rPr>
            </w:pPr>
            <w:r>
              <w:rPr>
                <w:rFonts w:ascii="Arial" w:cs="Arial" w:eastAsia="Arial" w:hAnsi="Arial"/>
                <w:sz w:val="16"/>
                <w:szCs w:val="16"/>
                <w:color w:val="auto"/>
              </w:rPr>
              <w:t>Bangalore</w:t>
            </w:r>
          </w:p>
        </w:tc>
        <w:tc>
          <w:tcPr>
            <w:tcW w:w="1240" w:type="dxa"/>
            <w:vAlign w:val="bottom"/>
            <w:gridSpan w:val="2"/>
            <w:shd w:val="clear" w:color="auto" w:fill="CCEEFF"/>
          </w:tcPr>
          <w:p>
            <w:pPr>
              <w:ind w:left="340"/>
              <w:spacing w:after="0" w:line="165" w:lineRule="exact"/>
              <w:rPr>
                <w:sz w:val="20"/>
                <w:szCs w:val="20"/>
                <w:color w:val="auto"/>
              </w:rPr>
            </w:pPr>
            <w:r>
              <w:rPr>
                <w:rFonts w:ascii="Arial" w:cs="Arial" w:eastAsia="Arial" w:hAnsi="Arial"/>
                <w:sz w:val="16"/>
                <w:szCs w:val="16"/>
                <w:color w:val="auto"/>
              </w:rPr>
              <w:t>Owned and</w:t>
            </w:r>
          </w:p>
        </w:tc>
        <w:tc>
          <w:tcPr>
            <w:tcW w:w="1160" w:type="dxa"/>
            <w:vAlign w:val="bottom"/>
            <w:shd w:val="clear" w:color="auto" w:fill="CCEEFF"/>
          </w:tcPr>
          <w:p>
            <w:pPr>
              <w:jc w:val="right"/>
              <w:ind w:right="1"/>
              <w:spacing w:after="0" w:line="165" w:lineRule="exact"/>
              <w:rPr>
                <w:sz w:val="20"/>
                <w:szCs w:val="20"/>
                <w:color w:val="auto"/>
              </w:rPr>
            </w:pPr>
            <w:r>
              <w:rPr>
                <w:rFonts w:ascii="Arial" w:cs="Arial" w:eastAsia="Arial" w:hAnsi="Arial"/>
                <w:sz w:val="16"/>
                <w:szCs w:val="16"/>
                <w:color w:val="auto"/>
              </w:rPr>
              <w:t>638,000</w:t>
            </w:r>
          </w:p>
        </w:tc>
        <w:tc>
          <w:tcPr>
            <w:tcW w:w="100" w:type="dxa"/>
            <w:vAlign w:val="bottom"/>
            <w:shd w:val="clear" w:color="auto" w:fill="CCEEFF"/>
          </w:tcPr>
          <w:p>
            <w:pPr>
              <w:spacing w:after="0"/>
              <w:rPr>
                <w:sz w:val="14"/>
                <w:szCs w:val="14"/>
                <w:color w:val="auto"/>
              </w:rPr>
            </w:pPr>
          </w:p>
        </w:tc>
        <w:tc>
          <w:tcPr>
            <w:tcW w:w="60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rPr>
              <w:t>R&amp;D and administrative</w:t>
            </w: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340"/>
              <w:spacing w:after="0"/>
              <w:rPr>
                <w:sz w:val="20"/>
                <w:szCs w:val="20"/>
                <w:color w:val="auto"/>
              </w:rPr>
            </w:pPr>
            <w:r>
              <w:rPr>
                <w:rFonts w:ascii="Arial" w:cs="Arial" w:eastAsia="Arial" w:hAnsi="Arial"/>
                <w:sz w:val="16"/>
                <w:szCs w:val="16"/>
                <w:b w:val="1"/>
                <w:bCs w:val="1"/>
                <w:color w:val="auto"/>
              </w:rPr>
              <w:t>Middle East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Israel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gridSpan w:val="2"/>
          </w:tcPr>
          <w:p>
            <w:pPr>
              <w:ind w:left="980"/>
              <w:spacing w:after="0"/>
              <w:rPr>
                <w:sz w:val="20"/>
                <w:szCs w:val="20"/>
                <w:color w:val="auto"/>
              </w:rPr>
            </w:pPr>
            <w:r>
              <w:rPr>
                <w:rFonts w:ascii="Arial" w:cs="Arial" w:eastAsia="Arial" w:hAnsi="Arial"/>
                <w:sz w:val="16"/>
                <w:szCs w:val="16"/>
                <w:color w:val="auto"/>
              </w:rPr>
              <w:t>Kfar Saba</w:t>
            </w:r>
          </w:p>
        </w:tc>
        <w:tc>
          <w:tcPr>
            <w:tcW w:w="1240" w:type="dxa"/>
            <w:vAlign w:val="bottom"/>
            <w:gridSpan w:val="2"/>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167,000</w:t>
            </w:r>
          </w:p>
        </w:tc>
        <w:tc>
          <w:tcPr>
            <w:tcW w:w="10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Tefen</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Owned</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64,000</w:t>
            </w:r>
          </w:p>
        </w:tc>
        <w:tc>
          <w:tcPr>
            <w:tcW w:w="100" w:type="dxa"/>
            <w:vAlign w:val="bottom"/>
            <w:shd w:val="clear" w:color="auto" w:fill="CCEEFF"/>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We also lease office space in various other locations throughout the world primarily for R&amp;D, sales, operations, administration and technical support. We believe our present facilities are adequate for our current needs, although we upgrade our facilities from time to time to meet anticipated future technological and market requirements. In general, new manufacturing facilities can be developed and become operational within approximately nine to eighteen months should we require such additional facilities.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For a description of our legal proceedings, see Part II, Item 8, Note 17,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Consolidated Financial Statements included in this Annual Report on Form 10-K.</w:t>
      </w: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Our common stock is listed on the Nasdaq Global Select Market (“Nasdaq”) under the symbol “WDC.” The approximate number of holders of record of our common stock as of August 18, 2021 was 893.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 xml:space="preserve">In April 2020, we suspended our quarterly cash dividend. For more information about our dividend policy see Part II, Item 7,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 - Short and Long-term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July 2, 2021. The graph assumes that $100 was invested in our common stock at the close of market on July 1, 2016 and that all dividends were reinvested. Stockholder returns over the indicated period should not be considered indicative of future stockholder returns.</w:t>
      </w:r>
    </w:p>
    <w:p>
      <w:pPr>
        <w:ind w:left="4180"/>
        <w:spacing w:after="0"/>
        <w:rPr>
          <w:sz w:val="20"/>
          <w:szCs w:val="20"/>
          <w:color w:val="auto"/>
        </w:rPr>
      </w:pPr>
      <w:r>
        <w:rPr>
          <w:rFonts w:ascii="Arial" w:cs="Arial" w:eastAsia="Arial" w:hAnsi="Arial"/>
          <w:sz w:val="18"/>
          <w:szCs w:val="18"/>
          <w:b w:val="1"/>
          <w:bCs w:val="1"/>
          <w:color w:val="auto"/>
        </w:rPr>
        <w:t>TOTAL RETURN TO STOCKHOLDERS</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(Assumes $100 investment at market close on July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3810</wp:posOffset>
            </wp:positionV>
            <wp:extent cx="4417060" cy="3399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17060" cy="339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w:t>
            </w:r>
          </w:p>
        </w:tc>
        <w:tc>
          <w:tcPr>
            <w:tcW w:w="180" w:type="dxa"/>
            <w:vAlign w:val="bottom"/>
          </w:tcPr>
          <w:p>
            <w:pPr>
              <w:spacing w:after="0"/>
              <w:rPr>
                <w:sz w:val="14"/>
                <w:szCs w:val="14"/>
                <w:color w:val="auto"/>
              </w:rPr>
            </w:pPr>
          </w:p>
        </w:tc>
        <w:tc>
          <w:tcPr>
            <w:tcW w:w="740" w:type="dxa"/>
            <w:vAlign w:val="bottom"/>
          </w:tcPr>
          <w:p>
            <w:pPr>
              <w:jc w:val="right"/>
              <w:ind w:right="184"/>
              <w:spacing w:after="0"/>
              <w:rPr>
                <w:sz w:val="20"/>
                <w:szCs w:val="20"/>
                <w:color w:val="auto"/>
              </w:rPr>
            </w:pPr>
            <w:r>
              <w:rPr>
                <w:rFonts w:ascii="Arial" w:cs="Arial" w:eastAsia="Arial" w:hAnsi="Arial"/>
                <w:sz w:val="14"/>
                <w:szCs w:val="14"/>
                <w:b w:val="1"/>
                <w:bCs w:val="1"/>
                <w:color w:val="auto"/>
              </w:rPr>
              <w:t>July 2,</w:t>
            </w:r>
          </w:p>
        </w:tc>
      </w:tr>
      <w:tr>
        <w:trPr>
          <w:trHeight w:val="185"/>
        </w:trPr>
        <w:tc>
          <w:tcPr>
            <w:tcW w:w="5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r>
      <w:tr>
        <w:trPr>
          <w:trHeight w:val="20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Western Digital Corporation</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112.54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171.09</w:t>
            </w: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117.90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134.84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148.89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160.06</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225.36</w:t>
            </w: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 Jones U.S. Technology Hardware &amp; Equipment Index</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198.37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445.95</w:t>
            </w:r>
          </w:p>
        </w:tc>
      </w:tr>
    </w:tbl>
    <w:p>
      <w:pPr>
        <w:spacing w:after="0" w:line="313"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38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0"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of this Annual Report on Form 10-K. See also “Forward-Looking Statements” immediately prior to Part I, Item 1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0"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204"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Our fiscal year ends on the Friday nearest to June 30 and typically consists of 52 weeks. Approximately every five to six years, we report a 53-week fiscal year to align the fiscal year with the foregoing policy. Fiscal years 2021 and 2019, which ended on July 2, 2021 and June 28, 2019, respectively, are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Structure</w:t>
      </w:r>
    </w:p>
    <w:p>
      <w:pPr>
        <w:spacing w:after="0" w:line="244"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Late in the first quarter of fiscal 2021, we announced a decision to reorganize our business by forming two separate product business units: flash-based products and hard disk drives (“HDD”). The new structure is intended to provide each business unit with focus and responsibility for identifying current and future customer requirements while driving the strategy, roadmap, pricing and overall profitability for their respective product areas. In the second fiscal quarter, to align with the new operating model and business structure, we began making management organizational changes and are implementing new reporting modules and processes to provide discrete information to manage the business. We are evaluating the impact of these changes on our discussion and analysis of our financial condition and results of operations and expect to modify our disclosures to align with this structure when the implementations and assessments are completed, which is expected to be in the first quarter of fiscal 2022.</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COVID-19 Pandemic and Operational Update</w:t>
      </w:r>
    </w:p>
    <w:p>
      <w:pPr>
        <w:spacing w:after="0" w:line="24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As a result of the ongoing COVID-19 pandemic, governments and other authorities around the world, including federal, state and local authorities in the United States, have from time-to-time imposed measures intended to reduce its spread, including restrictions on freedom of movement and business operations such as travel bans, border closings, business limitations and closures (subject to exceptions for essential operations and businesses), quarantines and shelter-in-place orders. Although some of these governmental restrictions have since been lifted or scaled back, a resurgence of COVID-19 infections could result in the re-imposition of certain restrictions in efforts to reduce further spread of COVID-19. We have taken actions to protect the health and safety of our employees while continuing to serve our global customers as an essential business. We have implemented and maintained more thorough sanitation practices as outlined by health organizations and supported vaccination efforts. As we begin to phase in a return to site for more employees, we are monitoring and adopting practices recommended by health organizations to ensure the continued safety of our employees and business partners. In addition, the responses to COVID-19 taken by others in the supply chain have increased the costs of their services which have in turn impacted our operations. As a result, we have incurred charges of approximately $127 million primarily related to higher logistics during the year ended July 2, 2021, which were recorded in cost of revenue.</w:t>
      </w:r>
    </w:p>
    <w:p>
      <w:pPr>
        <w:spacing w:after="0" w:line="214"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As an essential business, we continue to provide products and solutions that enable the proliferation of data and facilitate the sharing of information remotely, which has become more critical as much of the world is interacting from areas of self-isolation. Generally, our revenues have remained solid during the pandemic, supported by continued work-from-home, distance learning, and at-home entertainment demand. However, the COVID-19 environment remains dynamic and we cannot predict the duration of the pandemic and how demand may change as it continues to develop.</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 xml:space="preserve">We will continue to actively monitor the situation and may take further actions altering our business operations that we determine are in the best interests of our employees, customers, partners, suppliers, and stakeholders, or as required by federal, state, or local authorities. See “The COVID-19 pandemic could negatively affect our business”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for more information regarding the risks we face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34" w:name="page35"/>
    <w:bookmarkEnd w:id="34"/>
    <w:p>
      <w:pPr>
        <w:ind w:left="6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Summary Comparison of 2021, 2020 and 2019</w:t>
      </w:r>
    </w:p>
    <w:p>
      <w:pPr>
        <w:spacing w:after="0" w:line="244" w:lineRule="exact"/>
        <w:rPr>
          <w:sz w:val="20"/>
          <w:szCs w:val="20"/>
          <w:color w:val="auto"/>
        </w:rPr>
      </w:pPr>
    </w:p>
    <w:p>
      <w:pPr>
        <w:ind w:left="60" w:right="240" w:firstLine="318"/>
        <w:spacing w:after="0" w:line="244" w:lineRule="auto"/>
        <w:rPr>
          <w:sz w:val="20"/>
          <w:szCs w:val="20"/>
          <w:color w:val="auto"/>
        </w:rPr>
      </w:pPr>
      <w:r>
        <w:rPr>
          <w:rFonts w:ascii="Arial" w:cs="Arial" w:eastAsia="Arial" w:hAnsi="Arial"/>
          <w:sz w:val="18"/>
          <w:szCs w:val="18"/>
          <w:color w:val="auto"/>
        </w:rPr>
        <w:t>The following table sets forth, for the periods presented, selected summary information from our Consolidated Statements of Operations by dollars and percentage of net revenue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29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i w:val="1"/>
                <w:iCs w:val="1"/>
                <w:color w:val="auto"/>
                <w:w w:val="95"/>
              </w:rPr>
              <w:t>(in millions, except percentages)</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net</w:t>
            </w:r>
          </w:p>
        </w:tc>
        <w:tc>
          <w:tcPr>
            <w:tcW w:w="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16,922</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16,736</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16,569</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Cost of revenue</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12,401</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73.3</w:t>
            </w:r>
          </w:p>
        </w:tc>
        <w:tc>
          <w:tcPr>
            <w:tcW w:w="4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12,955</w:t>
            </w:r>
          </w:p>
        </w:tc>
        <w:tc>
          <w:tcPr>
            <w:tcW w:w="1160" w:type="dxa"/>
            <w:vAlign w:val="bottom"/>
            <w:tcBorders>
              <w:bottom w:val="single" w:sz="8" w:color="CCEEFF"/>
            </w:tcBorders>
          </w:tcPr>
          <w:p>
            <w:pPr>
              <w:jc w:val="right"/>
              <w:ind w:right="241"/>
              <w:spacing w:after="0"/>
              <w:rPr>
                <w:sz w:val="20"/>
                <w:szCs w:val="20"/>
                <w:color w:val="auto"/>
              </w:rPr>
            </w:pPr>
            <w:r>
              <w:rPr>
                <w:rFonts w:ascii="Arial" w:cs="Arial" w:eastAsia="Arial" w:hAnsi="Arial"/>
                <w:sz w:val="16"/>
                <w:szCs w:val="16"/>
                <w:color w:val="auto"/>
              </w:rPr>
              <w:t>77.4</w:t>
            </w: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12,817</w:t>
            </w: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77.4</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Gross profit</w:t>
            </w:r>
          </w:p>
        </w:tc>
        <w:tc>
          <w:tcPr>
            <w:tcW w:w="6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26.7</w:t>
            </w: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22.6</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340"/>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Research and development</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13.5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46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1,105</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6.5</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1,153</w:t>
            </w:r>
          </w:p>
        </w:tc>
        <w:tc>
          <w:tcPr>
            <w:tcW w:w="1160" w:type="dxa"/>
            <w:vAlign w:val="bottom"/>
          </w:tcPr>
          <w:p>
            <w:pPr>
              <w:jc w:val="right"/>
              <w:ind w:right="241"/>
              <w:spacing w:after="0"/>
              <w:rPr>
                <w:sz w:val="20"/>
                <w:szCs w:val="20"/>
                <w:color w:val="auto"/>
              </w:rPr>
            </w:pPr>
            <w:r>
              <w:rPr>
                <w:rFonts w:ascii="Arial" w:cs="Arial" w:eastAsia="Arial" w:hAnsi="Arial"/>
                <w:sz w:val="16"/>
                <w:szCs w:val="16"/>
                <w:color w:val="auto"/>
              </w:rPr>
              <w:t>6.9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1,317</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7.9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460"/>
              <w:spacing w:after="0" w:line="165" w:lineRule="exact"/>
              <w:rPr>
                <w:sz w:val="20"/>
                <w:szCs w:val="20"/>
                <w:color w:val="auto"/>
              </w:rPr>
            </w:pPr>
            <w:r>
              <w:rPr>
                <w:rFonts w:ascii="Arial" w:cs="Arial" w:eastAsia="Arial" w:hAnsi="Arial"/>
                <w:sz w:val="16"/>
                <w:szCs w:val="16"/>
                <w:color w:val="auto"/>
              </w:rPr>
              <w:t>Employee termination, asset</w:t>
            </w:r>
          </w:p>
        </w:tc>
        <w:tc>
          <w:tcPr>
            <w:tcW w:w="6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(0.3)</w:t>
            </w: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160" w:type="dxa"/>
            <w:vAlign w:val="bottom"/>
            <w:vMerge w:val="restart"/>
            <w:shd w:val="clear" w:color="auto" w:fill="CCEEFF"/>
          </w:tcPr>
          <w:p>
            <w:pPr>
              <w:jc w:val="right"/>
              <w:ind w:right="241"/>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and other charges</w:t>
            </w:r>
          </w:p>
        </w:tc>
        <w:tc>
          <w:tcPr>
            <w:tcW w:w="6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19.5</w:t>
            </w:r>
          </w:p>
        </w:tc>
        <w:tc>
          <w:tcPr>
            <w:tcW w:w="4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3,446</w:t>
            </w:r>
          </w:p>
        </w:tc>
        <w:tc>
          <w:tcPr>
            <w:tcW w:w="1160" w:type="dxa"/>
            <w:vAlign w:val="bottom"/>
            <w:tcBorders>
              <w:bottom w:val="single" w:sz="8" w:color="CCEEFF"/>
            </w:tcBorders>
          </w:tcPr>
          <w:p>
            <w:pPr>
              <w:jc w:val="right"/>
              <w:ind w:right="241"/>
              <w:spacing w:after="0"/>
              <w:rPr>
                <w:sz w:val="20"/>
                <w:szCs w:val="20"/>
                <w:color w:val="auto"/>
              </w:rPr>
            </w:pPr>
            <w:r>
              <w:rPr>
                <w:rFonts w:ascii="Arial" w:cs="Arial" w:eastAsia="Arial" w:hAnsi="Arial"/>
                <w:sz w:val="16"/>
                <w:szCs w:val="16"/>
                <w:color w:val="auto"/>
              </w:rPr>
              <w:t>20.6</w:t>
            </w:r>
          </w:p>
        </w:tc>
        <w:tc>
          <w:tcPr>
            <w:tcW w:w="3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3,665</w:t>
            </w: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22.1</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7.2</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340"/>
              <w:spacing w:after="0"/>
              <w:rPr>
                <w:sz w:val="20"/>
                <w:szCs w:val="20"/>
                <w:color w:val="auto"/>
              </w:rPr>
            </w:pPr>
            <w:r>
              <w:rPr>
                <w:rFonts w:ascii="Arial" w:cs="Arial" w:eastAsia="Arial" w:hAnsi="Arial"/>
                <w:sz w:val="16"/>
                <w:szCs w:val="16"/>
                <w:color w:val="auto"/>
                <w:w w:val="98"/>
              </w:rPr>
              <w:t>Interest and other income (expense):</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income</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460"/>
              <w:spacing w:after="0"/>
              <w:rPr>
                <w:sz w:val="20"/>
                <w:szCs w:val="20"/>
                <w:color w:val="auto"/>
              </w:rPr>
            </w:pPr>
            <w:r>
              <w:rPr>
                <w:rFonts w:ascii="Arial" w:cs="Arial" w:eastAsia="Arial" w:hAnsi="Arial"/>
                <w:sz w:val="16"/>
                <w:szCs w:val="16"/>
                <w:color w:val="auto"/>
              </w:rPr>
              <w:t>Interest expense</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(326)</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(413)</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(469)</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income, net</w:t>
            </w:r>
          </w:p>
        </w:tc>
        <w:tc>
          <w:tcPr>
            <w:tcW w:w="6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0.2</w:t>
            </w: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w w:val="91"/>
              </w:rPr>
              <w:t>Total interest and other expense, net</w:t>
            </w: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6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16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rPr>
              <w:t>(2.3)</w:t>
            </w:r>
          </w:p>
        </w:tc>
        <w:tc>
          <w:tcPr>
            <w:tcW w:w="3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4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(2.3)</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before taxes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5.5</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1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expense</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0.6</w:t>
            </w:r>
          </w:p>
        </w:tc>
        <w:tc>
          <w:tcPr>
            <w:tcW w:w="4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160" w:type="dxa"/>
            <w:vAlign w:val="bottom"/>
            <w:tcBorders>
              <w:bottom w:val="single" w:sz="8" w:color="CCEEFF"/>
            </w:tcBorders>
          </w:tcPr>
          <w:p>
            <w:pPr>
              <w:jc w:val="right"/>
              <w:ind w:right="241"/>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2.8</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w:t>
            </w:r>
          </w:p>
        </w:tc>
        <w:tc>
          <w:tcPr>
            <w:tcW w:w="6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4.9</w:t>
            </w:r>
          </w:p>
        </w:tc>
        <w:tc>
          <w:tcPr>
            <w:tcW w:w="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1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26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for the periods presented, summary information regarding our revenue: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Year Ended</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3"/>
        </w:trPr>
        <w:tc>
          <w:tcPr>
            <w:tcW w:w="65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177"/>
        </w:trPr>
        <w:tc>
          <w:tcPr>
            <w:tcW w:w="6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6580" w:type="dxa"/>
            <w:vAlign w:val="bottom"/>
          </w:tcPr>
          <w:p>
            <w:pPr>
              <w:ind w:left="140"/>
              <w:spacing w:after="0"/>
              <w:rPr>
                <w:sz w:val="20"/>
                <w:szCs w:val="20"/>
                <w:color w:val="auto"/>
              </w:rPr>
            </w:pPr>
            <w:r>
              <w:rPr>
                <w:rFonts w:ascii="Arial" w:cs="Arial" w:eastAsia="Arial" w:hAnsi="Arial"/>
                <w:sz w:val="16"/>
                <w:szCs w:val="16"/>
                <w:color w:val="auto"/>
              </w:rPr>
              <w:t>HDD</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8,216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8,967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8,746</w:t>
            </w:r>
          </w:p>
        </w:tc>
      </w:tr>
      <w:tr>
        <w:trPr>
          <w:trHeight w:val="214"/>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Flash-based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7,769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7,823</w:t>
            </w:r>
          </w:p>
        </w:tc>
      </w:tr>
      <w:tr>
        <w:trPr>
          <w:trHeight w:val="203"/>
        </w:trPr>
        <w:tc>
          <w:tcPr>
            <w:tcW w:w="658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16,922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16,736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16,569</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6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color w:val="auto"/>
              </w:rPr>
              <w:t>Revenue by End Market</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 Devices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8,095</w:t>
            </w:r>
          </w:p>
        </w:tc>
      </w:tr>
      <w:tr>
        <w:trPr>
          <w:trHeight w:val="209"/>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Data Center Devices &amp; Solutions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r>
      <w:tr>
        <w:trPr>
          <w:trHeight w:val="205"/>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 Solutions</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3,348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r>
      <w:tr>
        <w:trPr>
          <w:trHeight w:val="208"/>
        </w:trPr>
        <w:tc>
          <w:tcPr>
            <w:tcW w:w="658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16,922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16,736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16,569</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6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color w:val="auto"/>
              </w:rPr>
              <w:t>Revenue by Geography</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w:t>
            </w:r>
          </w:p>
        </w:tc>
      </w:tr>
      <w:tr>
        <w:trPr>
          <w:trHeight w:val="210"/>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w:t>
            </w:r>
          </w:p>
        </w:tc>
      </w:tr>
      <w:tr>
        <w:trPr>
          <w:trHeight w:val="208"/>
        </w:trPr>
        <w:tc>
          <w:tcPr>
            <w:tcW w:w="6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8,366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9,099</w:t>
            </w:r>
          </w:p>
        </w:tc>
      </w:tr>
      <w:tr>
        <w:trPr>
          <w:trHeight w:val="203"/>
        </w:trPr>
        <w:tc>
          <w:tcPr>
            <w:tcW w:w="658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16,922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16,736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16,569</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Exabytes Shipped</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Revenue</w:t>
      </w:r>
    </w:p>
    <w:p>
      <w:pPr>
        <w:spacing w:after="0" w:line="244"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Net revenue increased 1% in 2021 compared to 2020, which reflects approximately 13 percentage points increase in revenue related to higher exabyte volume of flash sold, largely offset by lower average selling price per gigabyte.</w:t>
      </w:r>
    </w:p>
    <w:p>
      <w:pPr>
        <w:spacing w:after="0" w:line="207"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Client Devices revenue increased 15% year over year, reflecting a 22% increase from a higher volume of flash products sold. This increase in flash volume was driven by continued strength in demand for notebook and Chromebooks, gaming, smart home devices, automotive and industrial applications. This increase was partially offset by lower average selling price per gigabyte, primarily in flash.</w:t>
      </w:r>
    </w:p>
    <w:p>
      <w:pPr>
        <w:spacing w:after="0" w:line="215" w:lineRule="exact"/>
        <w:rPr>
          <w:sz w:val="20"/>
          <w:szCs w:val="20"/>
          <w:color w:val="auto"/>
        </w:rPr>
      </w:pPr>
    </w:p>
    <w:p>
      <w:pPr>
        <w:ind w:right="180" w:firstLine="318"/>
        <w:spacing w:after="0" w:line="305" w:lineRule="auto"/>
        <w:rPr>
          <w:sz w:val="20"/>
          <w:szCs w:val="20"/>
          <w:color w:val="auto"/>
        </w:rPr>
      </w:pPr>
      <w:r>
        <w:rPr>
          <w:rFonts w:ascii="Arial" w:cs="Arial" w:eastAsia="Arial" w:hAnsi="Arial"/>
          <w:sz w:val="15"/>
          <w:szCs w:val="15"/>
          <w:color w:val="auto"/>
        </w:rPr>
        <w:t>Data Center Devices and Solutions revenue decreased 20% year over year. Lower exabytes of storage sold for HDD and flash each contributed approximately 7 percentage points to the revenue decline, while lower average selling price per gigabyte, primarily in HDD products, contributed another 6 percentage points to the decline. Year-over-year volume was negatively impacted by cloud digestion and China shipment restrictions, and delays in product qualifications with certain customers earlier in the year. The impacts of cloud digestion have abated and we have now completed qualifications with all our cloud titan customers. In flash, we are beginning to see growth with our second generation, NVMe enterprise SSD at several cloud titans and are ramping production more broadly. In HDD, we are experiencing a resurgence of demand driven by the successful ramp of our 18-terabyte energy-assisted hard drive, growing cloud demand, a recovery in enterprise spending, and to a lesser extent, cryptocurrency, driven by Chia. We believe the strong demand from our cloud customers and beginning of a recovery in the enterprise demand continues to positively impact results.</w:t>
      </w:r>
    </w:p>
    <w:p>
      <w:pPr>
        <w:spacing w:after="0" w:line="181" w:lineRule="exact"/>
        <w:rPr>
          <w:sz w:val="20"/>
          <w:szCs w:val="20"/>
          <w:color w:val="auto"/>
        </w:rPr>
      </w:pPr>
    </w:p>
    <w:p>
      <w:pPr>
        <w:ind w:right="160" w:firstLine="318"/>
        <w:spacing w:after="0" w:line="277" w:lineRule="auto"/>
        <w:rPr>
          <w:sz w:val="20"/>
          <w:szCs w:val="20"/>
          <w:color w:val="auto"/>
        </w:rPr>
      </w:pPr>
      <w:r>
        <w:rPr>
          <w:rFonts w:ascii="Arial" w:cs="Arial" w:eastAsia="Arial" w:hAnsi="Arial"/>
          <w:sz w:val="17"/>
          <w:szCs w:val="17"/>
          <w:color w:val="auto"/>
        </w:rPr>
        <w:t>Client Solutions revenue increased 11% year over year, which reflects an increase of approximately 16 percentage points due to exabyte growth, split evenly between HDD and Flash products, which was partially offset by lower average selling price per gigabyte. Client Solutions remains a high performing end market, reflecting our brand recognition, broad product portfolio and extensive distribution channels to markets.</w:t>
      </w:r>
    </w:p>
    <w:p>
      <w:pPr>
        <w:spacing w:after="0" w:line="19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changes in net revenue by geography reflect an increase in Asia due to our increased sales of mobility products to manufacturers in the Asia region, and a decrease in Americas driven by lower sales of capacity enterprise products.</w:t>
      </w:r>
    </w:p>
    <w:p>
      <w:pPr>
        <w:spacing w:after="0" w:line="207"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For 2021, 2020 and 2019, our top 10 customers accounted for 39%, 42% and 45%, respectively, of our net revenue. For each of 2021, 2020 and 2019, no single customer accounted for 10% or more of our net revenue.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Consistent with standard industry practice, we have sales incentive and marketing programs that provide customers with price protection and other incentives or reimbursements that are recorded as a reduction to gross revenue. For 2021, 2020 and 2019, these programs represented 19%, 16% and 15%, respectively, of gross revenues, and adjustments to revenue due to changes in accruals for these programs have generally averaged less than 1% of gross revenue over the last three fiscal years.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Gross Profit and Gross Margin</w:t>
      </w:r>
    </w:p>
    <w:p>
      <w:pPr>
        <w:spacing w:after="0" w:line="24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Gross profit increased $740 million, or 19.6%, in 2021 compared to 2020, which reflected a $279 million decrease in charges for amortization expense on acquired intangible assets, $143 million improvement related to power outage charges of $68 million incurred in 2020 combined with a $75 million recovery in the current year as well as incremental profit from the increase in volume. As a percent of revenue, gross margin increased by 4.1 percentage points over the prior year of which 2.5 percentage points reflected the impact of the change in power outage charges and lower charges for amortization expense. In addition, as we ramped production on new products, cost reduction also contributed to the increase in gross margin.</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Research and development (“R&amp;D”) expense decreased $18 million in 2021 compared to 2020. The decrease was driven by lower facility costs of approximately $50 million due to restructuring and cost initiatives and approximately $20 million of lower travel related expenses due to COVID-19 restrictions, partially offset by higher employee compensation cost for additional headcount as we invested in research and development, and higher variable compensation cost due to improved earnings.</w:t>
      </w:r>
    </w:p>
    <w:p>
      <w:pPr>
        <w:spacing w:after="0" w:line="217"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Selling, general and administrative (“SG&amp;A”) expense decreased $48 million in 2021 compared to 2020. The decline was primarily driven by a $50 million reduction in expenses related to travel, marketing and outside services as a result of COVID-19 restrictions.</w:t>
      </w:r>
    </w:p>
    <w:p>
      <w:pPr>
        <w:spacing w:after="0" w:line="207"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 xml:space="preserve">The gains recognized in Employee termination, asset impairment and other charges compared to the losses in the prior year primarily reflect gains on the disposal of assets associated with our business realignment activities. For additional information regarding employee termination, asset impairment and other charges, see Part II, Item 8, Note 16,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Consolidated Financial Statements included in this Annual Report on Form 10-K.</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and Other Income (Expense)</w:t>
      </w:r>
    </w:p>
    <w:p>
      <w:pPr>
        <w:spacing w:after="0" w:line="244"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decreases in total interest and other expense, net in 2021 compared to 2020 primarily reflects a decrease in interest expense resulting from lower index rates and the pay-down of principal on our debt during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income tax information from our Consolidated Statements of Operations by dollar and effective tax rate: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r>
      <w:tr>
        <w:trPr>
          <w:trHeight w:val="208"/>
        </w:trPr>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gridSpan w:val="3"/>
          </w:tcPr>
          <w:p>
            <w:pPr>
              <w:jc w:val="right"/>
              <w:ind w:right="561"/>
              <w:spacing w:after="0"/>
              <w:rPr>
                <w:sz w:val="20"/>
                <w:szCs w:val="20"/>
                <w:color w:val="auto"/>
              </w:rPr>
            </w:pPr>
            <w:r>
              <w:rPr>
                <w:rFonts w:ascii="Arial" w:cs="Arial" w:eastAsia="Arial" w:hAnsi="Arial"/>
                <w:sz w:val="16"/>
                <w:szCs w:val="16"/>
                <w:i w:val="1"/>
                <w:iCs w:val="1"/>
                <w:color w:val="auto"/>
                <w:w w:val="95"/>
              </w:rPr>
              <w:t>(in millions, except percentages)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4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before taxes</w:t>
            </w:r>
          </w:p>
        </w:tc>
        <w:tc>
          <w:tcPr>
            <w:tcW w:w="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927</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(46)</w:t>
            </w:r>
          </w:p>
        </w:tc>
        <w:tc>
          <w:tcPr>
            <w:tcW w:w="11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left="263"/>
              <w:spacing w:after="0"/>
              <w:rPr>
                <w:sz w:val="20"/>
                <w:szCs w:val="20"/>
                <w:color w:val="auto"/>
              </w:rPr>
            </w:pPr>
            <w:r>
              <w:rPr>
                <w:rFonts w:ascii="Arial" w:cs="Arial" w:eastAsia="Arial" w:hAnsi="Arial"/>
                <w:sz w:val="16"/>
                <w:szCs w:val="16"/>
                <w:color w:val="auto"/>
                <w:w w:val="90"/>
              </w:rPr>
              <w:t>(287)</w:t>
            </w:r>
          </w:p>
        </w:tc>
        <w:tc>
          <w:tcPr>
            <w:tcW w:w="320" w:type="dxa"/>
            <w:vAlign w:val="bottom"/>
            <w:shd w:val="clear" w:color="auto" w:fill="CCEEFF"/>
          </w:tcPr>
          <w:p>
            <w:pPr>
              <w:spacing w:after="0"/>
              <w:rPr>
                <w:sz w:val="18"/>
                <w:szCs w:val="18"/>
                <w:color w:val="auto"/>
              </w:rPr>
            </w:pPr>
          </w:p>
        </w:tc>
      </w:tr>
      <w:tr>
        <w:trPr>
          <w:trHeight w:val="209"/>
        </w:trPr>
        <w:tc>
          <w:tcPr>
            <w:tcW w:w="492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720" w:type="dxa"/>
            <w:vAlign w:val="bottom"/>
          </w:tcPr>
          <w:p>
            <w:pPr>
              <w:spacing w:after="0"/>
              <w:rPr>
                <w:sz w:val="18"/>
                <w:szCs w:val="18"/>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106</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204</w:t>
            </w:r>
          </w:p>
        </w:tc>
        <w:tc>
          <w:tcPr>
            <w:tcW w:w="1160" w:type="dxa"/>
            <w:vAlign w:val="bottom"/>
          </w:tcPr>
          <w:p>
            <w:pPr>
              <w:spacing w:after="0"/>
              <w:rPr>
                <w:sz w:val="18"/>
                <w:szCs w:val="18"/>
                <w:color w:val="auto"/>
              </w:rPr>
            </w:pPr>
          </w:p>
        </w:tc>
        <w:tc>
          <w:tcPr>
            <w:tcW w:w="1000" w:type="dxa"/>
            <w:vAlign w:val="bottom"/>
          </w:tcPr>
          <w:p>
            <w:pPr>
              <w:jc w:val="center"/>
              <w:ind w:left="283"/>
              <w:spacing w:after="0"/>
              <w:rPr>
                <w:sz w:val="20"/>
                <w:szCs w:val="20"/>
                <w:color w:val="auto"/>
              </w:rPr>
            </w:pPr>
            <w:r>
              <w:rPr>
                <w:rFonts w:ascii="Arial" w:cs="Arial" w:eastAsia="Arial" w:hAnsi="Arial"/>
                <w:sz w:val="16"/>
                <w:szCs w:val="16"/>
                <w:color w:val="auto"/>
                <w:w w:val="89"/>
              </w:rPr>
              <w:t>467</w:t>
            </w:r>
          </w:p>
        </w:tc>
        <w:tc>
          <w:tcPr>
            <w:tcW w:w="320" w:type="dxa"/>
            <w:vAlign w:val="bottom"/>
          </w:tcPr>
          <w:p>
            <w:pPr>
              <w:spacing w:after="0"/>
              <w:rPr>
                <w:sz w:val="18"/>
                <w:szCs w:val="18"/>
                <w:color w:val="auto"/>
              </w:rPr>
            </w:pPr>
          </w:p>
        </w:tc>
      </w:tr>
      <w:tr>
        <w:trPr>
          <w:trHeight w:val="214"/>
        </w:trPr>
        <w:tc>
          <w:tcPr>
            <w:tcW w:w="4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tax rate</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(443)</w:t>
            </w:r>
          </w:p>
        </w:tc>
        <w:tc>
          <w:tcPr>
            <w:tcW w:w="11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left="263"/>
              <w:spacing w:after="0"/>
              <w:rPr>
                <w:sz w:val="20"/>
                <w:szCs w:val="20"/>
                <w:color w:val="auto"/>
              </w:rPr>
            </w:pPr>
            <w:r>
              <w:rPr>
                <w:rFonts w:ascii="Arial" w:cs="Arial" w:eastAsia="Arial" w:hAnsi="Arial"/>
                <w:sz w:val="16"/>
                <w:szCs w:val="16"/>
                <w:color w:val="auto"/>
                <w:w w:val="90"/>
              </w:rPr>
              <w:t>(163)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19"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primary drivers of the difference between the effective tax rate for 2021 and the U.S. Federal statutory rate of 21% are the relative mix of earnings and losses by jurisdiction, the deduction for foreign derived intangible income, credits and tax holidays in Malaysia, Philippines and Thailand that will expire at various dates during fiscal years 2021 through 2031.</w:t>
      </w:r>
    </w:p>
    <w:p>
      <w:pPr>
        <w:spacing w:after="0" w:line="215"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The primary drivers of the difference between the effective tax rate for 2020 and the U.S. Federal statutory rate of 21% are the relative mix of earnings and losses by jurisdiction, the deduction for foreign derived intangible income, credits and tax holidays in Malaysia, Philippines and Thailand that will expire at various dates during fiscal years 2021 through 2030. In addition, the effective tax rate for 2020 includes the discrete effect of a de-recognition of $31 million for certain deferred tax assets associated with creditable foreign withholding taxes due to the issuance of final regulatory guidance. The regulatory guidance does not preclude us from potentially claiming these creditable taxes as a period benefit when paid.</w:t>
      </w:r>
    </w:p>
    <w:p>
      <w:pPr>
        <w:spacing w:after="0" w:line="177"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84"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 xml:space="preserve">For additional information regarding Income tax expense (benefit), see Part II, Item 8, Note 14,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this Annual Report on Form 10-K.</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discussion of our results of operations for 2019, including a comparison of such results of operations to 2020, is included in Part II, Item 7,</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 included in our Annual Report on Form 10-K for the year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July 3, 2020 filed with the Securities and Exchange Commission on August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r>
      <w:tr>
        <w:trPr>
          <w:trHeight w:val="181"/>
        </w:trPr>
        <w:tc>
          <w:tcPr>
            <w:tcW w:w="6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6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(used in):</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000" w:type="dxa"/>
            <w:vAlign w:val="bottom"/>
          </w:tcPr>
          <w:p>
            <w:pPr>
              <w:ind w:left="460"/>
              <w:spacing w:after="0"/>
              <w:rPr>
                <w:sz w:val="20"/>
                <w:szCs w:val="20"/>
                <w:color w:val="auto"/>
              </w:rPr>
            </w:pPr>
            <w:r>
              <w:rPr>
                <w:rFonts w:ascii="Arial" w:cs="Arial" w:eastAsia="Arial" w:hAnsi="Arial"/>
                <w:sz w:val="16"/>
                <w:szCs w:val="16"/>
                <w:color w:val="auto"/>
              </w:rPr>
              <w:t>Operating activities</w:t>
            </w:r>
          </w:p>
        </w:tc>
        <w:tc>
          <w:tcPr>
            <w:tcW w:w="1200" w:type="dxa"/>
            <w:vAlign w:val="bottom"/>
          </w:tcPr>
          <w:p>
            <w:pPr>
              <w:jc w:val="right"/>
              <w:ind w:right="703"/>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1,898</w:t>
            </w:r>
          </w:p>
        </w:tc>
        <w:tc>
          <w:tcPr>
            <w:tcW w:w="10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6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1,547</w:t>
            </w:r>
          </w:p>
        </w:tc>
      </w:tr>
      <w:tr>
        <w:trPr>
          <w:trHeight w:val="214"/>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Investing activities</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210"/>
        </w:trPr>
        <w:tc>
          <w:tcPr>
            <w:tcW w:w="6000" w:type="dxa"/>
            <w:vAlign w:val="bottom"/>
          </w:tcPr>
          <w:p>
            <w:pPr>
              <w:ind w:left="460"/>
              <w:spacing w:after="0"/>
              <w:rPr>
                <w:sz w:val="20"/>
                <w:szCs w:val="20"/>
                <w:color w:val="auto"/>
              </w:rPr>
            </w:pPr>
            <w:r>
              <w:rPr>
                <w:rFonts w:ascii="Arial" w:cs="Arial" w:eastAsia="Arial" w:hAnsi="Arial"/>
                <w:sz w:val="16"/>
                <w:szCs w:val="16"/>
                <w:color w:val="auto"/>
              </w:rPr>
              <w:t>Financing activities</w:t>
            </w: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(1,829)</w:t>
            </w:r>
          </w:p>
        </w:tc>
      </w:tr>
      <w:tr>
        <w:trPr>
          <w:trHeight w:val="212"/>
        </w:trPr>
        <w:tc>
          <w:tcPr>
            <w:tcW w:w="6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6000" w:type="dxa"/>
            <w:vAlign w:val="bottom"/>
          </w:tcPr>
          <w:p>
            <w:pPr>
              <w:ind w:left="340"/>
              <w:spacing w:after="0"/>
              <w:rPr>
                <w:sz w:val="20"/>
                <w:szCs w:val="20"/>
                <w:color w:val="auto"/>
              </w:rPr>
            </w:pPr>
            <w:r>
              <w:rPr>
                <w:rFonts w:ascii="Arial" w:cs="Arial" w:eastAsia="Arial" w:hAnsi="Arial"/>
                <w:sz w:val="16"/>
                <w:szCs w:val="16"/>
                <w:color w:val="auto"/>
              </w:rPr>
              <w:t>Net increase (decrease) in cash and cash equivalents</w:t>
            </w:r>
          </w:p>
        </w:tc>
        <w:tc>
          <w:tcPr>
            <w:tcW w:w="120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r>
      <w:tr>
        <w:trPr>
          <w:trHeight w:val="20"/>
        </w:trPr>
        <w:tc>
          <w:tcPr>
            <w:tcW w:w="6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 xml:space="preserve">We believe our cash, cash equivalents and cash generated from operations as well as our available credit facilities will be sufficient to meet our working capital, debt and capital expenditure needs for at least the next twelve months. Our ability to sustain our working capital position is subject to a number of risks that we discuss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Annual Report on Form 10-K.</w:t>
      </w:r>
    </w:p>
    <w:p>
      <w:pPr>
        <w:spacing w:after="0" w:line="215" w:lineRule="exact"/>
        <w:rPr>
          <w:sz w:val="20"/>
          <w:szCs w:val="20"/>
          <w:color w:val="auto"/>
        </w:rPr>
      </w:pPr>
    </w:p>
    <w:p>
      <w:pPr>
        <w:ind w:right="200" w:firstLine="318"/>
        <w:spacing w:after="0" w:line="263" w:lineRule="auto"/>
        <w:rPr>
          <w:sz w:val="20"/>
          <w:szCs w:val="20"/>
          <w:color w:val="auto"/>
        </w:rPr>
      </w:pPr>
      <w:r>
        <w:rPr>
          <w:rFonts w:ascii="Arial" w:cs="Arial" w:eastAsia="Arial" w:hAnsi="Arial"/>
          <w:sz w:val="17"/>
          <w:szCs w:val="17"/>
          <w:color w:val="auto"/>
        </w:rPr>
        <w:t>During fiscal 2022, we expect expenditures for property, plant and equipment for our company plus our portion of the capital expenditures by our Flash Ventures joint venture with Kioxia for its operations to aggregate to $3.1 billion. After consideration of the Flash Ventures’ lease financing of its capital expenditures and net operating cash flow, we expect net cash used for our purchases of property, plant and equipment and net activity in notes receivable relating to Flash Ventures to be a cash outflow of approximately $2.0 billion during fiscal 2022. The total expected cash to be used could vary depending on the timing and completion of various capital projects and the availability, timing and terms of related financing</w:t>
      </w:r>
      <w:r>
        <w:rPr>
          <w:rFonts w:ascii="Arial" w:cs="Arial" w:eastAsia="Arial" w:hAnsi="Arial"/>
          <w:sz w:val="17"/>
          <w:szCs w:val="17"/>
          <w:color w:val="7030A0"/>
        </w:rPr>
        <w:t>.</w:t>
      </w:r>
    </w:p>
    <w:p>
      <w:pPr>
        <w:ind w:left="320"/>
        <w:spacing w:after="0"/>
        <w:rPr>
          <w:sz w:val="20"/>
          <w:szCs w:val="20"/>
          <w:color w:val="auto"/>
        </w:rPr>
      </w:pPr>
      <w:r>
        <w:rPr>
          <w:rFonts w:ascii="Arial" w:cs="Arial" w:eastAsia="Arial" w:hAnsi="Arial"/>
          <w:sz w:val="15"/>
          <w:szCs w:val="15"/>
          <w:color w:val="auto"/>
        </w:rPr>
        <w:t>A total of $1.99 billion and $2.12 billion of our Cash and cash equivalents was held outside of the U.S. as of July 2, 2021 and July 3, 2020,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tax consequences that were not previously accrued for on the repatriation of this cash.</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Activities</w:t>
      </w:r>
    </w:p>
    <w:p>
      <w:pPr>
        <w:spacing w:after="0" w:line="244"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$175 million for 2021, as compared to $757 million for 2020.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At the end of the respective fourth quarters, the cash conversion cycles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gridSpan w:val="2"/>
          </w:tcPr>
          <w:p>
            <w:pPr>
              <w:ind w:left="732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81"/>
        </w:trPr>
        <w:tc>
          <w:tcPr>
            <w:tcW w:w="67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i w:val="1"/>
                <w:iCs w:val="1"/>
                <w:color w:val="auto"/>
                <w:w w:val="93"/>
              </w:rPr>
              <w:t>(in days)</w:t>
            </w:r>
          </w:p>
        </w:tc>
        <w:tc>
          <w:tcPr>
            <w:tcW w:w="1420" w:type="dxa"/>
            <w:vAlign w:val="bottom"/>
            <w:tcBorders>
              <w:top w:val="single" w:sz="8" w:color="auto"/>
            </w:tcBorders>
          </w:tcPr>
          <w:p>
            <w:pPr>
              <w:spacing w:after="0"/>
              <w:rPr>
                <w:sz w:val="15"/>
                <w:szCs w:val="15"/>
                <w:color w:val="auto"/>
              </w:rPr>
            </w:pPr>
          </w:p>
        </w:tc>
      </w:tr>
      <w:tr>
        <w:trPr>
          <w:trHeight w:val="215"/>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42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89"/>
              </w:rPr>
              <w:t>42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63"/>
              <w:spacing w:after="0"/>
              <w:rPr>
                <w:sz w:val="20"/>
                <w:szCs w:val="20"/>
                <w:color w:val="auto"/>
              </w:rPr>
            </w:pPr>
            <w:r>
              <w:rPr>
                <w:rFonts w:ascii="Arial" w:cs="Arial" w:eastAsia="Arial" w:hAnsi="Arial"/>
                <w:sz w:val="16"/>
                <w:szCs w:val="16"/>
                <w:color w:val="auto"/>
                <w:w w:val="89"/>
              </w:rPr>
              <w:t>50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62"/>
              <w:spacing w:after="0"/>
              <w:rPr>
                <w:sz w:val="20"/>
                <w:szCs w:val="20"/>
                <w:color w:val="auto"/>
              </w:rPr>
            </w:pPr>
            <w:r>
              <w:rPr>
                <w:rFonts w:ascii="Arial" w:cs="Arial" w:eastAsia="Arial" w:hAnsi="Arial"/>
                <w:sz w:val="16"/>
                <w:szCs w:val="16"/>
                <w:color w:val="auto"/>
                <w:w w:val="89"/>
              </w:rPr>
              <w:t>30</w:t>
            </w: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Days in inventory</w:t>
            </w:r>
          </w:p>
        </w:tc>
        <w:tc>
          <w:tcPr>
            <w:tcW w:w="420" w:type="dxa"/>
            <w:vAlign w:val="bottom"/>
          </w:tcPr>
          <w:p>
            <w:pPr>
              <w:jc w:val="center"/>
              <w:ind w:left="61"/>
              <w:spacing w:after="0"/>
              <w:rPr>
                <w:sz w:val="20"/>
                <w:szCs w:val="20"/>
                <w:color w:val="auto"/>
              </w:rPr>
            </w:pPr>
            <w:r>
              <w:rPr>
                <w:rFonts w:ascii="Arial" w:cs="Arial" w:eastAsia="Arial" w:hAnsi="Arial"/>
                <w:sz w:val="16"/>
                <w:szCs w:val="16"/>
                <w:color w:val="auto"/>
                <w:w w:val="89"/>
              </w:rPr>
              <w:t>98</w:t>
            </w:r>
          </w:p>
        </w:tc>
        <w:tc>
          <w:tcPr>
            <w:tcW w:w="120" w:type="dxa"/>
            <w:vAlign w:val="bottom"/>
          </w:tcPr>
          <w:p>
            <w:pPr>
              <w:spacing w:after="0"/>
              <w:rPr>
                <w:sz w:val="18"/>
                <w:szCs w:val="18"/>
                <w:color w:val="auto"/>
              </w:rPr>
            </w:pPr>
          </w:p>
        </w:tc>
        <w:tc>
          <w:tcPr>
            <w:tcW w:w="1420" w:type="dxa"/>
            <w:vAlign w:val="bottom"/>
          </w:tcPr>
          <w:p>
            <w:pPr>
              <w:jc w:val="center"/>
              <w:ind w:left="1063"/>
              <w:spacing w:after="0"/>
              <w:rPr>
                <w:sz w:val="20"/>
                <w:szCs w:val="20"/>
                <w:color w:val="auto"/>
              </w:rPr>
            </w:pPr>
            <w:r>
              <w:rPr>
                <w:rFonts w:ascii="Arial" w:cs="Arial" w:eastAsia="Arial" w:hAnsi="Arial"/>
                <w:sz w:val="16"/>
                <w:szCs w:val="16"/>
                <w:color w:val="auto"/>
                <w:w w:val="89"/>
              </w:rPr>
              <w:t>87</w:t>
            </w:r>
          </w:p>
        </w:tc>
        <w:tc>
          <w:tcPr>
            <w:tcW w:w="120" w:type="dxa"/>
            <w:vAlign w:val="bottom"/>
          </w:tcPr>
          <w:p>
            <w:pPr>
              <w:spacing w:after="0"/>
              <w:rPr>
                <w:sz w:val="18"/>
                <w:szCs w:val="18"/>
                <w:color w:val="auto"/>
              </w:rPr>
            </w:pPr>
          </w:p>
        </w:tc>
        <w:tc>
          <w:tcPr>
            <w:tcW w:w="1420" w:type="dxa"/>
            <w:vAlign w:val="bottom"/>
          </w:tcPr>
          <w:p>
            <w:pPr>
              <w:jc w:val="center"/>
              <w:ind w:left="1062"/>
              <w:spacing w:after="0"/>
              <w:rPr>
                <w:sz w:val="20"/>
                <w:szCs w:val="20"/>
                <w:color w:val="auto"/>
              </w:rPr>
            </w:pPr>
            <w:r>
              <w:rPr>
                <w:rFonts w:ascii="Arial" w:cs="Arial" w:eastAsia="Arial" w:hAnsi="Arial"/>
                <w:sz w:val="16"/>
                <w:szCs w:val="16"/>
                <w:color w:val="auto"/>
                <w:w w:val="89"/>
              </w:rPr>
              <w:t>94</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41"/>
              <w:spacing w:after="0"/>
              <w:rPr>
                <w:sz w:val="20"/>
                <w:szCs w:val="20"/>
                <w:color w:val="auto"/>
              </w:rPr>
            </w:pPr>
            <w:r>
              <w:rPr>
                <w:rFonts w:ascii="Arial" w:cs="Arial" w:eastAsia="Arial" w:hAnsi="Arial"/>
                <w:sz w:val="16"/>
                <w:szCs w:val="16"/>
                <w:color w:val="auto"/>
                <w:w w:val="91"/>
              </w:rPr>
              <w:t>(63)</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1043"/>
              <w:spacing w:after="0"/>
              <w:rPr>
                <w:sz w:val="20"/>
                <w:szCs w:val="20"/>
                <w:color w:val="auto"/>
              </w:rPr>
            </w:pPr>
            <w:r>
              <w:rPr>
                <w:rFonts w:ascii="Arial" w:cs="Arial" w:eastAsia="Arial" w:hAnsi="Arial"/>
                <w:sz w:val="16"/>
                <w:szCs w:val="16"/>
                <w:color w:val="auto"/>
                <w:w w:val="91"/>
              </w:rPr>
              <w:t>(67)</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1042"/>
              <w:spacing w:after="0"/>
              <w:rPr>
                <w:sz w:val="20"/>
                <w:szCs w:val="20"/>
                <w:color w:val="auto"/>
              </w:rPr>
            </w:pPr>
            <w:r>
              <w:rPr>
                <w:rFonts w:ascii="Arial" w:cs="Arial" w:eastAsia="Arial" w:hAnsi="Arial"/>
                <w:sz w:val="16"/>
                <w:szCs w:val="16"/>
                <w:color w:val="auto"/>
                <w:w w:val="91"/>
              </w:rPr>
              <w:t>(54)</w:t>
            </w:r>
          </w:p>
        </w:tc>
      </w:tr>
      <w:tr>
        <w:trPr>
          <w:trHeight w:val="208"/>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Cash conversion cycle</w:t>
            </w:r>
          </w:p>
        </w:tc>
        <w:tc>
          <w:tcPr>
            <w:tcW w:w="420" w:type="dxa"/>
            <w:vAlign w:val="bottom"/>
          </w:tcPr>
          <w:p>
            <w:pPr>
              <w:jc w:val="center"/>
              <w:ind w:left="61"/>
              <w:spacing w:after="0"/>
              <w:rPr>
                <w:sz w:val="20"/>
                <w:szCs w:val="20"/>
                <w:color w:val="auto"/>
              </w:rPr>
            </w:pPr>
            <w:r>
              <w:rPr>
                <w:rFonts w:ascii="Arial" w:cs="Arial" w:eastAsia="Arial" w:hAnsi="Arial"/>
                <w:sz w:val="16"/>
                <w:szCs w:val="16"/>
                <w:color w:val="auto"/>
                <w:w w:val="89"/>
              </w:rPr>
              <w:t>77</w:t>
            </w:r>
          </w:p>
        </w:tc>
        <w:tc>
          <w:tcPr>
            <w:tcW w:w="120" w:type="dxa"/>
            <w:vAlign w:val="bottom"/>
          </w:tcPr>
          <w:p>
            <w:pPr>
              <w:spacing w:after="0"/>
              <w:rPr>
                <w:sz w:val="18"/>
                <w:szCs w:val="18"/>
                <w:color w:val="auto"/>
              </w:rPr>
            </w:pPr>
          </w:p>
        </w:tc>
        <w:tc>
          <w:tcPr>
            <w:tcW w:w="1420" w:type="dxa"/>
            <w:vAlign w:val="bottom"/>
          </w:tcPr>
          <w:p>
            <w:pPr>
              <w:jc w:val="center"/>
              <w:ind w:left="1063"/>
              <w:spacing w:after="0"/>
              <w:rPr>
                <w:sz w:val="20"/>
                <w:szCs w:val="20"/>
                <w:color w:val="auto"/>
              </w:rPr>
            </w:pPr>
            <w:r>
              <w:rPr>
                <w:rFonts w:ascii="Arial" w:cs="Arial" w:eastAsia="Arial" w:hAnsi="Arial"/>
                <w:sz w:val="16"/>
                <w:szCs w:val="16"/>
                <w:color w:val="auto"/>
                <w:w w:val="89"/>
              </w:rPr>
              <w:t>70</w:t>
            </w:r>
          </w:p>
        </w:tc>
        <w:tc>
          <w:tcPr>
            <w:tcW w:w="120" w:type="dxa"/>
            <w:vAlign w:val="bottom"/>
          </w:tcPr>
          <w:p>
            <w:pPr>
              <w:spacing w:after="0"/>
              <w:rPr>
                <w:sz w:val="18"/>
                <w:szCs w:val="18"/>
                <w:color w:val="auto"/>
              </w:rPr>
            </w:pPr>
          </w:p>
        </w:tc>
        <w:tc>
          <w:tcPr>
            <w:tcW w:w="1420" w:type="dxa"/>
            <w:vAlign w:val="bottom"/>
          </w:tcPr>
          <w:p>
            <w:pPr>
              <w:jc w:val="center"/>
              <w:ind w:left="1062"/>
              <w:spacing w:after="0"/>
              <w:rPr>
                <w:sz w:val="20"/>
                <w:szCs w:val="20"/>
                <w:color w:val="auto"/>
              </w:rPr>
            </w:pPr>
            <w:r>
              <w:rPr>
                <w:rFonts w:ascii="Arial" w:cs="Arial" w:eastAsia="Arial" w:hAnsi="Arial"/>
                <w:sz w:val="16"/>
                <w:szCs w:val="16"/>
                <w:color w:val="auto"/>
                <w:w w:val="89"/>
              </w:rPr>
              <w:t>70</w:t>
            </w:r>
          </w:p>
        </w:tc>
      </w:tr>
      <w:tr>
        <w:trPr>
          <w:trHeight w:val="20"/>
        </w:trPr>
        <w:tc>
          <w:tcPr>
            <w:tcW w:w="6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Changes in days sales outstanding (“DSO”) are generally due to the linearity of timing of shipments. Changes in days in inventory (“DIO”) are generally related to the timing of inventory builds.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For 2021, DSO decreased by 8 days over the prior year, reflecting more linearity in the timing of shipments and more favorable customer terms, partially offset by an increase of approximately 2 days for lower factoring of receivables. We have seen no significant deterioration in our receivables as a result of COVID-19. DIO increased by 11 days over the prior year, reflecting higher stocking levels of HDD inventory to serve anticipated demand growth and better output from Flash Ventures as production ramped up at the new fabrication sites. DPO decreased by 4 days over the prior year, primarily reflecting resumptions of flash production volumes and ramp up of production of new drives as well as routine variations in the timing of purchases and payments during the period.</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Investing Activities</w:t>
      </w:r>
    </w:p>
    <w:p>
      <w:pPr>
        <w:spacing w:after="0" w:line="24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Net cash used in investing activities in 2021 primarily consisted of $1.1 billion in capital expenditures, partially offset by a $231 million net decrease in notes receivable issuances to Flash Ventures and proceeds of $143 million from the disposal of property, plant and equipment, primarily related to our business realignment activities. Net cash provided by investing activities in 2020 primarily consisted of a $931 million net decrease in notes receivable issuances to Flash Ventures, partially offset by $647 million of capital expenditures.</w:t>
      </w:r>
    </w:p>
    <w:p>
      <w:pPr>
        <w:spacing w:after="0" w:line="217"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44" w:lineRule="exact"/>
        <w:rPr>
          <w:sz w:val="20"/>
          <w:szCs w:val="20"/>
          <w:color w:val="auto"/>
        </w:rPr>
      </w:pPr>
    </w:p>
    <w:p>
      <w:pPr>
        <w:ind w:right="220" w:firstLine="318"/>
        <w:spacing w:after="0" w:line="309" w:lineRule="auto"/>
        <w:rPr>
          <w:sz w:val="20"/>
          <w:szCs w:val="20"/>
          <w:color w:val="auto"/>
        </w:rPr>
      </w:pPr>
      <w:r>
        <w:rPr>
          <w:rFonts w:ascii="Arial" w:cs="Arial" w:eastAsia="Arial" w:hAnsi="Arial"/>
          <w:sz w:val="15"/>
          <w:szCs w:val="15"/>
          <w:color w:val="auto"/>
        </w:rPr>
        <w:t>During 2021, net cash used in financing activities primarily consisted of $886 million for repayment of debt, which included $600 million in voluntary prepayments on our Term Loan B-4, and $56 million for taxes paid on vested stock awards under employee stock plans, partially offset by $134 million of cash from the issuance of stock under our employee stock plans. Net cash used in financing activities in 2020 primarily consisted of $982 million for the repayment of debt, which included $725 million in voluntary prepayments on our Term Loan B-4, $595 million to pay dividends on our common stock, and $72 million for taxes paid with respect to vested stock awards under our employee stock plans, partially offset by $141 million of cash from the issuance of stock under our employee stock plans. On July 19, 2021, we made an incremental voluntary prepayment of $150 million on our Term Loan B-4.</w:t>
      </w:r>
    </w:p>
    <w:p>
      <w:pPr>
        <w:spacing w:after="0" w:line="178"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 xml:space="preserve">A discussion of our cash flows for the year ended June 28, 2019 is included in Part II,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Liquidity and Capital Resources</w:t>
      </w:r>
      <w:r>
        <w:rPr>
          <w:rFonts w:ascii="Arial" w:cs="Arial" w:eastAsia="Arial" w:hAnsi="Arial"/>
          <w:sz w:val="18"/>
          <w:szCs w:val="18"/>
          <w:color w:val="auto"/>
        </w:rPr>
        <w:t>, included in our Annual Report on Form 10-K for the year ended July 3, 2020 filed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Securities and Exchange Commission on August 28, 2020.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 xml:space="preserve">Other than the commitments related to Flash Ventures incurred in the normal course of business and certain indemnification provisions (see “Short and Long-term Liquidity-Indemnifications”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II, Item 8, Note 9, </w:t>
      </w:r>
      <w:r>
        <w:rPr>
          <w:rFonts w:ascii="Arial" w:cs="Arial" w:eastAsia="Arial" w:hAnsi="Arial"/>
          <w:sz w:val="18"/>
          <w:szCs w:val="18"/>
          <w:i w:val="1"/>
          <w:iCs w:val="1"/>
          <w:color w:val="auto"/>
        </w:rPr>
        <w:t>Related Parties and Related Commitments and Contingencies</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July 2,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 Year (2022)</w:t>
            </w:r>
          </w:p>
        </w:tc>
        <w:tc>
          <w:tcPr>
            <w:tcW w:w="1520" w:type="dxa"/>
            <w:vAlign w:val="bottom"/>
            <w:gridSpan w:val="3"/>
          </w:tcPr>
          <w:p>
            <w:pPr>
              <w:ind w:left="380"/>
              <w:spacing w:after="0"/>
              <w:rPr>
                <w:sz w:val="20"/>
                <w:szCs w:val="20"/>
                <w:color w:val="auto"/>
              </w:rPr>
            </w:pPr>
            <w:r>
              <w:rPr>
                <w:rFonts w:ascii="Arial" w:cs="Arial" w:eastAsia="Arial" w:hAnsi="Arial"/>
                <w:sz w:val="14"/>
                <w:szCs w:val="14"/>
                <w:b w:val="1"/>
                <w:bCs w:val="1"/>
                <w:color w:val="auto"/>
              </w:rPr>
              <w:t>2-3 Years (2023-</w:t>
            </w:r>
          </w:p>
        </w:tc>
        <w:tc>
          <w:tcPr>
            <w:tcW w:w="1520" w:type="dxa"/>
            <w:vAlign w:val="bottom"/>
            <w:gridSpan w:val="3"/>
          </w:tcPr>
          <w:p>
            <w:pPr>
              <w:ind w:left="380"/>
              <w:spacing w:after="0"/>
              <w:rPr>
                <w:sz w:val="20"/>
                <w:szCs w:val="20"/>
                <w:color w:val="auto"/>
              </w:rPr>
            </w:pPr>
            <w:r>
              <w:rPr>
                <w:rFonts w:ascii="Arial" w:cs="Arial" w:eastAsia="Arial" w:hAnsi="Arial"/>
                <w:sz w:val="14"/>
                <w:szCs w:val="14"/>
                <w:b w:val="1"/>
                <w:bCs w:val="1"/>
                <w:color w:val="auto"/>
              </w:rPr>
              <w:t>4-5 Years (2025-</w:t>
            </w:r>
          </w:p>
        </w:tc>
        <w:tc>
          <w:tcPr>
            <w:tcW w:w="480" w:type="dxa"/>
            <w:vAlign w:val="bottom"/>
          </w:tcPr>
          <w:p>
            <w:pPr>
              <w:spacing w:after="0"/>
              <w:rPr>
                <w:sz w:val="14"/>
                <w:szCs w:val="14"/>
                <w:color w:val="auto"/>
              </w:rPr>
            </w:pPr>
          </w:p>
        </w:tc>
        <w:tc>
          <w:tcPr>
            <w:tcW w:w="920" w:type="dxa"/>
            <w:vAlign w:val="bottom"/>
          </w:tcPr>
          <w:p>
            <w:pPr>
              <w:jc w:val="right"/>
              <w:ind w:right="142"/>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1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5 Years (Beyond 2026)</w:t>
            </w:r>
          </w:p>
        </w:tc>
        <w:tc>
          <w:tcPr>
            <w:tcW w:w="0" w:type="dxa"/>
            <w:vAlign w:val="bottom"/>
          </w:tcPr>
          <w:p>
            <w:pPr>
              <w:spacing w:after="0"/>
              <w:rPr>
                <w:sz w:val="1"/>
                <w:szCs w:val="1"/>
                <w:color w:val="auto"/>
              </w:rPr>
            </w:pPr>
          </w:p>
        </w:tc>
      </w:tr>
      <w:tr>
        <w:trPr>
          <w:trHeight w:val="177"/>
        </w:trPr>
        <w:tc>
          <w:tcPr>
            <w:tcW w:w="15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660" w:type="dxa"/>
            <w:vAlign w:val="bottom"/>
            <w:gridSpan w:val="2"/>
            <w:shd w:val="clear" w:color="auto" w:fill="CCEEFF"/>
          </w:tcPr>
          <w:p>
            <w:pPr>
              <w:ind w:left="340"/>
              <w:spacing w:after="0" w:line="215"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0"/>
                <w:szCs w:val="20"/>
                <w:color w:val="auto"/>
                <w:vertAlign w:val="superscript"/>
              </w:rPr>
              <w:t>(1)</w:t>
            </w: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60" w:type="dxa"/>
            <w:vAlign w:val="bottom"/>
            <w:gridSpan w:val="2"/>
          </w:tcPr>
          <w:p>
            <w:pPr>
              <w:ind w:left="340"/>
              <w:spacing w:after="0"/>
              <w:rPr>
                <w:sz w:val="20"/>
                <w:szCs w:val="20"/>
                <w:color w:val="auto"/>
              </w:rPr>
            </w:pPr>
            <w:r>
              <w:rPr>
                <w:rFonts w:ascii="Arial" w:cs="Arial" w:eastAsia="Arial" w:hAnsi="Arial"/>
                <w:sz w:val="16"/>
                <w:szCs w:val="16"/>
                <w:color w:val="auto"/>
              </w:rPr>
              <w:t>Interest on debt</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66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0"/>
                <w:szCs w:val="20"/>
                <w:color w:val="auto"/>
                <w:vertAlign w:val="superscript"/>
              </w:rPr>
              <w:t>(2)</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0"/>
        </w:trPr>
        <w:tc>
          <w:tcPr>
            <w:tcW w:w="3660" w:type="dxa"/>
            <w:vAlign w:val="bottom"/>
            <w:gridSpan w:val="2"/>
          </w:tcPr>
          <w:p>
            <w:pPr>
              <w:ind w:left="340"/>
              <w:spacing w:after="0"/>
              <w:rPr>
                <w:sz w:val="20"/>
                <w:szCs w:val="20"/>
                <w:color w:val="auto"/>
              </w:rPr>
            </w:pPr>
            <w:r>
              <w:rPr>
                <w:rFonts w:ascii="Arial" w:cs="Arial" w:eastAsia="Arial" w:hAnsi="Arial"/>
                <w:sz w:val="16"/>
                <w:szCs w:val="16"/>
                <w:color w:val="auto"/>
              </w:rPr>
              <w:t>Operating leases</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4"/>
        </w:trPr>
        <w:tc>
          <w:tcPr>
            <w:tcW w:w="3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Purchase obligations and other commitments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Mandatory Deemed Repatriation Tax</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20,535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6,177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9,852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52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2" w:lineRule="exact"/>
        <w:rPr>
          <w:rFonts w:ascii="Arial" w:cs="Arial" w:eastAsia="Arial" w:hAnsi="Arial"/>
          <w:sz w:val="23"/>
          <w:szCs w:val="23"/>
          <w:color w:val="auto"/>
          <w:vertAlign w:val="superscript"/>
        </w:rPr>
      </w:pPr>
    </w:p>
    <w:p>
      <w:pPr>
        <w:ind w:left="320" w:right="40" w:hanging="314"/>
        <w:spacing w:after="0" w:line="224" w:lineRule="auto"/>
        <w:tabs>
          <w:tab w:leader="none" w:pos="30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w:t>
      </w:r>
    </w:p>
    <w:p>
      <w:pPr>
        <w:spacing w:after="0" w:line="244"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 xml:space="preserve">In addition to our existing debt, we have $2.25 billion available under our revolving credit facility, subject to customary conditions under the credit agreement. Additional information regarding our indebtedness, including information about availability under our revolving credit facility and the principal repayment terms, interest rates, covenants and other key terms of our outstanding indebtedness, is included in Part II, Item 8, Note 7,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10-K. The credit agreement governing our revolving credit facility and our term loan A-1 due 2023 requires us to comply with certain financial covenants, consisting of a leverage ratio and an interest coverage ratio. As of July 2, 2021, we were in compliance with these financial covenants.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July 2, 2021, we were in compliance with all covenants under these Japanese lease facilities. See Part II, Item 8, Note 9, </w:t>
      </w:r>
      <w:r>
        <w:rPr>
          <w:rFonts w:ascii="Arial" w:cs="Arial" w:eastAsia="Arial" w:hAnsi="Arial"/>
          <w:sz w:val="18"/>
          <w:szCs w:val="18"/>
          <w:i w:val="1"/>
          <w:iCs w:val="1"/>
          <w:color w:val="auto"/>
        </w:rPr>
        <w:t>Related Parties and Related Commitments and Contingencies</w:t>
      </w:r>
      <w:r>
        <w:rPr>
          <w:rFonts w:ascii="Arial" w:cs="Arial" w:eastAsia="Arial" w:hAnsi="Arial"/>
          <w:sz w:val="18"/>
          <w:szCs w:val="18"/>
          <w:color w:val="auto"/>
        </w:rPr>
        <w:t>, of the Notes to Consolidated Financial Statements included in this Annual Report on Form 10-K for information regarding Flash Ventures.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44"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in the table above.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Deemed Repatriation Tax</w:t>
      </w:r>
    </w:p>
    <w:p>
      <w:pPr>
        <w:spacing w:after="0" w:line="244" w:lineRule="exact"/>
        <w:rPr>
          <w:sz w:val="20"/>
          <w:szCs w:val="20"/>
          <w:color w:val="auto"/>
        </w:rPr>
      </w:pPr>
    </w:p>
    <w:p>
      <w:pPr>
        <w:ind w:right="220" w:firstLine="318"/>
        <w:spacing w:after="0" w:line="262" w:lineRule="auto"/>
        <w:rPr>
          <w:sz w:val="20"/>
          <w:szCs w:val="20"/>
          <w:color w:val="auto"/>
        </w:rPr>
      </w:pPr>
      <w:r>
        <w:rPr>
          <w:rFonts w:ascii="Arial" w:cs="Arial" w:eastAsia="Arial" w:hAnsi="Arial"/>
          <w:sz w:val="18"/>
          <w:szCs w:val="18"/>
          <w:color w:val="auto"/>
        </w:rPr>
        <w:t>The following is a summary of our estimated mandatory deemed repatriation tax obligations under the 2017 Act that are payable in the following fiscal years (in millions):</w:t>
      </w:r>
    </w:p>
    <w:tbl>
      <w:tblPr>
        <w:tblLayout w:type="fixed"/>
        <w:tblInd w:w="0" w:type="dxa"/>
        <w:tblCellMar>
          <w:top w:w="0" w:type="dxa"/>
          <w:left w:w="0" w:type="dxa"/>
          <w:bottom w:w="0" w:type="dxa"/>
          <w:right w:w="0" w:type="dxa"/>
        </w:tblCellMar>
      </w:tblPr>
      <w:tr>
        <w:trPr>
          <w:trHeight w:val="143"/>
        </w:trPr>
        <w:tc>
          <w:tcPr>
            <w:tcW w:w="9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Pr>
          <w:p>
            <w:pPr>
              <w:jc w:val="right"/>
              <w:ind w:right="423"/>
              <w:spacing w:after="0" w:line="143" w:lineRule="exact"/>
              <w:rPr>
                <w:sz w:val="20"/>
                <w:szCs w:val="20"/>
                <w:color w:val="auto"/>
              </w:rPr>
            </w:pPr>
            <w:r>
              <w:rPr>
                <w:rFonts w:ascii="Arial" w:cs="Arial" w:eastAsia="Arial" w:hAnsi="Arial"/>
                <w:sz w:val="14"/>
                <w:szCs w:val="14"/>
                <w:b w:val="1"/>
                <w:bCs w:val="1"/>
                <w:color w:val="auto"/>
              </w:rPr>
              <w:t>July 2,</w:t>
            </w:r>
          </w:p>
        </w:tc>
      </w:tr>
      <w:tr>
        <w:trPr>
          <w:trHeight w:val="185"/>
        </w:trPr>
        <w:tc>
          <w:tcPr>
            <w:tcW w:w="95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2021</w:t>
            </w:r>
          </w:p>
        </w:tc>
      </w:tr>
      <w:tr>
        <w:trPr>
          <w:trHeight w:val="206"/>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2022</w:t>
            </w: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9"/>
        </w:trPr>
        <w:tc>
          <w:tcPr>
            <w:tcW w:w="9500" w:type="dxa"/>
            <w:vAlign w:val="bottom"/>
          </w:tcPr>
          <w:p>
            <w:pPr>
              <w:jc w:val="right"/>
              <w:ind w:right="8761"/>
              <w:spacing w:after="0"/>
              <w:rPr>
                <w:sz w:val="20"/>
                <w:szCs w:val="20"/>
                <w:color w:val="auto"/>
              </w:rPr>
            </w:pPr>
            <w:r>
              <w:rPr>
                <w:rFonts w:ascii="Arial" w:cs="Arial" w:eastAsia="Arial" w:hAnsi="Arial"/>
                <w:sz w:val="16"/>
                <w:szCs w:val="16"/>
                <w:color w:val="auto"/>
              </w:rPr>
              <w:t>2023</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5"/>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2024</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09"/>
        </w:trPr>
        <w:tc>
          <w:tcPr>
            <w:tcW w:w="9500" w:type="dxa"/>
            <w:vAlign w:val="bottom"/>
          </w:tcPr>
          <w:p>
            <w:pPr>
              <w:jc w:val="right"/>
              <w:ind w:right="8761"/>
              <w:spacing w:after="0"/>
              <w:rPr>
                <w:sz w:val="20"/>
                <w:szCs w:val="20"/>
                <w:color w:val="auto"/>
              </w:rPr>
            </w:pPr>
            <w:r>
              <w:rPr>
                <w:rFonts w:ascii="Arial" w:cs="Arial" w:eastAsia="Arial" w:hAnsi="Arial"/>
                <w:sz w:val="16"/>
                <w:szCs w:val="16"/>
                <w:color w:val="auto"/>
              </w:rPr>
              <w:t>2025</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2"/>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2026</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08"/>
        </w:trPr>
        <w:tc>
          <w:tcPr>
            <w:tcW w:w="9500" w:type="dxa"/>
            <w:vAlign w:val="bottom"/>
          </w:tcPr>
          <w:p>
            <w:pPr>
              <w:jc w:val="right"/>
              <w:ind w:right="8641"/>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r>
      <w:tr>
        <w:trPr>
          <w:trHeight w:val="20"/>
        </w:trPr>
        <w:tc>
          <w:tcPr>
            <w:tcW w:w="9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 xml:space="preserve">For additional information regarding our estimate of the total tax liability for the mandatory deemed repatriation tax, see Part II, Item 8, Note 13, </w:t>
      </w:r>
      <w:r>
        <w:rPr>
          <w:rFonts w:ascii="Arial" w:cs="Arial" w:eastAsia="Arial" w:hAnsi="Arial"/>
          <w:sz w:val="15"/>
          <w:szCs w:val="15"/>
          <w:i w:val="1"/>
          <w:iCs w:val="1"/>
          <w:color w:val="auto"/>
        </w:rPr>
        <w:t>Income</w:t>
      </w:r>
      <w:r>
        <w:rPr>
          <w:rFonts w:ascii="Arial" w:cs="Arial" w:eastAsia="Arial" w:hAnsi="Arial"/>
          <w:sz w:val="15"/>
          <w:szCs w:val="15"/>
          <w:color w:val="auto"/>
        </w:rPr>
        <w:t xml:space="preserve"> </w:t>
      </w:r>
      <w:r>
        <w:rPr>
          <w:rFonts w:ascii="Arial" w:cs="Arial" w:eastAsia="Arial" w:hAnsi="Arial"/>
          <w:sz w:val="15"/>
          <w:szCs w:val="15"/>
          <w:i w:val="1"/>
          <w:iCs w:val="1"/>
          <w:color w:val="auto"/>
        </w:rPr>
        <w:t>Tax Expense</w:t>
      </w:r>
      <w:r>
        <w:rPr>
          <w:rFonts w:ascii="Arial" w:cs="Arial" w:eastAsia="Arial" w:hAnsi="Arial"/>
          <w:sz w:val="15"/>
          <w:szCs w:val="15"/>
          <w:color w:val="auto"/>
        </w:rPr>
        <w:t>, of the Notes to Consolidated Financial Statements included in our Annual Report on Form 10-K for the fiscal year ended June 28, 2019.</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Unrecognized Tax Benefits</w:t>
      </w:r>
    </w:p>
    <w:p>
      <w:pPr>
        <w:spacing w:after="0" w:line="24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As of July 2, 2021, the liability for unrecognized tax benefits (excluding accrued interest and penalties) was approximately $748 million. Accrued interest and penalties related to unrecognized tax benefits as of July 2, 2021 was approximately $138 million. Of these amounts, approximately $750 million could result in potential cash payments. We are not able to provide a reasonable estimate of the timing of future tax payments related to these obligations.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 Swap</w:t>
      </w:r>
    </w:p>
    <w:p>
      <w:pPr>
        <w:spacing w:after="0" w:line="244"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We have generally held a balance of fixed and variable rate debt. At July 2, 2021, we had $5.43 billion of variable rate debt, comprising 61%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$3.43 billion of Long-term debt subject to variations in interest rates and a one percent increase in the variable rate of interest would increase annual interest expense by $34 million.</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Exchange Contracts</w:t>
      </w:r>
    </w:p>
    <w:p>
      <w:pPr>
        <w:spacing w:after="0" w:line="244" w:lineRule="exact"/>
        <w:rPr>
          <w:sz w:val="20"/>
          <w:szCs w:val="20"/>
          <w:color w:val="auto"/>
        </w:rPr>
      </w:pPr>
    </w:p>
    <w:p>
      <w:pPr>
        <w:jc w:val="both"/>
        <w:ind w:right="40" w:firstLine="318"/>
        <w:spacing w:after="0" w:line="252"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8, Note 6,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included in this Annual Report on Form 10-K.</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Indemnifications</w:t>
      </w:r>
    </w:p>
    <w:p>
      <w:pPr>
        <w:spacing w:after="0" w:line="24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06" w:lineRule="exact"/>
        <w:rPr>
          <w:sz w:val="20"/>
          <w:szCs w:val="20"/>
          <w:color w:val="auto"/>
        </w:rPr>
      </w:pPr>
    </w:p>
    <w:p>
      <w:pPr>
        <w:jc w:val="both"/>
        <w:ind w:right="140" w:firstLine="318"/>
        <w:spacing w:after="0" w:line="277" w:lineRule="auto"/>
        <w:rPr>
          <w:sz w:val="20"/>
          <w:szCs w:val="20"/>
          <w:color w:val="auto"/>
        </w:rPr>
      </w:pPr>
      <w:r>
        <w:rPr>
          <w:rFonts w:ascii="Arial" w:cs="Arial" w:eastAsia="Arial" w:hAnsi="Arial"/>
          <w:sz w:val="17"/>
          <w:szCs w:val="17"/>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Repurchase Program</w:t>
      </w:r>
    </w:p>
    <w:p>
      <w:pPr>
        <w:spacing w:after="0" w:line="24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Our Board of Directors has authorized a stock repurchase program for the repurchase of up to $5.00 billion of our common stock, which authorization is effective through July 25, 2023. For the year ended July 2, 2021, we did not make any stock repurchases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July 2, 2021 was $4.50 billion. Repurchases under the stock repurchase program may be made in the open market or in privately negotiated transactions and may be made under a Rule 10b5-1 plan.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Dividend</w:t>
      </w:r>
    </w:p>
    <w:p>
      <w:pPr>
        <w:spacing w:after="0" w:line="244"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We issued a quarterly cash dividend from the first quarter of fiscal 2013 up to the third quarter of fiscal 2020. In April 2020, we suspended our dividend to reinvest in the business and to support our ongoing deleveraging efforts. We will reevaluate our dividend policy as our leverage ratio improves.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0" w:lineRule="exact"/>
        <w:rPr>
          <w:sz w:val="20"/>
          <w:szCs w:val="20"/>
          <w:color w:val="auto"/>
        </w:rPr>
      </w:pPr>
    </w:p>
    <w:p>
      <w:pPr>
        <w:ind w:right="460" w:firstLine="318"/>
        <w:spacing w:after="0" w:line="255"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II, Item 8,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Consolidated Financial Statements included 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0" w:lineRule="exact"/>
        <w:rPr>
          <w:sz w:val="20"/>
          <w:szCs w:val="20"/>
          <w:color w:val="auto"/>
        </w:rPr>
      </w:pPr>
    </w:p>
    <w:p>
      <w:pPr>
        <w:jc w:val="both"/>
        <w:ind w:right="60" w:firstLine="318"/>
        <w:spacing w:after="0" w:line="318" w:lineRule="auto"/>
        <w:rPr>
          <w:sz w:val="20"/>
          <w:szCs w:val="20"/>
          <w:color w:val="auto"/>
        </w:rPr>
      </w:pPr>
      <w:r>
        <w:rPr>
          <w:rFonts w:ascii="Arial" w:cs="Arial" w:eastAsia="Arial" w:hAnsi="Arial"/>
          <w:sz w:val="15"/>
          <w:szCs w:val="15"/>
          <w:color w:val="auto"/>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Consolidated Financial Statements may be material.</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4"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We provide distributors and retailers (collectively referred to as “resellers”) with limited price protection for inventories held by resellers at the time of published list price reductions. We also provide resellers and OEMs with other sales incentive programs. The Company records estimated variable consideration related to these items as a reduction to revenue at the time of revenue recognition. We use judgment in our assessment of variable consideration in contracts to be included in the transaction price. We use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we have a large number of contracts with similar characteristics.</w:t>
      </w:r>
    </w:p>
    <w:p>
      <w:pPr>
        <w:spacing w:after="0" w:line="178" w:lineRule="exact"/>
        <w:rPr>
          <w:sz w:val="20"/>
          <w:szCs w:val="20"/>
          <w:color w:val="auto"/>
        </w:rPr>
      </w:pPr>
    </w:p>
    <w:p>
      <w:pPr>
        <w:ind w:right="380" w:firstLine="318"/>
        <w:spacing w:after="0" w:line="318" w:lineRule="auto"/>
        <w:rPr>
          <w:sz w:val="20"/>
          <w:szCs w:val="20"/>
          <w:color w:val="auto"/>
        </w:rPr>
      </w:pPr>
      <w:r>
        <w:rPr>
          <w:rFonts w:ascii="Arial" w:cs="Arial" w:eastAsia="Arial" w:hAnsi="Arial"/>
          <w:sz w:val="15"/>
          <w:szCs w:val="15"/>
          <w:color w:val="auto"/>
        </w:rPr>
        <w:t>For sales to OEMs, the Company’s methodology for estimating variable consideration is based on the amount of consideration expected to be earned based on the OEMs’ volume of purchases from the Company or other agreed upon sales incentive programs. For sales to resellers, the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spacing w:after="0" w:line="172" w:lineRule="exact"/>
        <w:rPr>
          <w:sz w:val="20"/>
          <w:szCs w:val="20"/>
          <w:color w:val="auto"/>
        </w:rPr>
      </w:pPr>
    </w:p>
    <w:p>
      <w:pPr>
        <w:ind w:right="520" w:firstLine="318"/>
        <w:spacing w:after="0" w:line="365" w:lineRule="auto"/>
        <w:rPr>
          <w:sz w:val="20"/>
          <w:szCs w:val="20"/>
          <w:color w:val="auto"/>
        </w:rPr>
      </w:pPr>
      <w:r>
        <w:rPr>
          <w:rFonts w:ascii="Arial" w:cs="Arial" w:eastAsia="Arial" w:hAnsi="Arial"/>
          <w:sz w:val="15"/>
          <w:szCs w:val="15"/>
          <w:color w:val="auto"/>
        </w:rPr>
        <w:t>Marketing development program costs are typically recorded as a reduction of the transaction price and, therefore, of revenue. We net sales rebates against open customer receivable balances if the criteria to offset are met, otherwise they are recorded within other accrued liabilities.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24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value inventories at the lower of cost (first-in, first-out) or net realizable value. We record inventory write-downs for the valuation of inventory at the lower of cost or net realizable value by analyzing market conditions and estimates of future sales prices as compared to inventory costs and inventory balances.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Taxes</w:t>
      </w:r>
    </w:p>
    <w:p>
      <w:pPr>
        <w:spacing w:after="0" w:line="24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 We account for interest and penalties related to income taxes as a component of the provision for income taxes.</w:t>
      </w:r>
    </w:p>
    <w:p>
      <w:pPr>
        <w:spacing w:after="0" w:line="206"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4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Goodwill is not amortized. Instead, it is tested for impairment on an annual basis or more frequently whenever events or changes in circumstances indicate that goodwill may be impaired. We perform our annual impairment test as of the first day of our fiscal fourth quarter. We use qualitative factors to determine whether goodwill is more likely than not impaired and whether a quantitative test for impairment is considered necessary. If we conclude from the qualitative assessment that goodwill is more likely than not impaired, we are required to perform a quantitative approach to determine the amount of impairment. We are required to use judgment when applying the goodwill impairment test, including the identification of one or more reporting units. If we had more than one reporting unit, judgment would also be required in the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w:t>
      </w:r>
    </w:p>
    <w:p>
      <w:pPr>
        <w:spacing w:after="0" w:line="399"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50"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II, Item 8, Note 5, </w:t>
      </w:r>
      <w:r>
        <w:rPr>
          <w:rFonts w:ascii="Arial" w:cs="Arial" w:eastAsia="Arial" w:hAnsi="Arial"/>
          <w:sz w:val="15"/>
          <w:szCs w:val="15"/>
          <w:i w:val="1"/>
          <w:iCs w:val="1"/>
          <w:color w:val="auto"/>
        </w:rPr>
        <w:t>Fair Value Measurements and Investments,</w:t>
      </w:r>
      <w:r>
        <w:rPr>
          <w:rFonts w:ascii="Arial" w:cs="Arial" w:eastAsia="Arial" w:hAnsi="Arial"/>
          <w:sz w:val="15"/>
          <w:szCs w:val="15"/>
          <w:color w:val="auto"/>
        </w:rPr>
        <w:t xml:space="preserve"> and Note 6, </w:t>
      </w:r>
      <w:r>
        <w:rPr>
          <w:rFonts w:ascii="Arial" w:cs="Arial" w:eastAsia="Arial" w:hAnsi="Arial"/>
          <w:sz w:val="15"/>
          <w:szCs w:val="15"/>
          <w:i w:val="1"/>
          <w:iCs w:val="1"/>
          <w:color w:val="auto"/>
        </w:rPr>
        <w:t>Derivative Instruments and Hedging Activities</w:t>
      </w:r>
      <w:r>
        <w:rPr>
          <w:rFonts w:ascii="Arial" w:cs="Arial" w:eastAsia="Arial" w:hAnsi="Arial"/>
          <w:sz w:val="15"/>
          <w:szCs w:val="15"/>
          <w:color w:val="auto"/>
        </w:rPr>
        <w:t>, of the Notes to Consolidated Financial Statements included in this Annual Report on Form 10-K.</w:t>
      </w:r>
    </w:p>
    <w:p>
      <w:pPr>
        <w:spacing w:after="0" w:line="17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Due to macroeconomic changes and volatility experienced in the foreign exchange market recently, we believe sensitivity analysis is more informative in representing the potential impact to the portfolio as a result of market movement. Therefore, we have performed sensitivity analyses for 2021 and 2020,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July 2, 2021 and July 3, 2020. The sensitivity analyses indicated that a hypothetical 10% adverse movement in foreign currency exchange rates relative to the U.S. dollar would result in a foreign exchange fair value loss of $183 million and $135 million at July 2, 2021 and July 3, 2020, respectively.</w:t>
      </w:r>
    </w:p>
    <w:p>
      <w:pPr>
        <w:spacing w:after="0" w:line="183"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During 2021, 2020 and 2019, total net realized and unrealized transaction and foreign exchange contract currency gains and losses were not material to our Consolidated Financial Statements.</w:t>
      </w:r>
    </w:p>
    <w:p>
      <w:pPr>
        <w:spacing w:after="0" w:line="207" w:lineRule="exact"/>
        <w:rPr>
          <w:sz w:val="20"/>
          <w:szCs w:val="20"/>
          <w:color w:val="auto"/>
        </w:rPr>
      </w:pPr>
    </w:p>
    <w:p>
      <w:pPr>
        <w:jc w:val="both"/>
        <w:ind w:right="620" w:firstLine="318"/>
        <w:spacing w:after="0" w:line="255"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Interest Rate Risk</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Variable Interest Rate Risk</w:t>
      </w:r>
    </w:p>
    <w:p>
      <w:pPr>
        <w:spacing w:after="0" w:line="244"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Borrowings under our revolving credit facility and our term loan A-1 due 2023 bear interest at a rate per annum, at our option, of either an adjusted LIBOR (subject to a 0.0% floor) plus an applicable margin varying from 1.125% to 2.000% or a base rate plus an applicable margin varying from 0.125% to 1.000%, in each case depending on our corporate credit ratings. As of July 2, 2021, the applicable margin based on our current credit ratings was 1.5%. Borrowings under our term loan B-4 due 2023 bear interest at a rate per annum, at our option, of either an adjusted LIBOR (subject to a 0.0% floor) plus a margin of 1.75% or a base rate plus a margin of 0.75%.</w:t>
      </w:r>
    </w:p>
    <w:p>
      <w:pPr>
        <w:spacing w:after="0" w:line="220"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We have generally held a balance of fixed and variable rate debt. As of July 2, 2021, we had $5.43 billion of variable rate debt, representing 61%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$3.43 billion of Long-term debt subject to variations in interest rates and a one percent increase in the variable rate of interest would increase annual interest expense by $34 million.</w:t>
      </w:r>
    </w:p>
    <w:p>
      <w:pPr>
        <w:spacing w:after="0" w:line="207"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 xml:space="preserve">For additional information regarding our variable interest rate debt, see Part II, Item 8, Note 7,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9"/>
              </w:rPr>
              <w:t>PAGE NO.</w:t>
            </w:r>
          </w:p>
        </w:tc>
      </w:tr>
      <w:tr>
        <w:trPr>
          <w:trHeight w:val="24"/>
        </w:trPr>
        <w:tc>
          <w:tcPr>
            <w:tcW w:w="96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1640" w:type="dxa"/>
            <w:vAlign w:val="bottom"/>
            <w:tcBorders>
              <w:bottom w:val="single" w:sz="8" w:color="CCEEFF"/>
            </w:tcBorders>
            <w:shd w:val="clear" w:color="auto" w:fill="CCEEFF"/>
          </w:tcPr>
          <w:p>
            <w:pPr>
              <w:spacing w:after="0"/>
              <w:rPr>
                <w:sz w:val="19"/>
                <w:szCs w:val="19"/>
                <w:color w:val="auto"/>
              </w:rPr>
            </w:pPr>
          </w:p>
        </w:tc>
      </w:tr>
      <w:tr>
        <w:trPr>
          <w:trHeight w:val="264"/>
        </w:trPr>
        <w:tc>
          <w:tcPr>
            <w:tcW w:w="9600" w:type="dxa"/>
            <w:vAlign w:val="bottom"/>
          </w:tcPr>
          <w:p>
            <w:pPr>
              <w:ind w:left="140"/>
              <w:spacing w:after="0"/>
              <w:rPr>
                <w:sz w:val="20"/>
                <w:szCs w:val="20"/>
                <w:color w:val="auto"/>
              </w:rPr>
            </w:pPr>
            <w:r>
              <w:rPr>
                <w:rFonts w:ascii="Arial" w:cs="Arial" w:eastAsia="Arial" w:hAnsi="Arial"/>
                <w:sz w:val="18"/>
                <w:szCs w:val="18"/>
                <w:color w:val="auto"/>
              </w:rPr>
              <w:t>Report of Independent Registered Public Accounting Firm</w:t>
            </w:r>
          </w:p>
        </w:tc>
        <w:tc>
          <w:tcPr>
            <w:tcW w:w="1640" w:type="dxa"/>
            <w:vAlign w:val="bottom"/>
          </w:tcPr>
          <w:p>
            <w:pPr>
              <w:jc w:val="center"/>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r>
      <w:tr>
        <w:trPr>
          <w:trHeight w:val="246"/>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Consolidated Balance Sheets — As of July 2, 2021 and July 3, 2020</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r>
      <w:tr>
        <w:trPr>
          <w:trHeight w:val="264"/>
        </w:trPr>
        <w:tc>
          <w:tcPr>
            <w:tcW w:w="9600" w:type="dxa"/>
            <w:vAlign w:val="bottom"/>
          </w:tcPr>
          <w:p>
            <w:pPr>
              <w:ind w:left="140"/>
              <w:spacing w:after="0"/>
              <w:rPr>
                <w:sz w:val="20"/>
                <w:szCs w:val="20"/>
                <w:color w:val="auto"/>
              </w:rPr>
            </w:pPr>
            <w:r>
              <w:rPr>
                <w:rFonts w:ascii="Arial" w:cs="Arial" w:eastAsia="Arial" w:hAnsi="Arial"/>
                <w:sz w:val="18"/>
                <w:szCs w:val="18"/>
                <w:color w:val="auto"/>
              </w:rPr>
              <w:t>Consolidated Statements of Operations — Three Years Ended July 2, 2021</w:t>
            </w:r>
          </w:p>
        </w:tc>
        <w:tc>
          <w:tcPr>
            <w:tcW w:w="1640" w:type="dxa"/>
            <w:vAlign w:val="bottom"/>
          </w:tcPr>
          <w:p>
            <w:pPr>
              <w:jc w:val="center"/>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r>
      <w:tr>
        <w:trPr>
          <w:trHeight w:val="266"/>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Comprehensive Income (Loss) — Three Years Ended July 2, 2021</w:t>
            </w:r>
          </w:p>
        </w:tc>
        <w:tc>
          <w:tcPr>
            <w:tcW w:w="1640" w:type="dxa"/>
            <w:vAlign w:val="bottom"/>
            <w:shd w:val="clear" w:color="auto" w:fill="CCEEFF"/>
          </w:tcPr>
          <w:p>
            <w:pPr>
              <w:jc w:val="center"/>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r>
        <w:trPr>
          <w:trHeight w:val="264"/>
        </w:trPr>
        <w:tc>
          <w:tcPr>
            <w:tcW w:w="9600" w:type="dxa"/>
            <w:vAlign w:val="bottom"/>
          </w:tcPr>
          <w:p>
            <w:pPr>
              <w:ind w:left="140"/>
              <w:spacing w:after="0"/>
              <w:rPr>
                <w:sz w:val="20"/>
                <w:szCs w:val="20"/>
                <w:color w:val="auto"/>
              </w:rPr>
            </w:pPr>
            <w:r>
              <w:rPr>
                <w:rFonts w:ascii="Arial" w:cs="Arial" w:eastAsia="Arial" w:hAnsi="Arial"/>
                <w:sz w:val="18"/>
                <w:szCs w:val="18"/>
                <w:color w:val="auto"/>
              </w:rPr>
              <w:t>Consolidated Statements of Cash Flows — Three Years Ended July 2, 2021</w:t>
            </w:r>
          </w:p>
        </w:tc>
        <w:tc>
          <w:tcPr>
            <w:tcW w:w="1640" w:type="dxa"/>
            <w:vAlign w:val="bottom"/>
          </w:tcPr>
          <w:p>
            <w:pPr>
              <w:jc w:val="center"/>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r>
      <w:tr>
        <w:trPr>
          <w:trHeight w:val="266"/>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Shareholders' Equity — Three Years Ended July 2, 2021</w:t>
            </w:r>
          </w:p>
        </w:tc>
        <w:tc>
          <w:tcPr>
            <w:tcW w:w="1640" w:type="dxa"/>
            <w:vAlign w:val="bottom"/>
            <w:shd w:val="clear" w:color="auto" w:fill="CCEEFF"/>
          </w:tcPr>
          <w:p>
            <w:pPr>
              <w:jc w:val="center"/>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r>
      <w:tr>
        <w:trPr>
          <w:trHeight w:val="238"/>
        </w:trPr>
        <w:tc>
          <w:tcPr>
            <w:tcW w:w="960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1640" w:type="dxa"/>
            <w:vAlign w:val="bottom"/>
          </w:tcPr>
          <w:p>
            <w:pPr>
              <w:jc w:val="center"/>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We have audited the accompanying consolidated balance sheets of Western Digital Corporation and subsidiaries (the Company) as of July 2, 2021 and July 3, 2020, the related consolidated statements of operations, comprehensive income (loss), cash flows and shareholders’ equity for each of the years in the three-year period ended July 2, 2021, and the related notes (collectively, the consolidated financial statements). We also have audited the Company’s internal control over financial reporting as of July 2,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July 2, 2021 and July 3, 2020, and the results of its operations and its cash flows for each of the years in the three-year period ended July 2, 2021, in conformity with U.S. generally accepted accounting principles. Also in our opinion, the Company maintained, in all material respects, effective internal control over financial reporting as of July 2,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44"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Item 9A </w:t>
      </w:r>
      <w:r>
        <w:rPr>
          <w:rFonts w:ascii="Arial" w:cs="Arial" w:eastAsia="Arial" w:hAnsi="Arial"/>
          <w:sz w:val="15"/>
          <w:szCs w:val="15"/>
          <w:i w:val="1"/>
          <w:iCs w:val="1"/>
          <w:color w:val="auto"/>
        </w:rPr>
        <w:t>Controls and Procedures -</w:t>
      </w:r>
      <w:r>
        <w:rPr>
          <w:rFonts w:ascii="Arial" w:cs="Arial" w:eastAsia="Arial" w:hAnsi="Arial"/>
          <w:sz w:val="15"/>
          <w:szCs w:val="15"/>
          <w:color w:val="auto"/>
        </w:rPr>
        <w:t xml:space="preserve"> </w:t>
      </w:r>
      <w:r>
        <w:rPr>
          <w:rFonts w:ascii="Arial" w:cs="Arial" w:eastAsia="Arial" w:hAnsi="Arial"/>
          <w:sz w:val="15"/>
          <w:szCs w:val="15"/>
          <w:i w:val="1"/>
          <w:iCs w:val="1"/>
          <w:color w:val="auto"/>
        </w:rPr>
        <w:t>Management’s Report on Internal Control over Financial Reporting</w:t>
      </w:r>
      <w:r>
        <w:rPr>
          <w:rFonts w:ascii="Arial" w:cs="Arial" w:eastAsia="Arial" w:hAnsi="Arial"/>
          <w:sz w:val="15"/>
          <w:szCs w:val="15"/>
          <w:color w:val="auto"/>
        </w:rPr>
        <w:t>. Our responsibility is to express an opinion on the Company’s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5" w:lineRule="exact"/>
        <w:rPr>
          <w:sz w:val="20"/>
          <w:szCs w:val="20"/>
          <w:color w:val="auto"/>
        </w:rPr>
      </w:pPr>
    </w:p>
    <w:p>
      <w:pPr>
        <w:ind w:right="200"/>
        <w:spacing w:after="0" w:line="306"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44"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Assessment of variable consideration for sales to resellers</w:t>
      </w:r>
    </w:p>
    <w:p>
      <w:pPr>
        <w:spacing w:after="0" w:line="244" w:lineRule="exact"/>
        <w:rPr>
          <w:sz w:val="20"/>
          <w:szCs w:val="20"/>
          <w:color w:val="auto"/>
        </w:rPr>
      </w:pPr>
    </w:p>
    <w:p>
      <w:pPr>
        <w:ind w:left="320" w:right="60"/>
        <w:spacing w:after="0" w:line="252" w:lineRule="auto"/>
        <w:rPr>
          <w:sz w:val="20"/>
          <w:szCs w:val="20"/>
          <w:color w:val="auto"/>
        </w:rPr>
      </w:pPr>
      <w:r>
        <w:rPr>
          <w:rFonts w:ascii="Arial" w:cs="Arial" w:eastAsia="Arial" w:hAnsi="Arial"/>
          <w:sz w:val="18"/>
          <w:szCs w:val="18"/>
          <w:color w:val="auto"/>
        </w:rPr>
        <w:t>As discussed in Note 1 to the consolidated financial statements, the Company provides resellers with price protection and other sales incentive programs. The Company uses judgment in its assessment of variable consideration in contracts to be included in the transaction price. The Company’s estimate of variable consideration for sales to resellers is based on several factors, including historical pricing information, current pricing trends, and channel inventory levels.</w:t>
      </w:r>
    </w:p>
    <w:p>
      <w:pPr>
        <w:spacing w:after="0" w:line="217" w:lineRule="exact"/>
        <w:rPr>
          <w:sz w:val="20"/>
          <w:szCs w:val="20"/>
          <w:color w:val="auto"/>
        </w:rPr>
      </w:pPr>
    </w:p>
    <w:p>
      <w:pPr>
        <w:ind w:left="320" w:right="40"/>
        <w:spacing w:after="0" w:line="330" w:lineRule="auto"/>
        <w:rPr>
          <w:sz w:val="20"/>
          <w:szCs w:val="20"/>
          <w:color w:val="auto"/>
        </w:rPr>
      </w:pPr>
      <w:r>
        <w:rPr>
          <w:rFonts w:ascii="Arial" w:cs="Arial" w:eastAsia="Arial" w:hAnsi="Arial"/>
          <w:sz w:val="15"/>
          <w:szCs w:val="15"/>
          <w:color w:val="auto"/>
        </w:rPr>
        <w:t>We identified the assessment of variable consideration for sales to resellers as a critical audit matter. Evaluating the assumptions used by the Company to estimate the variable consideration, specifically anticipated price decreases based on historical pricing information, current pricing trends, and channel inventory levels during the expected reseller holding period, required a higher degree of auditor judgment due to the uncertainty involved in the estimate.</w:t>
      </w:r>
    </w:p>
    <w:p>
      <w:pPr>
        <w:spacing w:after="0" w:line="163" w:lineRule="exact"/>
        <w:rPr>
          <w:sz w:val="20"/>
          <w:szCs w:val="20"/>
          <w:color w:val="auto"/>
        </w:rPr>
      </w:pPr>
    </w:p>
    <w:p>
      <w:pPr>
        <w:ind w:left="320" w:right="180"/>
        <w:spacing w:after="0" w:line="309"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related to the Company’s process of determining the variable consideration for sales to resellers, including controls related to the development of the assumption of anticipated price decreases during the reseller holding period. We evaluated the Company’s ability to accurately estimate the assumptions used to determine the variable consideration by comparing historically recorded variable consideration to actual subsequent payments and credits. We developed an expectation of the variable consideration for resellers based on historically recorded variable consideration, subsequent payments and credits issued and then compared our expectation to the actual variable consideration recorded.</w:t>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KPMG LLP</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8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2,379</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9,048</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color w:val="auto"/>
              </w:rPr>
              <w:t>Goodwill</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5"/>
              </w:rPr>
              <w:t>10,066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26,132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900"/>
              <w:spacing w:after="0"/>
              <w:rPr>
                <w:sz w:val="20"/>
                <w:szCs w:val="20"/>
                <w:color w:val="auto"/>
              </w:rPr>
            </w:pPr>
            <w:r>
              <w:rPr>
                <w:rFonts w:ascii="Arial" w:cs="Arial" w:eastAsia="Arial" w:hAnsi="Arial"/>
                <w:sz w:val="16"/>
                <w:szCs w:val="16"/>
                <w:b w:val="1"/>
                <w:bCs w:val="1"/>
                <w:color w:val="auto"/>
              </w:rPr>
              <w:t>LIABILITIES AND SHAREHOLDERS’ EQUITY</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9,289</w:t>
            </w: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5"/>
              </w:rPr>
              <w:t>15,411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16,111</w:t>
            </w: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(Notes 9, 10, 14 and 17)</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280" w:type="dxa"/>
            <w:vAlign w:val="bottom"/>
          </w:tcPr>
          <w:p>
            <w:pPr>
              <w:ind w:left="140"/>
              <w:spacing w:after="0" w:line="162" w:lineRule="exact"/>
              <w:rPr>
                <w:sz w:val="20"/>
                <w:szCs w:val="20"/>
                <w:color w:val="auto"/>
              </w:rPr>
            </w:pPr>
            <w:r>
              <w:rPr>
                <w:rFonts w:ascii="Arial" w:cs="Arial" w:eastAsia="Arial" w:hAnsi="Arial"/>
                <w:sz w:val="16"/>
                <w:szCs w:val="16"/>
                <w:color w:val="auto"/>
                <w:w w:val="90"/>
              </w:rPr>
              <w:t>Common stock, $0.01 par value; authorized — 450 shares; issued — 312 shares in 2021 and 2020; outstanding — 308 shares</w:t>
            </w:r>
          </w:p>
        </w:tc>
        <w:tc>
          <w:tcPr>
            <w:tcW w:w="9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8280" w:type="dxa"/>
            <w:vAlign w:val="bottom"/>
          </w:tcPr>
          <w:p>
            <w:pPr>
              <w:ind w:left="140"/>
              <w:spacing w:after="0"/>
              <w:rPr>
                <w:sz w:val="20"/>
                <w:szCs w:val="20"/>
                <w:color w:val="auto"/>
              </w:rPr>
            </w:pPr>
            <w:r>
              <w:rPr>
                <w:rFonts w:ascii="Arial" w:cs="Arial" w:eastAsia="Arial" w:hAnsi="Arial"/>
                <w:sz w:val="16"/>
                <w:szCs w:val="16"/>
                <w:color w:val="auto"/>
              </w:rPr>
              <w:t>in 2021 and 302 shares in 2020</w:t>
            </w:r>
          </w:p>
        </w:tc>
        <w:tc>
          <w:tcPr>
            <w:tcW w:w="9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 common shares at cost; 4 shares in 2021 and 10 shares in 2020</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10,721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26,132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25,662</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31"/>
        </w:trPr>
        <w:tc>
          <w:tcPr>
            <w:tcW w:w="696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July 2,</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ind w:left="340"/>
              <w:spacing w:after="0" w:line="131"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1"/>
                <w:szCs w:val="11"/>
                <w:color w:val="auto"/>
              </w:rPr>
            </w:pPr>
          </w:p>
        </w:tc>
        <w:tc>
          <w:tcPr>
            <w:tcW w:w="980" w:type="dxa"/>
            <w:vAlign w:val="bottom"/>
          </w:tcPr>
          <w:p>
            <w:pPr>
              <w:jc w:val="right"/>
              <w:ind w:right="261"/>
              <w:spacing w:after="0" w:line="131" w:lineRule="exact"/>
              <w:rPr>
                <w:sz w:val="20"/>
                <w:szCs w:val="20"/>
                <w:color w:val="auto"/>
              </w:rPr>
            </w:pPr>
            <w:r>
              <w:rPr>
                <w:rFonts w:ascii="Arial" w:cs="Arial" w:eastAsia="Arial" w:hAnsi="Arial"/>
                <w:sz w:val="14"/>
                <w:szCs w:val="14"/>
                <w:b w:val="1"/>
                <w:bCs w:val="1"/>
                <w:color w:val="auto"/>
              </w:rPr>
              <w:t>June 28,</w:t>
            </w:r>
          </w:p>
        </w:tc>
      </w:tr>
      <w:tr>
        <w:trPr>
          <w:trHeight w:val="185"/>
        </w:trPr>
        <w:tc>
          <w:tcPr>
            <w:tcW w:w="6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0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5"/>
              </w:rPr>
              <w:t>16,922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16,569</w:t>
            </w:r>
          </w:p>
        </w:tc>
      </w:tr>
      <w:tr>
        <w:trPr>
          <w:trHeight w:val="20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5"/>
              </w:rPr>
              <w:t>12,401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12,817</w:t>
            </w:r>
          </w:p>
        </w:tc>
      </w:tr>
      <w:tr>
        <w:trPr>
          <w:trHeight w:val="208"/>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3,752</w:t>
            </w:r>
          </w:p>
        </w:tc>
      </w:tr>
      <w:tr>
        <w:trPr>
          <w:trHeight w:val="190"/>
        </w:trPr>
        <w:tc>
          <w:tcPr>
            <w:tcW w:w="69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w:t>
            </w:r>
          </w:p>
        </w:tc>
      </w:tr>
      <w:tr>
        <w:trPr>
          <w:trHeight w:val="209"/>
        </w:trPr>
        <w:tc>
          <w:tcPr>
            <w:tcW w:w="69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9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1,317</w:t>
            </w:r>
          </w:p>
        </w:tc>
      </w:tr>
      <w:tr>
        <w:trPr>
          <w:trHeight w:val="214"/>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03"/>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3,665</w:t>
            </w:r>
          </w:p>
        </w:tc>
      </w:tr>
      <w:tr>
        <w:trPr>
          <w:trHeight w:val="208"/>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0"/>
        </w:trPr>
        <w:tc>
          <w:tcPr>
            <w:tcW w:w="69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14"/>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208"/>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3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6960" w:type="dxa"/>
            <w:vAlign w:val="bottom"/>
          </w:tcPr>
          <w:p>
            <w:pPr>
              <w:ind w:left="14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4"/>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0"/>
        </w:trPr>
        <w:tc>
          <w:tcPr>
            <w:tcW w:w="6960" w:type="dxa"/>
            <w:vAlign w:val="bottom"/>
          </w:tcPr>
          <w:p>
            <w:pPr>
              <w:ind w:left="140"/>
              <w:spacing w:after="0"/>
              <w:rPr>
                <w:sz w:val="20"/>
                <w:szCs w:val="20"/>
                <w:color w:val="auto"/>
              </w:rPr>
            </w:pPr>
            <w:r>
              <w:rPr>
                <w:rFonts w:ascii="Arial" w:cs="Arial" w:eastAsia="Arial" w:hAnsi="Arial"/>
                <w:sz w:val="16"/>
                <w:szCs w:val="16"/>
                <w:color w:val="auto"/>
              </w:rPr>
              <w:t>Diluted</w:t>
            </w:r>
          </w:p>
        </w:tc>
        <w:tc>
          <w:tcPr>
            <w:tcW w:w="9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54"/>
        </w:trPr>
        <w:tc>
          <w:tcPr>
            <w:tcW w:w="69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07"/>
        </w:trPr>
        <w:tc>
          <w:tcPr>
            <w:tcW w:w="6960" w:type="dxa"/>
            <w:vAlign w:val="bottom"/>
          </w:tcPr>
          <w:p>
            <w:pPr>
              <w:ind w:left="20"/>
              <w:spacing w:after="0"/>
              <w:rPr>
                <w:sz w:val="20"/>
                <w:szCs w:val="20"/>
                <w:color w:val="auto"/>
              </w:rPr>
            </w:pPr>
            <w:r>
              <w:rPr>
                <w:rFonts w:ascii="Arial" w:cs="Arial" w:eastAsia="Arial" w:hAnsi="Arial"/>
                <w:sz w:val="16"/>
                <w:szCs w:val="16"/>
                <w:color w:val="auto"/>
              </w:rPr>
              <w:t>Cash dividends declared per share</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2.00</w:t>
            </w: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WESTERN DIGITAL CORPORATION CONSOLIDATED STATEMENTS OF COMPREHENSIVE INCOME (LOSS)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31"/>
        </w:trPr>
        <w:tc>
          <w:tcPr>
            <w:tcW w:w="6960" w:type="dxa"/>
            <w:vAlign w:val="bottom"/>
          </w:tcPr>
          <w:p>
            <w:pPr>
              <w:spacing w:after="0"/>
              <w:rPr>
                <w:sz w:val="11"/>
                <w:szCs w:val="11"/>
                <w:color w:val="auto"/>
              </w:rPr>
            </w:pPr>
          </w:p>
        </w:tc>
        <w:tc>
          <w:tcPr>
            <w:tcW w:w="1020" w:type="dxa"/>
            <w:vAlign w:val="bottom"/>
          </w:tcPr>
          <w:p>
            <w:pPr>
              <w:jc w:val="right"/>
              <w:ind w:right="25"/>
              <w:spacing w:after="0" w:line="131" w:lineRule="exact"/>
              <w:rPr>
                <w:sz w:val="20"/>
                <w:szCs w:val="20"/>
                <w:color w:val="auto"/>
              </w:rPr>
            </w:pPr>
            <w:r>
              <w:rPr>
                <w:rFonts w:ascii="Arial" w:cs="Arial" w:eastAsia="Arial" w:hAnsi="Arial"/>
                <w:sz w:val="14"/>
                <w:szCs w:val="14"/>
                <w:b w:val="1"/>
                <w:bCs w:val="1"/>
                <w:color w:val="auto"/>
              </w:rPr>
              <w:t>July 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6"/>
              <w:spacing w:after="0" w:line="131" w:lineRule="exact"/>
              <w:rPr>
                <w:sz w:val="20"/>
                <w:szCs w:val="20"/>
                <w:color w:val="auto"/>
              </w:rPr>
            </w:pPr>
            <w:r>
              <w:rPr>
                <w:rFonts w:ascii="Arial" w:cs="Arial" w:eastAsia="Arial" w:hAnsi="Arial"/>
                <w:sz w:val="14"/>
                <w:szCs w:val="14"/>
                <w:b w:val="1"/>
                <w:bCs w:val="1"/>
                <w:color w:val="auto"/>
              </w:rPr>
              <w:t>July 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262"/>
              <w:spacing w:after="0" w:line="131" w:lineRule="exact"/>
              <w:rPr>
                <w:sz w:val="20"/>
                <w:szCs w:val="20"/>
                <w:color w:val="auto"/>
              </w:rPr>
            </w:pPr>
            <w:r>
              <w:rPr>
                <w:rFonts w:ascii="Arial" w:cs="Arial" w:eastAsia="Arial" w:hAnsi="Arial"/>
                <w:sz w:val="14"/>
                <w:szCs w:val="14"/>
                <w:b w:val="1"/>
                <w:bCs w:val="1"/>
                <w:color w:val="auto"/>
              </w:rPr>
              <w:t>June 28,</w:t>
            </w:r>
          </w:p>
        </w:tc>
      </w:tr>
      <w:tr>
        <w:trPr>
          <w:trHeight w:val="185"/>
        </w:trPr>
        <w:tc>
          <w:tcPr>
            <w:tcW w:w="69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0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Actuarial pension gain (loss)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696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4"/>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unrealized loss on derivative contracts</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6960" w:type="dxa"/>
            <w:vAlign w:val="bottom"/>
          </w:tcPr>
          <w:p>
            <w:pPr>
              <w:ind w:left="220"/>
              <w:spacing w:after="0"/>
              <w:rPr>
                <w:sz w:val="20"/>
                <w:szCs w:val="20"/>
                <w:color w:val="auto"/>
              </w:rPr>
            </w:pPr>
            <w:r>
              <w:rPr>
                <w:rFonts w:ascii="Arial" w:cs="Arial" w:eastAsia="Arial" w:hAnsi="Arial"/>
                <w:sz w:val="16"/>
                <w:szCs w:val="16"/>
                <w:color w:val="auto"/>
              </w:rPr>
              <w:t>Total other comprehensive loss, before tax</w:t>
            </w: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related to items of other comprehensive loss, before tax</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July 2,</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July 3,</w:t>
            </w:r>
          </w:p>
        </w:tc>
        <w:tc>
          <w:tcPr>
            <w:tcW w:w="260" w:type="dxa"/>
            <w:vAlign w:val="bottom"/>
          </w:tcPr>
          <w:p>
            <w:pPr>
              <w:spacing w:after="0"/>
              <w:rPr>
                <w:sz w:val="11"/>
                <w:szCs w:val="11"/>
                <w:color w:val="auto"/>
              </w:rPr>
            </w:pPr>
          </w:p>
        </w:tc>
        <w:tc>
          <w:tcPr>
            <w:tcW w:w="1160" w:type="dxa"/>
            <w:vAlign w:val="bottom"/>
          </w:tcPr>
          <w:p>
            <w:pPr>
              <w:jc w:val="right"/>
              <w:ind w:right="389"/>
              <w:spacing w:after="0" w:line="131"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1,812</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3"/>
        </w:trPr>
        <w:tc>
          <w:tcPr>
            <w:tcW w:w="674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(gain) on disposal of assets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3"/>
        </w:trPr>
        <w:tc>
          <w:tcPr>
            <w:tcW w:w="6740" w:type="dxa"/>
            <w:vAlign w:val="bottom"/>
          </w:tcPr>
          <w:p>
            <w:pPr>
              <w:ind w:left="140"/>
              <w:spacing w:after="0"/>
              <w:rPr>
                <w:sz w:val="20"/>
                <w:szCs w:val="20"/>
                <w:color w:val="auto"/>
              </w:rPr>
            </w:pPr>
            <w:r>
              <w:rPr>
                <w:rFonts w:ascii="Arial" w:cs="Arial" w:eastAsia="Arial" w:hAnsi="Arial"/>
                <w:sz w:val="14"/>
                <w:szCs w:val="14"/>
                <w:color w:val="auto"/>
              </w:rPr>
              <w:t>Amortization of debt issuance costs and discounts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6740" w:type="dxa"/>
            <w:vAlign w:val="bottom"/>
          </w:tcPr>
          <w:p>
            <w:pPr>
              <w:ind w:left="140"/>
              <w:spacing w:after="0"/>
              <w:rPr>
                <w:sz w:val="20"/>
                <w:szCs w:val="20"/>
                <w:color w:val="auto"/>
              </w:rPr>
            </w:pPr>
            <w:r>
              <w:rPr>
                <w:rFonts w:ascii="Arial" w:cs="Arial" w:eastAsia="Arial" w:hAnsi="Arial"/>
                <w:sz w:val="14"/>
                <w:szCs w:val="14"/>
                <w:color w:val="auto"/>
              </w:rPr>
              <w:t>Changes in:</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83"/>
        </w:trPr>
        <w:tc>
          <w:tcPr>
            <w:tcW w:w="67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83"/>
        </w:trPr>
        <w:tc>
          <w:tcPr>
            <w:tcW w:w="674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3"/>
        </w:trPr>
        <w:tc>
          <w:tcPr>
            <w:tcW w:w="674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9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76"/>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16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(1,146)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Acquisitions, net of cash acquired</w:t>
            </w:r>
          </w:p>
        </w:tc>
        <w:tc>
          <w:tcPr>
            <w:tcW w:w="9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investments</w:t>
            </w:r>
          </w:p>
        </w:tc>
        <w:tc>
          <w:tcPr>
            <w:tcW w:w="9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Proceeds from sale of investments</w:t>
            </w:r>
          </w:p>
        </w:tc>
        <w:tc>
          <w:tcPr>
            <w:tcW w:w="9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9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Strategic investments and other, net</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2"/>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(used in) investing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65"/>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Dividends paid to shareholders</w:t>
            </w:r>
          </w:p>
        </w:tc>
        <w:tc>
          <w:tcPr>
            <w:tcW w:w="9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government grants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Repayment of debt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revolving credit facility</w:t>
            </w:r>
          </w:p>
        </w:tc>
        <w:tc>
          <w:tcPr>
            <w:tcW w:w="9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Debt issuance costs</w:t>
            </w:r>
          </w:p>
        </w:tc>
        <w:tc>
          <w:tcPr>
            <w:tcW w:w="9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6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financing activities</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17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year</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7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Accumulated Other</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jc w:val="center"/>
              <w:ind w:right="100"/>
              <w:spacing w:after="0" w:line="113" w:lineRule="exact"/>
              <w:rPr>
                <w:sz w:val="20"/>
                <w:szCs w:val="20"/>
                <w:color w:val="auto"/>
              </w:rPr>
            </w:pPr>
            <w:r>
              <w:rPr>
                <w:rFonts w:ascii="Arial" w:cs="Arial" w:eastAsia="Arial" w:hAnsi="Arial"/>
                <w:sz w:val="13"/>
                <w:szCs w:val="13"/>
                <w:b w:val="1"/>
                <w:bCs w:val="1"/>
                <w:color w:val="auto"/>
              </w:rPr>
              <w:t>Additional Paid-</w:t>
            </w:r>
          </w:p>
        </w:tc>
        <w:tc>
          <w:tcPr>
            <w:tcW w:w="140" w:type="dxa"/>
            <w:vAlign w:val="bottom"/>
          </w:tcPr>
          <w:p>
            <w:pPr>
              <w:spacing w:after="0"/>
              <w:rPr>
                <w:sz w:val="9"/>
                <w:szCs w:val="9"/>
                <w:color w:val="auto"/>
              </w:rPr>
            </w:pPr>
          </w:p>
        </w:tc>
        <w:tc>
          <w:tcPr>
            <w:tcW w:w="1300" w:type="dxa"/>
            <w:vAlign w:val="bottom"/>
            <w:gridSpan w:val="2"/>
          </w:tcPr>
          <w:p>
            <w:pPr>
              <w:jc w:val="center"/>
              <w:ind w:right="280"/>
              <w:spacing w:after="0" w:line="113"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9"/>
                <w:szCs w:val="9"/>
                <w:color w:val="auto"/>
              </w:rPr>
            </w:pPr>
          </w:p>
        </w:tc>
        <w:tc>
          <w:tcPr>
            <w:tcW w:w="1060" w:type="dxa"/>
            <w:vAlign w:val="bottom"/>
            <w:gridSpan w:val="2"/>
          </w:tcPr>
          <w:p>
            <w:pPr>
              <w:ind w:left="120"/>
              <w:spacing w:after="0" w:line="113" w:lineRule="exact"/>
              <w:rPr>
                <w:sz w:val="20"/>
                <w:szCs w:val="20"/>
                <w:color w:val="auto"/>
              </w:rPr>
            </w:pPr>
            <w:r>
              <w:rPr>
                <w:rFonts w:ascii="Arial" w:cs="Arial" w:eastAsia="Arial" w:hAnsi="Arial"/>
                <w:sz w:val="13"/>
                <w:szCs w:val="13"/>
                <w:b w:val="1"/>
                <w:bCs w:val="1"/>
                <w:color w:val="auto"/>
              </w:rPr>
              <w:t>Retained</w:t>
            </w:r>
          </w:p>
        </w:tc>
        <w:tc>
          <w:tcPr>
            <w:tcW w:w="1320" w:type="dxa"/>
            <w:vAlign w:val="bottom"/>
            <w:gridSpan w:val="2"/>
          </w:tcPr>
          <w:p>
            <w:pPr>
              <w:jc w:val="right"/>
              <w:ind w:right="9"/>
              <w:spacing w:after="0" w:line="113" w:lineRule="exact"/>
              <w:rPr>
                <w:sz w:val="20"/>
                <w:szCs w:val="20"/>
                <w:color w:val="auto"/>
              </w:rPr>
            </w:pPr>
            <w:r>
              <w:rPr>
                <w:rFonts w:ascii="Arial" w:cs="Arial" w:eastAsia="Arial" w:hAnsi="Arial"/>
                <w:sz w:val="13"/>
                <w:szCs w:val="13"/>
                <w:b w:val="1"/>
                <w:bCs w:val="1"/>
                <w:color w:val="auto"/>
              </w:rPr>
              <w:t>Total Shareholders’</w:t>
            </w: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6"/>
                <w:szCs w:val="16"/>
                <w:color w:val="auto"/>
              </w:rPr>
            </w:pPr>
          </w:p>
        </w:tc>
        <w:tc>
          <w:tcPr>
            <w:tcW w:w="1060" w:type="dxa"/>
            <w:vAlign w:val="bottom"/>
          </w:tcPr>
          <w:p>
            <w:pPr>
              <w:jc w:val="right"/>
              <w:ind w:right="38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29,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4,254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8,757</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3"/>
        </w:trPr>
        <w:tc>
          <w:tcPr>
            <w:tcW w:w="2280" w:type="dxa"/>
            <w:vAlign w:val="bottom"/>
          </w:tcPr>
          <w:p>
            <w:pPr>
              <w:ind w:left="140"/>
              <w:spacing w:after="0" w:line="133" w:lineRule="exact"/>
              <w:rPr>
                <w:sz w:val="20"/>
                <w:szCs w:val="20"/>
                <w:color w:val="auto"/>
              </w:rPr>
            </w:pPr>
            <w:r>
              <w:rPr>
                <w:rFonts w:ascii="Arial" w:cs="Arial" w:eastAsia="Arial" w:hAnsi="Arial"/>
                <w:sz w:val="14"/>
                <w:szCs w:val="14"/>
                <w:color w:val="auto"/>
              </w:rPr>
              <w:t>Adoption of new accounting</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standards</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Actuarial pension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5"/>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140"/>
              <w:spacing w:after="0" w:line="133" w:lineRule="exact"/>
              <w:rPr>
                <w:sz w:val="20"/>
                <w:szCs w:val="20"/>
                <w:color w:val="auto"/>
              </w:rPr>
            </w:pPr>
            <w:r>
              <w:rPr>
                <w:rFonts w:ascii="Arial" w:cs="Arial" w:eastAsia="Arial" w:hAnsi="Arial"/>
                <w:sz w:val="14"/>
                <w:szCs w:val="14"/>
                <w:color w:val="auto"/>
              </w:rPr>
              <w:t>Net unrealized loss on derivative</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28,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3,851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33"/>
        </w:trPr>
        <w:tc>
          <w:tcPr>
            <w:tcW w:w="2280" w:type="dxa"/>
            <w:vAlign w:val="bottom"/>
          </w:tcPr>
          <w:p>
            <w:pPr>
              <w:ind w:left="140"/>
              <w:spacing w:after="0" w:line="133" w:lineRule="exact"/>
              <w:rPr>
                <w:sz w:val="20"/>
                <w:szCs w:val="20"/>
                <w:color w:val="auto"/>
              </w:rPr>
            </w:pPr>
            <w:r>
              <w:rPr>
                <w:rFonts w:ascii="Arial" w:cs="Arial" w:eastAsia="Arial" w:hAnsi="Arial"/>
                <w:sz w:val="14"/>
                <w:szCs w:val="14"/>
                <w:color w:val="auto"/>
              </w:rPr>
              <w:t>Adoption of new accounting</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standards</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pension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3"/>
        </w:trPr>
        <w:tc>
          <w:tcPr>
            <w:tcW w:w="2280" w:type="dxa"/>
            <w:vAlign w:val="bottom"/>
          </w:tcPr>
          <w:p>
            <w:pPr>
              <w:ind w:left="140"/>
              <w:spacing w:after="0" w:line="133"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Net unrealized loss on derivative</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5"/>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Balance at July 3, 2020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3,717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6,725</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33"/>
        </w:trPr>
        <w:tc>
          <w:tcPr>
            <w:tcW w:w="2280" w:type="dxa"/>
            <w:vAlign w:val="bottom"/>
          </w:tcPr>
          <w:p>
            <w:pPr>
              <w:ind w:left="140"/>
              <w:spacing w:after="0" w:line="133" w:lineRule="exact"/>
              <w:rPr>
                <w:sz w:val="20"/>
                <w:szCs w:val="20"/>
                <w:color w:val="auto"/>
              </w:rPr>
            </w:pPr>
            <w:r>
              <w:rPr>
                <w:rFonts w:ascii="Arial" w:cs="Arial" w:eastAsia="Arial" w:hAnsi="Arial"/>
                <w:sz w:val="14"/>
                <w:szCs w:val="14"/>
                <w:color w:val="auto"/>
              </w:rPr>
              <w:t>Adoption of New Accounting</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Standard</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2"/>
        </w:trPr>
        <w:tc>
          <w:tcPr>
            <w:tcW w:w="2280" w:type="dxa"/>
            <w:vAlign w:val="bottom"/>
          </w:tcPr>
          <w:p>
            <w:pPr>
              <w:ind w:left="140"/>
              <w:spacing w:after="0" w:line="133"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Net unrealized loss on derivative</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Balance at July 2,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3,608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7,539</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10,721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Basis of Presentation</w:t>
      </w:r>
    </w:p>
    <w:p>
      <w:pPr>
        <w:spacing w:after="0" w:line="250"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07"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The Company’s broad portfolio of technology and products address the following key end markets: Client Devices; Data Center Devices and Solutions; and Client Solutions. The Company also generates license and royalty revenue from its extensive intellectual property (“IP”) portfolio, which is included in each of these three end market categories.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Basis of Presentation</w:t>
      </w:r>
    </w:p>
    <w:p>
      <w:pPr>
        <w:spacing w:after="0" w:line="24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w:t>
      </w:r>
    </w:p>
    <w:p>
      <w:pPr>
        <w:spacing w:after="0" w:line="24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The Company’s fiscal year ends on the Friday nearest to June 30 and typically consists of 52 weeks. Approximately every five to six years, the Company reports a 53-week fiscal year to align the fiscal year with the foregoing policy. Fiscal years 2021 and 2019, which ended on July 2, 2021 and June 28, 2019, respectively, are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Basis of Consolidation</w:t>
      </w:r>
    </w:p>
    <w:p>
      <w:pPr>
        <w:spacing w:after="0" w:line="24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a component of shareholders’ equity.</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Use of Estimates</w:t>
      </w:r>
    </w:p>
    <w:p>
      <w:pPr>
        <w:spacing w:after="0" w:line="24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ongoing COVID-19 pandemic. However, actual results could differ materially from these estimates and be significantly affected by the severity and duration of the pandemic, the extent of actions to contain or treat COVID-19, the timing, distribution, efficacy and public acceptance of vaccines around the world, any possible resurgence of COVID-19, including the emergence of more contagious or vaccine-resistant variants and how quickly and to what extent normal economic and operating activity can resume.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Equivalents</w:t>
      </w:r>
    </w:p>
    <w:p>
      <w:pPr>
        <w:spacing w:after="0" w:line="24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Cash equivalents are carried at cost plus accrued interest, which approximates fair value.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Equity Investments</w:t>
      </w:r>
    </w:p>
    <w:p>
      <w:pPr>
        <w:spacing w:after="0" w:line="24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net, in the Consolidated Statements of Operations.</w:t>
      </w:r>
    </w:p>
    <w:p>
      <w:pPr>
        <w:spacing w:after="0" w:line="217"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If the Company’s ownership interest is less than 20% and the Company does not have the ability to exercise significant influence over operating and financial policies of the investee, the Company accounts for these investments at fair value, or if these equity securities do not have a readily determinable fair value, these securities are measured and recorded using the measurement alternative under Accounting Standards Update (“ASU”) No. 2016-01, “Financial Instruments — Overall (Subtopic 825-10): Recognition and Measurement of Financial Assets and Financial Liabilities,” which is cost minus impairment, if any, plus or minus changes resulting from observable price changes. Previously, these investments were accounted for under the cost method of accounting. These investments are recorded within Other non-current assets in the Consolidated Balance Sheets and are periodically analyzed to determine whether or not there are indicators of impairment.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Variable Interest Entities</w:t>
      </w:r>
    </w:p>
    <w:p>
      <w:pPr>
        <w:spacing w:after="0" w:line="244"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The Company does not consolidate any cost method investment or equity method investment entities.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44"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244"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The Company values inventories at the lower of cost (first-in, first out) or net realizable value. The first-in, first-out method is used to value the cost of the majority of the Company’s inventories. Inventory write-downs are recorded for the valuation of inventory at the lower of cost or net realizable value by analyzing market conditions and estimates of future sales prices as compared to inventory costs and inventory balances.</w:t>
      </w:r>
    </w:p>
    <w:p>
      <w:pPr>
        <w:spacing w:after="0" w:line="19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Property, Plant and Equipment</w:t>
      </w:r>
    </w:p>
    <w:p>
      <w:pPr>
        <w:spacing w:after="0" w:line="244"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Property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application of acquisition accounting to a business combination requires that the Company identify the individual assets acquired and liabilities assumed and estimate the fair value of each. The fair value of assets acquired and liabilities assumed in a business acquisition are recognized at the acquisition date using a combination of valuation techniques, with the purchase price exceeding the fair values being recognized as goodwill. Determining fair value of identifiable assets, particularly intangibles, liabilities acquired and contingent obligations assumed requires management to make estimates. In certain circumstances, the allocations of the excess purchase price are based upon preliminary estimates and assumptions and subject to revision when the Company receives final information, including appraisals and other analyses. Accordingly, the measurement period for such purchase price allocations will end when the information, or the facts and circumstances, becomes available, but will not exceed twelve months. The Company will recognize measurement-period adjustments during the period of resolution, including the effect on earnings of any amounts that would have been recorded in previous periods if the accounting had been completed at the acquisition date.</w:t>
      </w:r>
    </w:p>
    <w:p>
      <w:pPr>
        <w:spacing w:after="0" w:line="211"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Goodwill and intangible assets often represent a significant portion of the assets acquired in a business combination. The Company recognizes the fair value of an acquired intangible apart from goodwill whenever the intangible arises from contractual or other legal rights, or when it can be separated or divided from the acquired entity and sold, transferred, licensed, rented or exchanged, either individually or in combination with a related contract, asset or liability. Intangible assets consist primarily of technology, customer relationships, and trade name and trademarks acquired in business combinations and in-process research and development (“IPR&amp;D”). The Company’s assessment of IPR&amp;D also includes consideration of the risk of the projects not achieving technological feasibility.</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44"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Goodwill is not amortized. Instead, it is tested for impairment on an annual basis or more frequently whenever events or changes in circumstances indicate that goodwill may be impaired. The Company performs an annual impairment test as of the beginning of its fiscal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Company’s assessment resulted in no impairment of goodwill in 2021, 2020, or 2019.</w:t>
      </w:r>
    </w:p>
    <w:p>
      <w:pPr>
        <w:spacing w:after="0" w:line="177"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spacing w:after="0" w:line="20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IPR&amp;D is an intangible asset accounted as an indefinite-lived asset until the completion or abandonment of the associated research and development effort. During the development period, the Company conducts an IPR&amp;D impairment test annually and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the Company and on its customer base. If impairment is indicated, the impairment is measured as the amount by which the carrying amount of the assets exceeds the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 xml:space="preserve">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 See Note 4, </w:t>
      </w:r>
      <w:r>
        <w:rPr>
          <w:rFonts w:ascii="Arial" w:cs="Arial" w:eastAsia="Arial" w:hAnsi="Arial"/>
          <w:sz w:val="15"/>
          <w:szCs w:val="15"/>
          <w:i w:val="1"/>
          <w:iCs w:val="1"/>
          <w:color w:val="auto"/>
        </w:rPr>
        <w:t>Supplemental Financial Statement Data</w:t>
      </w:r>
      <w:r>
        <w:rPr>
          <w:rFonts w:ascii="Arial" w:cs="Arial" w:eastAsia="Arial" w:hAnsi="Arial"/>
          <w:sz w:val="15"/>
          <w:szCs w:val="15"/>
          <w:color w:val="auto"/>
        </w:rPr>
        <w:t>, for additional disclosures related to the Company’s other intangible assets.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 and Accounts Receivable</w:t>
      </w:r>
    </w:p>
    <w:p>
      <w:pPr>
        <w:spacing w:after="0" w:line="244"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In May 2014, the Financial Accounting Standards Board (“FASB”) issued ASU No. 2014-09, “Revenue from Contracts with Customers (Topic 606),” which superseded the requirements in Accounting Standards Codification (“ASC”) 605 “Revenue Recognition” (Topic 605)”. Topic 606 outlines a comprehensive five-step revenue recognition model based on the principle that an entity should recognize revenue when control of the promised goods or services is transferred to customers at an amount that reflects the consideration to which the Company expects to be entitled in exchange for those goods or services. Topic 606 also requires more detailed disclosures to enable users of financial statements to understand the nature, amount, timing, and uncertainty of revenue and cash flows arising from contracts with customers. The Company adopted Topic 606 effective June 30, 2018, using the modified retrospective method to all contracts that were not completed contracts as of the beginning of the fiscal year. The cumulative effect of adopting Topic 606 was a post-tax increase to the opening retained earnings of $56 million as of June 30, 2018, which was primarily related to the Company’s license and royalty revenue arrangements. These arrangements had no remaining performance obligations but were previously recognized under Topic 605 when they were reported to the Company by its licensees, which was generally one quarter in arrears from the licensees’ sales of the licensed products. Adoption of the standard did not have a material impact on the Company’s financial position, results of operations, and cash flows.</w:t>
      </w:r>
    </w:p>
    <w:p>
      <w:pPr>
        <w:spacing w:after="0" w:line="40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Company offers a broad range of data storage products that include Client Devices, Data Center Devices and Solutions, and Client Solutions. Client Devices consist of hard disk drives (“HDDs”) and solid state drives (“SSDs”) for computing devices; flash-based embedded storage products; and flash-based memory wafers. Data Center Devices and Solutions consist of high-capacity enterprise HDDs and high-performance enterprise SSDs, data center software and system solutions. Client Solutions consist of HDDs and SSDs embedded into external storage products and removable flash-based products. The Company also generates license and royalty revenue related to its IP patent licenses.</w:t>
      </w:r>
    </w:p>
    <w:p>
      <w:pPr>
        <w:spacing w:after="0" w:line="207"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constrained based on the Company’s history with similar transactions and that uncertainties are resolved in a fairly short period of time.</w:t>
      </w:r>
    </w:p>
    <w:p>
      <w:pPr>
        <w:spacing w:after="0" w:line="20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Substantially all of the Company’s revenue is from the sale of tangible products for which the performance obligations are satisfied at a point in time, generally upon delivery. The Company’s services revenue mainly includes post 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 to use arrangement is recognized at the time the control of the license is transferred to the customer. Revenue for a right to access arrangement is recognized over the contract period using the time lapse method. For the sales-based royalty arrangements, the Company estimates and recognizes revenue in the period in which customers’ licensable sales occur.</w:t>
      </w:r>
    </w:p>
    <w:p>
      <w:pPr>
        <w:spacing w:after="0" w:line="183"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 provides distributors and retailers (collectively referred to as “resellers”) with limited price protection for inventories held by resellers at the time of published list price reductions. The Company also provides resellers and original equipment manufacturers (“OEMs”) with other sales incentive programs. The Company records estimated variable consideration related to these items as a reduction to revenue at the time of revenue recognition. The Company uses judgment in its assessment of variable consideration in contracts to be included in the transaction price. The Company uses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spacing w:after="0" w:line="212" w:lineRule="exact"/>
        <w:rPr>
          <w:sz w:val="20"/>
          <w:szCs w:val="20"/>
          <w:color w:val="auto"/>
        </w:rPr>
      </w:pPr>
    </w:p>
    <w:p>
      <w:pPr>
        <w:ind w:right="320" w:firstLine="318"/>
        <w:spacing w:after="0" w:line="318" w:lineRule="auto"/>
        <w:rPr>
          <w:sz w:val="20"/>
          <w:szCs w:val="20"/>
          <w:color w:val="auto"/>
        </w:rPr>
      </w:pPr>
      <w:r>
        <w:rPr>
          <w:rFonts w:ascii="Arial" w:cs="Arial" w:eastAsia="Arial" w:hAnsi="Arial"/>
          <w:sz w:val="15"/>
          <w:szCs w:val="15"/>
          <w:color w:val="auto"/>
        </w:rPr>
        <w:t>For sales to OEMs, the Company’s methodology for estimating variable consideration is based on the amount of consideration expected to be earned based on the OEMs’ volume of purchases from the Company or other agreed upon sales incentive programs. For sales to resellers, the Company’s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spacing w:after="0" w:line="172"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Marketing development program costs are typically recorded as a reduction of the transaction price and, therefore, of revenue. The Company nets sales rebates against open customer receivable balances if the criteria to offset are met, otherwise they are recorded within other accrued liabilities.</w:t>
      </w:r>
    </w:p>
    <w:p>
      <w:pPr>
        <w:spacing w:after="0" w:line="13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An immaterial amount of the Company’s revenue arrangements include contracts that contain more than one performance obligation, which are typically comprised of tangible products, software and support services for multiple distinct licenses. For these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The Company allocates the transaction price to the performance obligations of each distinct product or service, or distinct bundle, based on their relative standalone selling prices. Where a separate standalone selling price is not available, the transaction price is based on the Company’s best estimate of the standalone selling price. The Company uses one or a combination of more than one of the following methods to estimate the standalone selling price: the adjusted market assessment approach, the expected cost plus a margin approach, or another suitable method based on the facts and circumstances.</w:t>
      </w:r>
    </w:p>
    <w:p>
      <w:pPr>
        <w:spacing w:after="0" w:line="211"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Company records an allowance for doubtful accounts by analyzing specific customer accounts and assessing the risk of loss based on insolvency or other collection issues. In addition, the Company routinely analyzes the various receivable aging categories to establish reserves based on a combination of past due receivables and expected future losses. If the financial condition of a significant customer deteriorates resulting in its inability to pay its accounts when due, or if the Company’s overall loss trajectory changes significantly, an adjustment in the Company’s allowance for doubtful accounts would be required, which could materially affect operating results.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366" w:right="41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Warranty</w:t>
      </w:r>
    </w:p>
    <w:p>
      <w:pPr>
        <w:spacing w:after="0" w:line="24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spacing w:after="0" w:line="4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Litigation and Other Contingencies</w:t>
      </w:r>
    </w:p>
    <w:p>
      <w:pPr>
        <w:spacing w:after="0" w:line="244"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17,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additional disclosures related to the Company’s litigation.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Advertising Expense</w:t>
      </w:r>
    </w:p>
    <w:p>
      <w:pPr>
        <w:spacing w:after="0" w:line="244"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Advertising costs are expensed as incurred and amounted to $84 million, $93 million and $107 million in 2021, 2020 and 2019, respectively. These expenses are included in Selling, general and administrative in the Consolidated Statements of Operations.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Research and Development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Research and development (“R&amp;D”) expenditures are expensed as incurred.</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Taxes</w:t>
      </w:r>
    </w:p>
    <w:p>
      <w:pPr>
        <w:spacing w:after="0" w:line="244" w:lineRule="exact"/>
        <w:rPr>
          <w:sz w:val="20"/>
          <w:szCs w:val="20"/>
          <w:color w:val="auto"/>
        </w:rPr>
      </w:pPr>
    </w:p>
    <w:p>
      <w:pPr>
        <w:ind w:right="260" w:firstLine="318"/>
        <w:spacing w:after="0" w:line="309" w:lineRule="auto"/>
        <w:rPr>
          <w:sz w:val="20"/>
          <w:szCs w:val="20"/>
          <w:color w:val="auto"/>
        </w:rPr>
      </w:pPr>
      <w:r>
        <w:rPr>
          <w:rFonts w:ascii="Arial" w:cs="Arial" w:eastAsia="Arial" w:hAnsi="Arial"/>
          <w:sz w:val="15"/>
          <w:szCs w:val="15"/>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 The Company accounts for interest and penalties related to income taxes as a component of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per Common Share</w:t>
      </w:r>
    </w:p>
    <w:p>
      <w:pPr>
        <w:spacing w:after="0" w:line="24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restricted stock unit awards (“RSU”), restricted stock unit awards with performance conditions or market conditions (“PSU”), rights to purchase shares of common stock under the Company’s Employee Stock Purchase Plan (“ESPP”) and shares issuable in connection with convertible debt.</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Stock-based Compensation</w:t>
      </w:r>
    </w:p>
    <w:p>
      <w:pPr>
        <w:spacing w:after="0" w:line="244"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The Company accounts for all stock-based compensation at fair value. Stock-based compensation cost is measured at the grant date based on the value of the award and is recognized as expense over the vesting period. The fair values of RSUs and PSUs with a performance condition are determined based on the closing market price of the Company’s stock on the date of the grant. The fair values of all ESPP purchase rights are estimated using the Black-Scholes-Merton option-pricing model and require the input of highly subjective assumptions. The fair values of PSUs with a market condition are estimated using a Monte Carlo simulation model. PSUs are granted to certain employees and vest only after the achievement of pre-determined performance or market conditions. Once these conditions are met, vesting of PSUs is subject to continued service by the employee. At the end of each reporting period, the Company evaluates the probability that PSUs with a performance condition will be earned and records the related stock-based compensation expense over the service period. Compensation expense for PSUs with market conditions is recognized ratably over the required service period regardless of expected or actual achievement.</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Comprehensive Income (Loss), Net of Tax</w:t>
      </w:r>
    </w:p>
    <w:p>
      <w:pPr>
        <w:spacing w:after="0" w:line="24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Other comprehensive income (loss), net of tax refers to revenue, expenses, gains and losses that are recorded as an element of shareholders’ equity but are excluded from net income. The Company’s other comprehensive income (loss), net of tax is primarily comprised of unrealized gains or losses on foreign exchange contracts and interest rate swap agreements designated as cash flow hedges, foreign currency translation, and actuarial gains or losses related to pensions.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Derivative Contracts</w:t>
      </w:r>
    </w:p>
    <w:p>
      <w:pPr>
        <w:spacing w:after="0" w:line="24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Substantially all of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Thai baht, Korean won and Israeli shekel, which had an aggregate notional amount of $4.88 billion and $4.62 billion at July 2, 2021 and July 3,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The Company accounts for its interest rate swaps as designated cash flow hedges to mitigate variations in interest payments under a portion of its LIBOR-based term loans due to variations in the LIBOR index. The Company pays interest monthly at a fixed rate and receives interest monthly at the LIBOR rate on the notional amount of the contract with realized gains or losses recognized in Interest expense.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change in the fair value of undesignated hedges is recognized in earnings in the period incurred and is reported in Other income, net.</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Pensions and Other Post-Retirement Benefit Plans</w:t>
      </w:r>
    </w:p>
    <w:p>
      <w:pPr>
        <w:spacing w:after="0" w:line="24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fiscal year-end. The Company recognizes the funded status of its defined benefit pension and post-retirement plans in the Consolidated Balance Sheets, with actuarial changes in the funded status recognized through accumulated other comprehensive income (loss) in the year in which such changes occur.</w:t>
      </w:r>
    </w:p>
    <w:p>
      <w:pPr>
        <w:spacing w:after="0" w:line="206"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Company reports the service cost component in the same line item or items as other compensation costs arising from services rendered by the pertinent employees during the period. In addition, the other components of net benefit cost are presented in Other income, net in the Consolidated Statements of Operations.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44"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w:t>
      </w:r>
    </w:p>
    <w:p>
      <w:pPr>
        <w:spacing w:after="0" w:line="2"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range of reasonable and supportable information to inform credit loss estimates. The amendments are effective for fiscal years (and interim periods within those fiscal years) beginning after December 15, 2019, which for the Company was the first quarter of fiscal 2021. The Company adopted this standard effective July 4, 2020 (the beginning of fiscal 2021) with no material impact on its Consolidated Financial Statements.</w:t>
      </w:r>
    </w:p>
    <w:p>
      <w:pPr>
        <w:spacing w:after="0" w:line="203" w:lineRule="exact"/>
        <w:rPr>
          <w:sz w:val="20"/>
          <w:szCs w:val="20"/>
          <w:color w:val="auto"/>
        </w:rPr>
      </w:pPr>
    </w:p>
    <w:p>
      <w:pPr>
        <w:ind w:right="180" w:firstLine="318"/>
        <w:spacing w:after="0" w:line="309" w:lineRule="auto"/>
        <w:rPr>
          <w:sz w:val="20"/>
          <w:szCs w:val="20"/>
          <w:color w:val="auto"/>
        </w:rPr>
      </w:pPr>
      <w:r>
        <w:rPr>
          <w:rFonts w:ascii="Arial" w:cs="Arial" w:eastAsia="Arial" w:hAnsi="Arial"/>
          <w:sz w:val="15"/>
          <w:szCs w:val="15"/>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ASC 606 by recognizing a cumulative-effect adjustment to the opening balance of retained earnings of the earliest annual period presented. The Company adopted this standard effective July 4, 2020 (the beginning of fiscal 2021) with no material impact on its Consolidated Financial Statements.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4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This ASU is effective for fiscal years (and interim periods within those fiscal years) beginning after December 15, 2020, which for the Company is the first quarter of fiscal 2022. Early adoption is permitted. The Company does not expect this update to have a material impact on its Consolidated Financial Statements.</w:t>
      </w:r>
    </w:p>
    <w:p>
      <w:pPr>
        <w:spacing w:after="0" w:line="222" w:lineRule="exact"/>
        <w:rPr>
          <w:sz w:val="20"/>
          <w:szCs w:val="20"/>
          <w:color w:val="auto"/>
        </w:rPr>
      </w:pPr>
    </w:p>
    <w:p>
      <w:pPr>
        <w:ind w:firstLine="318"/>
        <w:spacing w:after="0" w:line="298" w:lineRule="auto"/>
        <w:rPr>
          <w:sz w:val="20"/>
          <w:szCs w:val="20"/>
          <w:color w:val="auto"/>
        </w:rPr>
      </w:pPr>
      <w:r>
        <w:rPr>
          <w:rFonts w:ascii="Arial" w:cs="Arial" w:eastAsia="Arial" w:hAnsi="Arial"/>
          <w:sz w:val="15"/>
          <w:szCs w:val="15"/>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current standards. Those instruments</w:t>
      </w:r>
    </w:p>
    <w:p>
      <w:pPr>
        <w:spacing w:after="0" w:line="3"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For instruments that do not have a component mandatorily settled in cash, the change will likely result in a higher amount of share dilution in the calculation of earnings per share. This ASU is effective for fiscal years (and interim periods within those fiscal years) beginning after December 15, 2021, which for the Company is the first quarter of fiscal 2023, with early adoption permitted beginning in the first quarter of fiscal 2022. The Company is currently assessing the impact and timing of adoption of this ASU.</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4"/>
          <w:szCs w:val="14"/>
          <w:b w:val="1"/>
          <w:bCs w:val="1"/>
          <w:color w:val="auto"/>
        </w:rPr>
        <w:t>Revenues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3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177"/>
        </w:trPr>
        <w:tc>
          <w:tcPr>
            <w:tcW w:w="6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5"/>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340" w:type="dxa"/>
            <w:vAlign w:val="bottom"/>
          </w:tcPr>
          <w:p>
            <w:pPr>
              <w:ind w:left="140"/>
              <w:spacing w:after="0"/>
              <w:rPr>
                <w:sz w:val="20"/>
                <w:szCs w:val="20"/>
                <w:color w:val="auto"/>
              </w:rPr>
            </w:pPr>
            <w:r>
              <w:rPr>
                <w:rFonts w:ascii="Arial" w:cs="Arial" w:eastAsia="Arial" w:hAnsi="Arial"/>
                <w:sz w:val="16"/>
                <w:szCs w:val="16"/>
                <w:color w:val="auto"/>
              </w:rPr>
              <w:t>HDD</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8,216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8,967</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8,746</w:t>
            </w:r>
          </w:p>
        </w:tc>
      </w:tr>
      <w:tr>
        <w:trPr>
          <w:trHeight w:val="214"/>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Flash-based</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7,823</w:t>
            </w:r>
          </w:p>
        </w:tc>
      </w:tr>
      <w:tr>
        <w:trPr>
          <w:trHeight w:val="203"/>
        </w:trPr>
        <w:tc>
          <w:tcPr>
            <w:tcW w:w="63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16,922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16,569</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1"/>
        </w:trPr>
        <w:tc>
          <w:tcPr>
            <w:tcW w:w="6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Revenue by End Market</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 Devices</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8,095</w:t>
            </w:r>
          </w:p>
        </w:tc>
      </w:tr>
      <w:tr>
        <w:trPr>
          <w:trHeight w:val="210"/>
        </w:trPr>
        <w:tc>
          <w:tcPr>
            <w:tcW w:w="6340" w:type="dxa"/>
            <w:vAlign w:val="bottom"/>
          </w:tcPr>
          <w:p>
            <w:pPr>
              <w:ind w:left="140"/>
              <w:spacing w:after="0"/>
              <w:rPr>
                <w:sz w:val="20"/>
                <w:szCs w:val="20"/>
                <w:color w:val="auto"/>
              </w:rPr>
            </w:pPr>
            <w:r>
              <w:rPr>
                <w:rFonts w:ascii="Arial" w:cs="Arial" w:eastAsia="Arial" w:hAnsi="Arial"/>
                <w:sz w:val="16"/>
                <w:szCs w:val="16"/>
                <w:color w:val="auto"/>
              </w:rPr>
              <w:t>Data Center Devices &amp; Solutions</w:t>
            </w:r>
          </w:p>
        </w:tc>
        <w:tc>
          <w:tcPr>
            <w:tcW w:w="90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4,950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5,038</w:t>
            </w:r>
          </w:p>
        </w:tc>
      </w:tr>
      <w:tr>
        <w:trPr>
          <w:trHeight w:val="212"/>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 Solutions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r>
      <w:tr>
        <w:trPr>
          <w:trHeight w:val="208"/>
        </w:trPr>
        <w:tc>
          <w:tcPr>
            <w:tcW w:w="63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16,922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16,569</w:t>
            </w:r>
          </w:p>
        </w:tc>
      </w:tr>
      <w:tr>
        <w:trPr>
          <w:trHeight w:val="20"/>
        </w:trPr>
        <w:tc>
          <w:tcPr>
            <w:tcW w:w="6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either July 2, 2021 or July 3, 2020. Contract liabilities relate to customers’ payments in advance of performance under the contract and primarily relate to remaining performance obligations under support and maintenance contracts. Contract liabilities as of July 2, 2021 and July 3, 2020 and changes in contract liabilities during fiscal years 2021 and 2020 were not material.</w:t>
      </w:r>
    </w:p>
    <w:p>
      <w:pPr>
        <w:spacing w:after="0" w:line="22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and the related amortization as of July 2, 2021 and July 3, 2020 and for the years then ended, were not material.</w:t>
      </w:r>
    </w:p>
    <w:p>
      <w:pPr>
        <w:spacing w:after="0" w:line="222"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July 2, 2021 was $71 million, which is mainly attributable to the functional IP license and service arrangements. The Company expects to recognize this amount as revenue as follows: $40 million in fiscal 2022, $30 million in fiscal 2023, and $1 million in fiscal 2024 and thereafter.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Supplemental Financial Statement Data</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Accounts receivable, net</w:t>
      </w:r>
    </w:p>
    <w:p>
      <w:pPr>
        <w:spacing w:after="0" w:line="24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 party purchasers in exchange for cash. In 2021, 2020 and 2019, the Company sold trade accounts receivable and received cash proceeds of $233 million, $411 million and $1.02 billion, respectively. The discounts on the trade accounts receivable sold during the periods were not material and were recorded within Other income, net in the Consolidated Statements of Operations. As of July 2, 2021 and July 3, 2020, the amount of factored receivables that remained outstanding was $0 million and $113 million,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423"/>
              <w:spacing w:after="0"/>
              <w:rPr>
                <w:sz w:val="20"/>
                <w:szCs w:val="20"/>
                <w:color w:val="auto"/>
              </w:rPr>
            </w:pPr>
            <w:r>
              <w:rPr>
                <w:rFonts w:ascii="Arial" w:cs="Arial" w:eastAsia="Arial" w:hAnsi="Arial"/>
                <w:sz w:val="14"/>
                <w:szCs w:val="14"/>
                <w:b w:val="1"/>
                <w:bCs w:val="1"/>
                <w:color w:val="auto"/>
              </w:rPr>
              <w:t>July 3,</w:t>
            </w:r>
          </w:p>
        </w:tc>
      </w:tr>
      <w:tr>
        <w:trPr>
          <w:trHeight w:val="185"/>
        </w:trPr>
        <w:tc>
          <w:tcPr>
            <w:tcW w:w="8000" w:type="dxa"/>
            <w:vAlign w:val="bottom"/>
          </w:tcPr>
          <w:p>
            <w:pPr>
              <w:spacing w:after="0"/>
              <w:rPr>
                <w:sz w:val="16"/>
                <w:szCs w:val="16"/>
                <w:color w:val="auto"/>
              </w:rPr>
            </w:pPr>
          </w:p>
        </w:tc>
        <w:tc>
          <w:tcPr>
            <w:tcW w:w="11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r>
      <w:tr>
        <w:trPr>
          <w:trHeight w:val="177"/>
        </w:trPr>
        <w:tc>
          <w:tcPr>
            <w:tcW w:w="8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5"/>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8000" w:type="dxa"/>
            <w:vAlign w:val="bottom"/>
          </w:tcPr>
          <w:p>
            <w:pPr>
              <w:ind w:left="300"/>
              <w:spacing w:after="0"/>
              <w:rPr>
                <w:sz w:val="20"/>
                <w:szCs w:val="20"/>
                <w:color w:val="auto"/>
              </w:rPr>
            </w:pPr>
            <w:r>
              <w:rPr>
                <w:rFonts w:ascii="Arial" w:cs="Arial" w:eastAsia="Arial" w:hAnsi="Arial"/>
                <w:sz w:val="16"/>
                <w:szCs w:val="16"/>
                <w:color w:val="auto"/>
              </w:rPr>
              <w:t>Raw materials and component parts</w:t>
            </w:r>
          </w:p>
        </w:tc>
        <w:tc>
          <w:tcPr>
            <w:tcW w:w="110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w w:val="94"/>
              </w:rPr>
              <w:t>1,623</w:t>
            </w:r>
          </w:p>
        </w:tc>
        <w:tc>
          <w:tcPr>
            <w:tcW w:w="100" w:type="dxa"/>
            <w:vAlign w:val="bottom"/>
          </w:tcPr>
          <w:p>
            <w:pPr>
              <w:spacing w:after="0"/>
              <w:rPr>
                <w:sz w:val="18"/>
                <w:szCs w:val="18"/>
                <w:color w:val="auto"/>
              </w:rPr>
            </w:pPr>
          </w:p>
        </w:tc>
        <w:tc>
          <w:tcPr>
            <w:tcW w:w="5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1,306</w:t>
            </w:r>
          </w:p>
        </w:tc>
      </w:tr>
      <w:tr>
        <w:trPr>
          <w:trHeight w:val="214"/>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Work-in-process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4"/>
              </w:rPr>
              <w:t>1,088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10"/>
        </w:trPr>
        <w:tc>
          <w:tcPr>
            <w:tcW w:w="80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Finished goods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r>
      <w:tr>
        <w:trPr>
          <w:trHeight w:val="233"/>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inventories</w:t>
            </w:r>
          </w:p>
        </w:tc>
        <w:tc>
          <w:tcPr>
            <w:tcW w:w="110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4"/>
              </w:rPr>
              <w:t>3,616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Property, plant and equipment, net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422"/>
              <w:spacing w:after="0"/>
              <w:rPr>
                <w:sz w:val="20"/>
                <w:szCs w:val="20"/>
                <w:color w:val="auto"/>
              </w:rPr>
            </w:pPr>
            <w:r>
              <w:rPr>
                <w:rFonts w:ascii="Arial" w:cs="Arial" w:eastAsia="Arial" w:hAnsi="Arial"/>
                <w:sz w:val="14"/>
                <w:szCs w:val="14"/>
                <w:b w:val="1"/>
                <w:bCs w:val="1"/>
                <w:color w:val="auto"/>
              </w:rPr>
              <w:t>July 3,</w:t>
            </w:r>
          </w:p>
        </w:tc>
      </w:tr>
      <w:tr>
        <w:trPr>
          <w:trHeight w:val="185"/>
        </w:trPr>
        <w:tc>
          <w:tcPr>
            <w:tcW w:w="8000" w:type="dxa"/>
            <w:vAlign w:val="bottom"/>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r>
      <w:tr>
        <w:trPr>
          <w:trHeight w:val="177"/>
        </w:trPr>
        <w:tc>
          <w:tcPr>
            <w:tcW w:w="8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5"/>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plant and equipment:</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8000" w:type="dxa"/>
            <w:vAlign w:val="bottom"/>
          </w:tcPr>
          <w:p>
            <w:pPr>
              <w:ind w:left="300"/>
              <w:spacing w:after="0"/>
              <w:rPr>
                <w:sz w:val="20"/>
                <w:szCs w:val="20"/>
                <w:color w:val="auto"/>
              </w:rPr>
            </w:pPr>
            <w:r>
              <w:rPr>
                <w:rFonts w:ascii="Arial" w:cs="Arial" w:eastAsia="Arial" w:hAnsi="Arial"/>
                <w:sz w:val="16"/>
                <w:szCs w:val="16"/>
                <w:color w:val="auto"/>
              </w:rPr>
              <w:t>Land</w:t>
            </w:r>
          </w:p>
        </w:tc>
        <w:tc>
          <w:tcPr>
            <w:tcW w:w="1060" w:type="dxa"/>
            <w:vAlign w:val="bottom"/>
          </w:tcPr>
          <w:p>
            <w:pPr>
              <w:jc w:val="right"/>
              <w:ind w:right="725"/>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5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5"/>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Buildings and improvements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r>
      <w:tr>
        <w:trPr>
          <w:trHeight w:val="209"/>
        </w:trPr>
        <w:tc>
          <w:tcPr>
            <w:tcW w:w="8000" w:type="dxa"/>
            <w:vAlign w:val="bottom"/>
          </w:tcPr>
          <w:p>
            <w:pPr>
              <w:ind w:left="300"/>
              <w:spacing w:after="0"/>
              <w:rPr>
                <w:sz w:val="20"/>
                <w:szCs w:val="20"/>
                <w:color w:val="auto"/>
              </w:rPr>
            </w:pPr>
            <w:r>
              <w:rPr>
                <w:rFonts w:ascii="Arial" w:cs="Arial" w:eastAsia="Arial" w:hAnsi="Arial"/>
                <w:sz w:val="16"/>
                <w:szCs w:val="16"/>
                <w:color w:val="auto"/>
              </w:rPr>
              <w:t>Machinery and equipment</w:t>
            </w:r>
          </w:p>
        </w:tc>
        <w:tc>
          <w:tcPr>
            <w:tcW w:w="106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7,860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7,391</w:t>
            </w:r>
          </w:p>
        </w:tc>
      </w:tr>
      <w:tr>
        <w:trPr>
          <w:trHeight w:val="215"/>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Computer equipment and software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10"/>
        </w:trPr>
        <w:tc>
          <w:tcPr>
            <w:tcW w:w="8000" w:type="dxa"/>
            <w:vAlign w:val="bottom"/>
          </w:tcPr>
          <w:p>
            <w:pPr>
              <w:ind w:left="300"/>
              <w:spacing w:after="0"/>
              <w:rPr>
                <w:sz w:val="20"/>
                <w:szCs w:val="20"/>
                <w:color w:val="auto"/>
              </w:rPr>
            </w:pPr>
            <w:r>
              <w:rPr>
                <w:rFonts w:ascii="Arial" w:cs="Arial" w:eastAsia="Arial" w:hAnsi="Arial"/>
                <w:sz w:val="16"/>
                <w:szCs w:val="16"/>
                <w:color w:val="auto"/>
              </w:rPr>
              <w:t>Furniture and fixtures</w:t>
            </w:r>
          </w:p>
        </w:tc>
        <w:tc>
          <w:tcPr>
            <w:tcW w:w="106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Construction-in-process</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03"/>
        </w:trPr>
        <w:tc>
          <w:tcPr>
            <w:tcW w:w="8000" w:type="dxa"/>
            <w:vAlign w:val="bottom"/>
          </w:tcPr>
          <w:p>
            <w:pPr>
              <w:ind w:left="380"/>
              <w:spacing w:after="0"/>
              <w:rPr>
                <w:sz w:val="20"/>
                <w:szCs w:val="20"/>
                <w:color w:val="auto"/>
              </w:rPr>
            </w:pPr>
            <w:r>
              <w:rPr>
                <w:rFonts w:ascii="Arial" w:cs="Arial" w:eastAsia="Arial" w:hAnsi="Arial"/>
                <w:sz w:val="16"/>
                <w:szCs w:val="16"/>
                <w:color w:val="auto"/>
              </w:rPr>
              <w:t>Property, plant and equipment, gross</w:t>
            </w:r>
          </w:p>
        </w:tc>
        <w:tc>
          <w:tcPr>
            <w:tcW w:w="106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w w:val="85"/>
              </w:rPr>
              <w:t>10,959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10,300</w:t>
            </w:r>
          </w:p>
        </w:tc>
      </w:tr>
      <w:tr>
        <w:trPr>
          <w:trHeight w:val="212"/>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depreciation</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(7,771)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(7,446)</w:t>
            </w:r>
          </w:p>
        </w:tc>
      </w:tr>
      <w:tr>
        <w:trPr>
          <w:trHeight w:val="208"/>
        </w:trPr>
        <w:tc>
          <w:tcPr>
            <w:tcW w:w="800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3,188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of property, plant and equipment totaled $726 million, $797 million and $844 million in 2021, 2020 and 2019,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Carrying Amount</w:t>
            </w:r>
          </w:p>
        </w:tc>
      </w:tr>
      <w:tr>
        <w:trPr>
          <w:trHeight w:val="181"/>
        </w:trPr>
        <w:tc>
          <w:tcPr>
            <w:tcW w:w="9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282"/>
              <w:spacing w:after="0"/>
              <w:rPr>
                <w:sz w:val="20"/>
                <w:szCs w:val="20"/>
                <w:color w:val="auto"/>
              </w:rPr>
            </w:pPr>
            <w:r>
              <w:rPr>
                <w:rFonts w:ascii="Arial" w:cs="Arial" w:eastAsia="Arial" w:hAnsi="Arial"/>
                <w:sz w:val="14"/>
                <w:szCs w:val="14"/>
                <w:i w:val="1"/>
                <w:iCs w:val="1"/>
                <w:color w:val="auto"/>
              </w:rPr>
              <w:t>(in millions)</w:t>
            </w:r>
          </w:p>
        </w:tc>
      </w:tr>
      <w:tr>
        <w:trPr>
          <w:trHeight w:val="215"/>
        </w:trPr>
        <w:tc>
          <w:tcPr>
            <w:tcW w:w="9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June 28, 2019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10,076</w:t>
            </w:r>
          </w:p>
        </w:tc>
      </w:tr>
      <w:tr>
        <w:trPr>
          <w:trHeight w:val="210"/>
        </w:trPr>
        <w:tc>
          <w:tcPr>
            <w:tcW w:w="9660" w:type="dxa"/>
            <w:vAlign w:val="bottom"/>
          </w:tcPr>
          <w:p>
            <w:pPr>
              <w:ind w:left="300"/>
              <w:spacing w:after="0"/>
              <w:rPr>
                <w:sz w:val="20"/>
                <w:szCs w:val="20"/>
                <w:color w:val="auto"/>
              </w:rPr>
            </w:pPr>
            <w:r>
              <w:rPr>
                <w:rFonts w:ascii="Arial" w:cs="Arial" w:eastAsia="Arial" w:hAnsi="Arial"/>
                <w:sz w:val="16"/>
                <w:szCs w:val="16"/>
                <w:color w:val="auto"/>
              </w:rPr>
              <w:t>Goodwill recorded in connection with acquisitions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9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 price adjustments to goodwill</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96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9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July 3, 2020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10,067</w:t>
            </w:r>
          </w:p>
        </w:tc>
      </w:tr>
      <w:tr>
        <w:trPr>
          <w:trHeight w:val="210"/>
        </w:trPr>
        <w:tc>
          <w:tcPr>
            <w:tcW w:w="96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9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at July 2, 2021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Acquisition</w:t>
      </w:r>
    </w:p>
    <w:p>
      <w:pPr>
        <w:spacing w:after="0" w:line="24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On September 10, 2019, the Company acquired substantially all the assets of Kazan Networks, Inc., an innovator in high-performance networking and non-volatile memory express over fabrics technology, and an industry leader in application-specific integrated circuit and adapter solutions to connect storage platforms and systems over ethernet fabrics. The purchase price of this acquisition was $22 million in cash, with net assets acquired primarily consisting of IPR&amp;D of $8 million and $14 million allocated to Goodwill. Goodwill is primarily attributable to the benefits the Company expects to derive from diversifying product offerings in its Data Center Devices and Solutions and Client Solutions end markets as well as the acquired workforce. The expenses incurred by the Company related to the acquisition as well as the revenues and earnings related to the acquisition were not material to the Consolidated Financial Statements.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Dispositions</w:t>
      </w:r>
    </w:p>
    <w:p>
      <w:pPr>
        <w:spacing w:after="0" w:line="24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In September 2019, the Company announced its intention to exit storage systems, which consisted of IntelliFlash and ActiveScale. These actions allow the Company to redirect investments to other high value priorities. In November 2019, the Company completed its sale of IntelliFlash for a price of $28 million, to be collected over the next three years. The sale of the IntelliFlash business included an immaterial amount of inventory, other tangible and intangible assets, and goodwill; and resulted in a gain of approximately $17 million recorded in Employee termination, asset impairment, and other charges in the Consolidated Statements of Operations for the year ended July 3, 2020. Additionally, in March 2020, the Company completed the sale of ActiveScale. The net assets sold and the proceeds from the sale of ActiveScale were not material. The revenues and expenses related to these businesses were not material to the Consolidated Financial Statements and did not qualify to be reported as discontinued operations. The operating results of these businesses have been reflected in the Company’s results from continuing operations in the Consolidated Statements of Operations for all periods presented through the date of disposition.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Intangible assets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present intangible assets as of July 2, 2021 and July 3,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4"/>
              </w:rPr>
              <w:t>July 2, 2021</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4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3"/>
              <w:spacing w:after="0" w:line="131"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4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Net Carrying Amount</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Amortization Period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4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69"/>
              <w:spacing w:after="0"/>
              <w:rPr>
                <w:sz w:val="20"/>
                <w:szCs w:val="20"/>
                <w:color w:val="auto"/>
              </w:rPr>
            </w:pPr>
            <w:r>
              <w:rPr>
                <w:rFonts w:ascii="Arial" w:cs="Arial" w:eastAsia="Arial" w:hAnsi="Arial"/>
                <w:sz w:val="14"/>
                <w:szCs w:val="14"/>
                <w:i w:val="1"/>
                <w:iCs w:val="1"/>
                <w:color w:val="auto"/>
                <w:w w:val="92"/>
              </w:rPr>
              <w:t>(in years)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263"/>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Finite: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20"/>
              <w:spacing w:after="0"/>
              <w:rPr>
                <w:sz w:val="20"/>
                <w:szCs w:val="20"/>
                <w:color w:val="auto"/>
              </w:rPr>
            </w:pPr>
            <w:r>
              <w:rPr>
                <w:rFonts w:ascii="Arial" w:cs="Arial" w:eastAsia="Arial" w:hAnsi="Arial"/>
                <w:sz w:val="16"/>
                <w:szCs w:val="16"/>
                <w:color w:val="auto"/>
              </w:rPr>
              <w:t>Existing technology</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(4,165)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 names and trademarks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9"/>
        </w:trPr>
        <w:tc>
          <w:tcPr>
            <w:tcW w:w="520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Leasehold interests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5200" w:type="dxa"/>
            <w:vAlign w:val="bottom"/>
          </w:tcPr>
          <w:p>
            <w:pPr>
              <w:ind w:left="40"/>
              <w:spacing w:after="0"/>
              <w:rPr>
                <w:sz w:val="20"/>
                <w:szCs w:val="20"/>
                <w:color w:val="auto"/>
              </w:rPr>
            </w:pPr>
            <w:r>
              <w:rPr>
                <w:rFonts w:ascii="Arial" w:cs="Arial" w:eastAsia="Arial" w:hAnsi="Arial"/>
                <w:sz w:val="16"/>
                <w:szCs w:val="16"/>
                <w:color w:val="auto"/>
              </w:rPr>
              <w:t>Total finite intangible assets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In-process research and development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8"/>
        </w:trPr>
        <w:tc>
          <w:tcPr>
            <w:tcW w:w="5200" w:type="dxa"/>
            <w:vAlign w:val="bottom"/>
          </w:tcPr>
          <w:p>
            <w:pPr>
              <w:ind w:left="40"/>
              <w:spacing w:after="0"/>
              <w:rPr>
                <w:sz w:val="20"/>
                <w:szCs w:val="20"/>
                <w:color w:val="auto"/>
              </w:rPr>
            </w:pPr>
            <w:r>
              <w:rPr>
                <w:rFonts w:ascii="Arial" w:cs="Arial" w:eastAsia="Arial" w:hAnsi="Arial"/>
                <w:sz w:val="16"/>
                <w:szCs w:val="16"/>
                <w:color w:val="auto"/>
              </w:rPr>
              <w:t>Total intangible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923"/>
              <w:spacing w:after="0"/>
              <w:rPr>
                <w:sz w:val="20"/>
                <w:szCs w:val="20"/>
                <w:color w:val="auto"/>
              </w:rPr>
            </w:pPr>
            <w:r>
              <w:rPr>
                <w:rFonts w:ascii="Arial" w:cs="Arial" w:eastAsia="Arial" w:hAnsi="Arial"/>
                <w:sz w:val="14"/>
                <w:szCs w:val="14"/>
                <w:b w:val="1"/>
                <w:bCs w:val="1"/>
                <w:color w:val="auto"/>
              </w:rPr>
              <w:t>July 3, 2020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4"/>
          </w:tcPr>
          <w:p>
            <w:pPr>
              <w:jc w:val="center"/>
              <w:ind w:right="80"/>
              <w:spacing w:after="0" w:line="131" w:lineRule="exact"/>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1"/>
                <w:szCs w:val="11"/>
                <w:color w:val="auto"/>
              </w:rPr>
            </w:pPr>
          </w:p>
        </w:tc>
        <w:tc>
          <w:tcPr>
            <w:tcW w:w="1020" w:type="dxa"/>
            <w:vAlign w:val="bottom"/>
          </w:tcPr>
          <w:p>
            <w:pPr>
              <w:ind w:left="60"/>
              <w:spacing w:after="0" w:line="131" w:lineRule="exact"/>
              <w:rPr>
                <w:sz w:val="20"/>
                <w:szCs w:val="20"/>
                <w:color w:val="auto"/>
              </w:rPr>
            </w:pPr>
            <w:r>
              <w:rPr>
                <w:rFonts w:ascii="Arial" w:cs="Arial" w:eastAsia="Arial" w:hAnsi="Arial"/>
                <w:sz w:val="14"/>
                <w:szCs w:val="14"/>
                <w:b w:val="1"/>
                <w:bCs w:val="1"/>
                <w:color w:val="auto"/>
                <w:w w:val="92"/>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3"/>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22"/>
              <w:spacing w:after="0" w:line="131"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Amortization Period</w:t>
            </w:r>
          </w:p>
        </w:tc>
        <w:tc>
          <w:tcPr>
            <w:tcW w:w="180" w:type="dxa"/>
            <w:vAlign w:val="bottom"/>
          </w:tcPr>
          <w:p>
            <w:pPr>
              <w:spacing w:after="0"/>
              <w:rPr>
                <w:sz w:val="16"/>
                <w:szCs w:val="16"/>
                <w:color w:val="auto"/>
              </w:rPr>
            </w:pPr>
          </w:p>
        </w:tc>
        <w:tc>
          <w:tcPr>
            <w:tcW w:w="1020" w:type="dxa"/>
            <w:vAlign w:val="bottom"/>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jc w:val="center"/>
              <w:ind w:left="149"/>
              <w:spacing w:after="0"/>
              <w:rPr>
                <w:sz w:val="20"/>
                <w:szCs w:val="20"/>
                <w:color w:val="auto"/>
              </w:rPr>
            </w:pPr>
            <w:r>
              <w:rPr>
                <w:rFonts w:ascii="Arial" w:cs="Arial" w:eastAsia="Arial" w:hAnsi="Arial"/>
                <w:sz w:val="14"/>
                <w:szCs w:val="14"/>
                <w:i w:val="1"/>
                <w:iCs w:val="1"/>
                <w:color w:val="auto"/>
                <w:w w:val="95"/>
              </w:rPr>
              <w:t>(in years)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83"/>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Finite: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120"/>
              <w:spacing w:after="0"/>
              <w:rPr>
                <w:sz w:val="20"/>
                <w:szCs w:val="20"/>
                <w:color w:val="auto"/>
              </w:rPr>
            </w:pPr>
            <w:r>
              <w:rPr>
                <w:rFonts w:ascii="Arial" w:cs="Arial" w:eastAsia="Arial" w:hAnsi="Arial"/>
                <w:sz w:val="16"/>
                <w:szCs w:val="16"/>
                <w:color w:val="auto"/>
              </w:rPr>
              <w:t>Existing technology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1"/>
              <w:spacing w:after="0"/>
              <w:rPr>
                <w:sz w:val="20"/>
                <w:szCs w:val="20"/>
                <w:color w:val="auto"/>
              </w:rPr>
            </w:pPr>
            <w:r>
              <w:rPr>
                <w:rFonts w:ascii="Arial" w:cs="Arial" w:eastAsia="Arial" w:hAnsi="Arial"/>
                <w:sz w:val="16"/>
                <w:szCs w:val="16"/>
                <w:color w:val="auto"/>
              </w:rPr>
              <w:t>4,248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(3,852)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 names and trademarks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9"/>
        </w:trPr>
        <w:tc>
          <w:tcPr>
            <w:tcW w:w="520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1"/>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Leasehold interests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w w:val="78"/>
              </w:rPr>
              <w:t>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1"/>
              </w:rPr>
              <w:t>(7)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Total finite intangible assets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1"/>
              <w:spacing w:after="0"/>
              <w:rPr>
                <w:sz w:val="20"/>
                <w:szCs w:val="20"/>
                <w:color w:val="auto"/>
              </w:rPr>
            </w:pPr>
            <w:r>
              <w:rPr>
                <w:rFonts w:ascii="Arial" w:cs="Arial" w:eastAsia="Arial" w:hAnsi="Arial"/>
                <w:sz w:val="16"/>
                <w:szCs w:val="16"/>
                <w:color w:val="auto"/>
              </w:rPr>
              <w:t>5,541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w w:val="78"/>
              </w:rPr>
              <w:t>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8"/>
        </w:trPr>
        <w:tc>
          <w:tcPr>
            <w:tcW w:w="520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rPr>
              <w:t>5,621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2021, 2020 and 2019, the Company did not record any impairment charges related to intangible assets.</w:t>
      </w:r>
    </w:p>
    <w:p>
      <w:pPr>
        <w:spacing w:after="0" w:line="244" w:lineRule="exact"/>
        <w:rPr>
          <w:sz w:val="20"/>
          <w:szCs w:val="20"/>
          <w:color w:val="auto"/>
        </w:rPr>
      </w:pPr>
    </w:p>
    <w:p>
      <w:pPr>
        <w:ind w:right="60" w:firstLine="318"/>
        <w:spacing w:after="0" w:line="262" w:lineRule="auto"/>
        <w:rPr>
          <w:sz w:val="20"/>
          <w:szCs w:val="20"/>
          <w:color w:val="auto"/>
        </w:rPr>
      </w:pPr>
      <w:r>
        <w:rPr>
          <w:rFonts w:ascii="Arial" w:cs="Arial" w:eastAsia="Arial" w:hAnsi="Arial"/>
          <w:sz w:val="18"/>
          <w:szCs w:val="18"/>
          <w:color w:val="auto"/>
        </w:rPr>
        <w:t>Intangible assets are amortized over the estimated useful lives based on the pattern in which the economic benefits are expected to be received. Intangible asset amortization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2019</w:t>
            </w:r>
          </w:p>
        </w:tc>
      </w:tr>
      <w:tr>
        <w:trPr>
          <w:trHeight w:val="181"/>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6"/>
              <w:spacing w:after="0"/>
              <w:rPr>
                <w:sz w:val="20"/>
                <w:szCs w:val="20"/>
                <w:color w:val="auto"/>
              </w:rPr>
            </w:pPr>
            <w:r>
              <w:rPr>
                <w:rFonts w:ascii="Arial" w:cs="Arial" w:eastAsia="Arial" w:hAnsi="Arial"/>
                <w:sz w:val="14"/>
                <w:szCs w:val="14"/>
                <w:i w:val="1"/>
                <w:iCs w:val="1"/>
                <w:color w:val="auto"/>
                <w:w w:val="98"/>
              </w:rPr>
              <w:t>(in millions)</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5"/>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486</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769</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estimated future amortization expense for intangible assets currently subject to amortization as of July 2,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5"/>
              <w:spacing w:after="0"/>
              <w:rPr>
                <w:sz w:val="20"/>
                <w:szCs w:val="20"/>
                <w:color w:val="auto"/>
              </w:rPr>
            </w:pPr>
            <w:r>
              <w:rPr>
                <w:rFonts w:ascii="Arial" w:cs="Arial" w:eastAsia="Arial" w:hAnsi="Arial"/>
                <w:sz w:val="14"/>
                <w:szCs w:val="14"/>
                <w:b w:val="1"/>
                <w:bCs w:val="1"/>
                <w:color w:val="auto"/>
                <w:w w:val="93"/>
              </w:rPr>
              <w:t>Future Intangible</w:t>
            </w:r>
          </w:p>
        </w:tc>
      </w:tr>
      <w:tr>
        <w:trPr>
          <w:trHeight w:val="133"/>
        </w:trPr>
        <w:tc>
          <w:tcPr>
            <w:tcW w:w="9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25"/>
              <w:spacing w:after="0" w:line="133" w:lineRule="exact"/>
              <w:rPr>
                <w:sz w:val="20"/>
                <w:szCs w:val="20"/>
                <w:color w:val="auto"/>
              </w:rPr>
            </w:pPr>
            <w:r>
              <w:rPr>
                <w:rFonts w:ascii="Arial" w:cs="Arial" w:eastAsia="Arial" w:hAnsi="Arial"/>
                <w:sz w:val="14"/>
                <w:szCs w:val="14"/>
                <w:b w:val="1"/>
                <w:bCs w:val="1"/>
                <w:color w:val="auto"/>
                <w:w w:val="90"/>
              </w:rPr>
              <w:t>Asset Amortization</w:t>
            </w:r>
          </w:p>
        </w:tc>
      </w:tr>
      <w:tr>
        <w:trPr>
          <w:trHeight w:val="185"/>
        </w:trPr>
        <w:tc>
          <w:tcPr>
            <w:tcW w:w="9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5"/>
              </w:rPr>
              <w:t>Expenses</w:t>
            </w:r>
          </w:p>
        </w:tc>
      </w:tr>
      <w:tr>
        <w:trPr>
          <w:trHeight w:val="177"/>
        </w:trPr>
        <w:tc>
          <w:tcPr>
            <w:tcW w:w="9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45"/>
              <w:spacing w:after="0"/>
              <w:rPr>
                <w:sz w:val="20"/>
                <w:szCs w:val="20"/>
                <w:color w:val="auto"/>
              </w:rPr>
            </w:pPr>
            <w:r>
              <w:rPr>
                <w:rFonts w:ascii="Arial" w:cs="Arial" w:eastAsia="Arial" w:hAnsi="Arial"/>
                <w:sz w:val="14"/>
                <w:szCs w:val="14"/>
                <w:i w:val="1"/>
                <w:iCs w:val="1"/>
                <w:color w:val="auto"/>
                <w:w w:val="98"/>
              </w:rPr>
              <w:t>(in millions)</w:t>
            </w:r>
          </w:p>
        </w:tc>
      </w:tr>
      <w:tr>
        <w:trPr>
          <w:trHeight w:val="215"/>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9760" w:type="dxa"/>
            <w:vAlign w:val="bottom"/>
          </w:tcPr>
          <w:p>
            <w:pPr>
              <w:ind w:left="120"/>
              <w:spacing w:after="0"/>
              <w:rPr>
                <w:sz w:val="20"/>
                <w:szCs w:val="20"/>
                <w:color w:val="auto"/>
              </w:rPr>
            </w:pPr>
            <w:r>
              <w:rPr>
                <w:rFonts w:ascii="Arial" w:cs="Arial" w:eastAsia="Arial" w:hAnsi="Arial"/>
                <w:sz w:val="16"/>
                <w:szCs w:val="16"/>
                <w:color w:val="auto"/>
              </w:rPr>
              <w:t>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4"/>
        </w:trPr>
        <w:tc>
          <w:tcPr>
            <w:tcW w:w="9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0"/>
        </w:trPr>
        <w:tc>
          <w:tcPr>
            <w:tcW w:w="9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2024 and thereafter</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3"/>
        </w:trPr>
        <w:tc>
          <w:tcPr>
            <w:tcW w:w="9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future amortization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warranty liability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warranty accrual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r>
      <w:tr>
        <w:trPr>
          <w:trHeight w:val="181"/>
        </w:trPr>
        <w:tc>
          <w:tcPr>
            <w:tcW w:w="6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accrual, beginning of period</w:t>
            </w:r>
          </w:p>
        </w:tc>
        <w:tc>
          <w:tcPr>
            <w:tcW w:w="12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0"/>
        </w:trPr>
        <w:tc>
          <w:tcPr>
            <w:tcW w:w="6040" w:type="dxa"/>
            <w:vAlign w:val="bottom"/>
          </w:tcPr>
          <w:p>
            <w:pPr>
              <w:ind w:left="460"/>
              <w:spacing w:after="0"/>
              <w:rPr>
                <w:sz w:val="20"/>
                <w:szCs w:val="20"/>
                <w:color w:val="auto"/>
              </w:rPr>
            </w:pPr>
            <w:r>
              <w:rPr>
                <w:rFonts w:ascii="Arial" w:cs="Arial" w:eastAsia="Arial" w:hAnsi="Arial"/>
                <w:sz w:val="16"/>
                <w:szCs w:val="16"/>
                <w:color w:val="auto"/>
              </w:rPr>
              <w:t>Charges to operations</w:t>
            </w:r>
          </w:p>
        </w:tc>
        <w:tc>
          <w:tcPr>
            <w:tcW w:w="120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4"/>
        </w:trPr>
        <w:tc>
          <w:tcPr>
            <w:tcW w:w="6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Utilization</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0"/>
        </w:trPr>
        <w:tc>
          <w:tcPr>
            <w:tcW w:w="6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Changes in estimate related to pre-existing warranties</w:t>
            </w:r>
          </w:p>
        </w:tc>
        <w:tc>
          <w:tcPr>
            <w:tcW w:w="1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Warranty accrual, end of period</w:t>
            </w:r>
          </w:p>
        </w:tc>
        <w:tc>
          <w:tcPr>
            <w:tcW w:w="12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current portion of the warranty accrual is classified in Accrued expenses and the long-term portion is classified in Other liabilities as noted below:</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r>
      <w:tr>
        <w:trPr>
          <w:trHeight w:val="181"/>
        </w:trPr>
        <w:tc>
          <w:tcPr>
            <w:tcW w:w="7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gridSpan w:val="3"/>
          </w:tcPr>
          <w:p>
            <w:pPr>
              <w:jc w:val="right"/>
              <w:ind w:right="121"/>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spacing w:after="0"/>
              <w:rPr>
                <w:sz w:val="15"/>
                <w:szCs w:val="15"/>
                <w:color w:val="auto"/>
              </w:rPr>
            </w:pPr>
          </w:p>
        </w:tc>
      </w:tr>
      <w:tr>
        <w:trPr>
          <w:trHeight w:val="215"/>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accrual</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7740" w:type="dxa"/>
            <w:vAlign w:val="bottom"/>
          </w:tcPr>
          <w:p>
            <w:pPr>
              <w:ind w:left="460"/>
              <w:spacing w:after="0"/>
              <w:rPr>
                <w:sz w:val="20"/>
                <w:szCs w:val="20"/>
                <w:color w:val="auto"/>
              </w:rPr>
            </w:pPr>
            <w:r>
              <w:rPr>
                <w:rFonts w:ascii="Arial" w:cs="Arial" w:eastAsia="Arial" w:hAnsi="Arial"/>
                <w:sz w:val="16"/>
                <w:szCs w:val="16"/>
                <w:color w:val="auto"/>
              </w:rPr>
              <w:t>Current portion (included in Accrued expenses)</w:t>
            </w:r>
          </w:p>
        </w:tc>
        <w:tc>
          <w:tcPr>
            <w:tcW w:w="12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6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Long-term portion (included in Other liabilities)</w:t>
            </w:r>
          </w:p>
        </w:tc>
        <w:tc>
          <w:tcPr>
            <w:tcW w:w="12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7740" w:type="dxa"/>
            <w:vAlign w:val="bottom"/>
          </w:tcPr>
          <w:p>
            <w:pPr>
              <w:ind w:left="540"/>
              <w:spacing w:after="0"/>
              <w:rPr>
                <w:sz w:val="20"/>
                <w:szCs w:val="20"/>
                <w:color w:val="auto"/>
              </w:rPr>
            </w:pPr>
            <w:r>
              <w:rPr>
                <w:rFonts w:ascii="Arial" w:cs="Arial" w:eastAsia="Arial" w:hAnsi="Arial"/>
                <w:sz w:val="16"/>
                <w:szCs w:val="16"/>
                <w:color w:val="auto"/>
              </w:rPr>
              <w:t>Total warranty accrual</w:t>
            </w:r>
          </w:p>
        </w:tc>
        <w:tc>
          <w:tcPr>
            <w:tcW w:w="128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7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liabilities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181"/>
        </w:trPr>
        <w:tc>
          <w:tcPr>
            <w:tcW w:w="8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gridSpan w:val="3"/>
          </w:tcPr>
          <w:p>
            <w:pPr>
              <w:jc w:val="right"/>
              <w:ind w:right="81"/>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5"/>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8000" w:type="dxa"/>
            <w:vAlign w:val="bottom"/>
          </w:tcPr>
          <w:p>
            <w:pPr>
              <w:ind w:left="300"/>
              <w:spacing w:after="0"/>
              <w:rPr>
                <w:sz w:val="20"/>
                <w:szCs w:val="20"/>
                <w:color w:val="auto"/>
              </w:rPr>
            </w:pPr>
            <w:r>
              <w:rPr>
                <w:rFonts w:ascii="Arial" w:cs="Arial" w:eastAsia="Arial" w:hAnsi="Arial"/>
                <w:sz w:val="16"/>
                <w:szCs w:val="16"/>
                <w:color w:val="auto"/>
              </w:rPr>
              <w:t>Non-current net tax payable</w:t>
            </w:r>
          </w:p>
        </w:tc>
        <w:tc>
          <w:tcPr>
            <w:tcW w:w="108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5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215"/>
        </w:trPr>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Payables related to unrecognized tax benefits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210"/>
        </w:trPr>
        <w:tc>
          <w:tcPr>
            <w:tcW w:w="80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non-current liabilities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r>
      <w:tr>
        <w:trPr>
          <w:trHeight w:val="233"/>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liabilities</w:t>
            </w:r>
          </w:p>
        </w:tc>
        <w:tc>
          <w:tcPr>
            <w:tcW w:w="10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2,067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44" w:lineRule="exact"/>
        <w:rPr>
          <w:sz w:val="20"/>
          <w:szCs w:val="20"/>
          <w:color w:val="auto"/>
        </w:rPr>
      </w:pPr>
    </w:p>
    <w:p>
      <w:pPr>
        <w:ind w:right="980" w:firstLine="318"/>
        <w:spacing w:after="0" w:line="315" w:lineRule="auto"/>
        <w:rPr>
          <w:sz w:val="20"/>
          <w:szCs w:val="20"/>
          <w:color w:val="auto"/>
        </w:rPr>
      </w:pPr>
      <w:r>
        <w:rPr>
          <w:rFonts w:ascii="Arial" w:cs="Arial" w:eastAsia="Arial" w:hAnsi="Arial"/>
          <w:sz w:val="15"/>
          <w:szCs w:val="15"/>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3"/>
        </w:trPr>
        <w:tc>
          <w:tcPr>
            <w:tcW w:w="4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Actuarial Pension</w:t>
            </w:r>
          </w:p>
        </w:tc>
        <w:tc>
          <w:tcPr>
            <w:tcW w:w="4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420" w:type="dxa"/>
            <w:vAlign w:val="bottom"/>
          </w:tcPr>
          <w:p>
            <w:pPr>
              <w:spacing w:after="0"/>
              <w:rPr>
                <w:sz w:val="12"/>
                <w:szCs w:val="12"/>
                <w:color w:val="auto"/>
              </w:rPr>
            </w:pPr>
          </w:p>
        </w:tc>
        <w:tc>
          <w:tcPr>
            <w:tcW w:w="13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Unrealized Gains</w:t>
            </w:r>
          </w:p>
        </w:tc>
        <w:tc>
          <w:tcPr>
            <w:tcW w:w="1620" w:type="dxa"/>
            <w:vAlign w:val="bottom"/>
            <w:gridSpan w:val="2"/>
          </w:tcPr>
          <w:p>
            <w:pPr>
              <w:jc w:val="right"/>
              <w:ind w:right="1"/>
              <w:spacing w:after="0" w:line="143" w:lineRule="exact"/>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74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(Losses) on Derivative</w:t>
            </w:r>
          </w:p>
        </w:tc>
        <w:tc>
          <w:tcPr>
            <w:tcW w:w="1620" w:type="dxa"/>
            <w:vAlign w:val="bottom"/>
            <w:gridSpan w:val="2"/>
          </w:tcPr>
          <w:p>
            <w:pPr>
              <w:jc w:val="right"/>
              <w:ind w:right="21"/>
              <w:spacing w:after="0" w:line="133" w:lineRule="exact"/>
              <w:rPr>
                <w:sz w:val="20"/>
                <w:szCs w:val="20"/>
                <w:color w:val="auto"/>
              </w:rPr>
            </w:pPr>
            <w:r>
              <w:rPr>
                <w:rFonts w:ascii="Arial" w:cs="Arial" w:eastAsia="Arial" w:hAnsi="Arial"/>
                <w:sz w:val="14"/>
                <w:szCs w:val="14"/>
                <w:b w:val="1"/>
                <w:bCs w:val="1"/>
                <w:color w:val="auto"/>
                <w:w w:val="94"/>
              </w:rPr>
              <w:t>Comprehensive Income</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7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Gains (Losses)</w:t>
            </w: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Translation Adjustment</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8"/>
              </w:rPr>
              <w:t>Contracts</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7"/>
        </w:trPr>
        <w:tc>
          <w:tcPr>
            <w:tcW w:w="4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40" w:type="dxa"/>
            <w:vAlign w:val="bottom"/>
            <w:gridSpan w:val="5"/>
          </w:tcPr>
          <w:p>
            <w:pPr>
              <w:ind w:left="108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Balance at June 28, 2019</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4440" w:type="dxa"/>
            <w:vAlign w:val="bottom"/>
          </w:tcPr>
          <w:p>
            <w:pPr>
              <w:ind w:left="460"/>
              <w:spacing w:after="0"/>
              <w:rPr>
                <w:sz w:val="20"/>
                <w:szCs w:val="20"/>
                <w:color w:val="auto"/>
              </w:rPr>
            </w:pPr>
            <w:r>
              <w:rPr>
                <w:rFonts w:ascii="Arial" w:cs="Arial" w:eastAsia="Arial" w:hAnsi="Arial"/>
                <w:sz w:val="16"/>
                <w:szCs w:val="16"/>
                <w:color w:val="auto"/>
              </w:rPr>
              <w:t>Other comprehensive loss before reclassifications</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ind w:left="460"/>
              <w:spacing w:after="0" w:line="165" w:lineRule="exact"/>
              <w:rPr>
                <w:sz w:val="20"/>
                <w:szCs w:val="20"/>
                <w:color w:val="auto"/>
              </w:rPr>
            </w:pPr>
            <w:r>
              <w:rPr>
                <w:rFonts w:ascii="Arial" w:cs="Arial" w:eastAsia="Arial" w:hAnsi="Arial"/>
                <w:sz w:val="16"/>
                <w:szCs w:val="16"/>
                <w:color w:val="auto"/>
                <w:w w:val="91"/>
              </w:rPr>
              <w:t>Amounts reclassified from accumulated other comprehensive</w:t>
            </w:r>
          </w:p>
        </w:tc>
        <w:tc>
          <w:tcPr>
            <w:tcW w:w="4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w:t>
            </w:r>
          </w:p>
        </w:tc>
        <w:tc>
          <w:tcPr>
            <w:tcW w:w="4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460"/>
              <w:spacing w:after="0" w:line="162" w:lineRule="exact"/>
              <w:rPr>
                <w:sz w:val="20"/>
                <w:szCs w:val="20"/>
                <w:color w:val="auto"/>
              </w:rPr>
            </w:pPr>
            <w:r>
              <w:rPr>
                <w:rFonts w:ascii="Arial" w:cs="Arial" w:eastAsia="Arial" w:hAnsi="Arial"/>
                <w:sz w:val="16"/>
                <w:szCs w:val="16"/>
                <w:color w:val="auto"/>
              </w:rPr>
              <w:t>Income tax benefit (expense) related to items of other</w:t>
            </w:r>
          </w:p>
        </w:tc>
        <w:tc>
          <w:tcPr>
            <w:tcW w:w="4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comprehensive loss</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current-period other comprehensive loss</w:t>
            </w: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b w:val="1"/>
                <w:bCs w:val="1"/>
                <w:color w:val="auto"/>
              </w:rPr>
              <w:t>Balance at July 3, 2020</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5"/>
        </w:trPr>
        <w:tc>
          <w:tcPr>
            <w:tcW w:w="444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4"/>
              </w:rPr>
              <w:t>Other comprehensive income (loss) before reclassifications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2"/>
        </w:trPr>
        <w:tc>
          <w:tcPr>
            <w:tcW w:w="4440" w:type="dxa"/>
            <w:vAlign w:val="bottom"/>
          </w:tcPr>
          <w:p>
            <w:pPr>
              <w:ind w:left="460"/>
              <w:spacing w:after="0" w:line="162" w:lineRule="exact"/>
              <w:rPr>
                <w:sz w:val="20"/>
                <w:szCs w:val="20"/>
                <w:color w:val="auto"/>
              </w:rPr>
            </w:pPr>
            <w:r>
              <w:rPr>
                <w:rFonts w:ascii="Arial" w:cs="Arial" w:eastAsia="Arial" w:hAnsi="Arial"/>
                <w:sz w:val="16"/>
                <w:szCs w:val="16"/>
                <w:color w:val="auto"/>
                <w:w w:val="91"/>
              </w:rPr>
              <w:t>Amounts reclassified from accumulated other comprehensive</w:t>
            </w:r>
          </w:p>
        </w:tc>
        <w:tc>
          <w:tcPr>
            <w:tcW w:w="420" w:type="dxa"/>
            <w:vAlign w:val="bottom"/>
          </w:tcPr>
          <w:p>
            <w:pPr>
              <w:spacing w:after="0"/>
              <w:rPr>
                <w:sz w:val="14"/>
                <w:szCs w:val="14"/>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6"/>
        </w:trPr>
        <w:tc>
          <w:tcPr>
            <w:tcW w:w="4440" w:type="dxa"/>
            <w:vAlign w:val="bottom"/>
          </w:tcPr>
          <w:p>
            <w:pPr>
              <w:ind w:left="140"/>
              <w:spacing w:after="0"/>
              <w:rPr>
                <w:sz w:val="20"/>
                <w:szCs w:val="20"/>
                <w:color w:val="auto"/>
              </w:rPr>
            </w:pPr>
            <w:r>
              <w:rPr>
                <w:rFonts w:ascii="Arial" w:cs="Arial" w:eastAsia="Arial" w:hAnsi="Arial"/>
                <w:sz w:val="16"/>
                <w:szCs w:val="16"/>
                <w:color w:val="auto"/>
              </w:rPr>
              <w:t>income (loss)</w:t>
            </w:r>
          </w:p>
        </w:tc>
        <w:tc>
          <w:tcPr>
            <w:tcW w:w="4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ind w:left="460"/>
              <w:spacing w:after="0" w:line="165" w:lineRule="exact"/>
              <w:rPr>
                <w:sz w:val="20"/>
                <w:szCs w:val="20"/>
                <w:color w:val="auto"/>
              </w:rPr>
            </w:pPr>
            <w:r>
              <w:rPr>
                <w:rFonts w:ascii="Arial" w:cs="Arial" w:eastAsia="Arial" w:hAnsi="Arial"/>
                <w:sz w:val="16"/>
                <w:szCs w:val="16"/>
                <w:color w:val="auto"/>
              </w:rPr>
              <w:t>Income tax benefit (expense) related to items of other</w:t>
            </w:r>
          </w:p>
        </w:tc>
        <w:tc>
          <w:tcPr>
            <w:tcW w:w="4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comprehensive income (loss)</w:t>
            </w:r>
          </w:p>
        </w:tc>
        <w:tc>
          <w:tcPr>
            <w:tcW w:w="4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current-period other comprehensive income (loss)</w:t>
            </w:r>
          </w:p>
        </w:tc>
        <w:tc>
          <w:tcPr>
            <w:tcW w:w="4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Balance at July 2, 2021</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During 2021, the amounts reclassified out of AOCI included losses of $50 million on interest rate swap contracts that were charged to Interest expense and losses of $25 million related to foreign exchange contracts that were substantially all charged to Cost of revenue in the Consolidated Statements of Operations. During 2020, the amounts reclassified out of AOCI primarily related to foreign exchange contracts and were substantially all charged to Cost of revenue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Fair Value Measurements and Investments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4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207"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5"/>
          <w:szCs w:val="15"/>
          <w:color w:val="auto"/>
        </w:rPr>
        <w:t>Quoted prices in active markets for identical assets or liabilities.</w:t>
      </w:r>
    </w:p>
    <w:p>
      <w:pPr>
        <w:spacing w:after="0" w:line="244" w:lineRule="exact"/>
        <w:rPr>
          <w:sz w:val="20"/>
          <w:szCs w:val="20"/>
          <w:color w:val="auto"/>
        </w:rPr>
      </w:pPr>
    </w:p>
    <w:p>
      <w:pPr>
        <w:jc w:val="both"/>
        <w:ind w:left="960" w:right="80" w:hanging="635"/>
        <w:spacing w:after="0" w:line="255" w:lineRule="auto"/>
        <w:tabs>
          <w:tab w:leader="none" w:pos="9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5"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Inputs that are unobservable for the asset or liability and that are significant to the fair value of the assets or liabilities.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present information about the Company’s financial assets and liabilities that are measured at fair value on a recurring basis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July 2, 2021 and July 3, 2020, and indicate the fair value hierarchy of the valuation techniques utilized to determine such values: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July 2, 2021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44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177"/>
        </w:trPr>
        <w:tc>
          <w:tcPr>
            <w:tcW w:w="4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Assets:</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4480" w:type="dxa"/>
            <w:vAlign w:val="bottom"/>
          </w:tcPr>
          <w:p>
            <w:pPr>
              <w:ind w:left="540"/>
              <w:spacing w:after="0"/>
              <w:rPr>
                <w:sz w:val="20"/>
                <w:szCs w:val="20"/>
                <w:color w:val="auto"/>
              </w:rPr>
            </w:pPr>
            <w:r>
              <w:rPr>
                <w:rFonts w:ascii="Arial" w:cs="Arial" w:eastAsia="Arial" w:hAnsi="Arial"/>
                <w:sz w:val="16"/>
                <w:szCs w:val="16"/>
                <w:color w:val="auto"/>
              </w:rPr>
              <w:t>Cash equivalents - Money market funds</w:t>
            </w:r>
          </w:p>
        </w:tc>
        <w:tc>
          <w:tcPr>
            <w:tcW w:w="7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34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4"/>
        </w:trPr>
        <w:tc>
          <w:tcPr>
            <w:tcW w:w="44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exchange contracts</w:t>
            </w: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3"/>
        </w:trPr>
        <w:tc>
          <w:tcPr>
            <w:tcW w:w="4480" w:type="dxa"/>
            <w:vAlign w:val="bottom"/>
          </w:tcPr>
          <w:p>
            <w:pPr>
              <w:ind w:left="1180"/>
              <w:spacing w:after="0"/>
              <w:rPr>
                <w:sz w:val="20"/>
                <w:szCs w:val="20"/>
                <w:color w:val="auto"/>
              </w:rPr>
            </w:pPr>
            <w:r>
              <w:rPr>
                <w:rFonts w:ascii="Arial" w:cs="Arial" w:eastAsia="Arial" w:hAnsi="Arial"/>
                <w:sz w:val="16"/>
                <w:szCs w:val="16"/>
                <w:color w:val="auto"/>
              </w:rPr>
              <w:t>Total assets at fair value</w:t>
            </w:r>
          </w:p>
        </w:tc>
        <w:tc>
          <w:tcPr>
            <w:tcW w:w="7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48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Liabilities:</w:t>
            </w: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0"/>
        </w:trPr>
        <w:tc>
          <w:tcPr>
            <w:tcW w:w="4480" w:type="dxa"/>
            <w:vAlign w:val="bottom"/>
          </w:tcPr>
          <w:p>
            <w:pPr>
              <w:ind w:left="540"/>
              <w:spacing w:after="0"/>
              <w:rPr>
                <w:sz w:val="20"/>
                <w:szCs w:val="20"/>
                <w:color w:val="auto"/>
              </w:rPr>
            </w:pPr>
            <w:r>
              <w:rPr>
                <w:rFonts w:ascii="Arial" w:cs="Arial" w:eastAsia="Arial" w:hAnsi="Arial"/>
                <w:sz w:val="16"/>
                <w:szCs w:val="16"/>
                <w:color w:val="auto"/>
              </w:rPr>
              <w:t>Foreign exchange contracts</w:t>
            </w:r>
          </w:p>
        </w:tc>
        <w:tc>
          <w:tcPr>
            <w:tcW w:w="7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44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Interest rate swap contract</w:t>
            </w: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3"/>
        </w:trPr>
        <w:tc>
          <w:tcPr>
            <w:tcW w:w="4480" w:type="dxa"/>
            <w:vAlign w:val="bottom"/>
          </w:tcPr>
          <w:p>
            <w:pPr>
              <w:ind w:left="1180"/>
              <w:spacing w:after="0"/>
              <w:rPr>
                <w:sz w:val="20"/>
                <w:szCs w:val="20"/>
                <w:color w:val="auto"/>
              </w:rPr>
            </w:pPr>
            <w:r>
              <w:rPr>
                <w:rFonts w:ascii="Arial" w:cs="Arial" w:eastAsia="Arial" w:hAnsi="Arial"/>
                <w:sz w:val="16"/>
                <w:szCs w:val="16"/>
                <w:color w:val="auto"/>
              </w:rPr>
              <w:t>Total liabilities at fair value</w:t>
            </w:r>
          </w:p>
        </w:tc>
        <w:tc>
          <w:tcPr>
            <w:tcW w:w="7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2"/>
        </w:trPr>
        <w:tc>
          <w:tcPr>
            <w:tcW w:w="4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31"/>
        </w:trPr>
        <w:tc>
          <w:tcPr>
            <w:tcW w:w="4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July 3, 2020</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4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6"/>
              </w:rPr>
              <w:t>Level 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77"/>
        </w:trPr>
        <w:tc>
          <w:tcPr>
            <w:tcW w:w="4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448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7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1,079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15"/>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7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4480" w:type="dxa"/>
            <w:vAlign w:val="bottom"/>
          </w:tcPr>
          <w:p>
            <w:pPr>
              <w:ind w:left="860"/>
              <w:spacing w:after="0"/>
              <w:rPr>
                <w:sz w:val="20"/>
                <w:szCs w:val="20"/>
                <w:color w:val="auto"/>
              </w:rPr>
            </w:pPr>
            <w:r>
              <w:rPr>
                <w:rFonts w:ascii="Arial" w:cs="Arial" w:eastAsia="Arial" w:hAnsi="Arial"/>
                <w:sz w:val="16"/>
                <w:szCs w:val="16"/>
                <w:color w:val="auto"/>
              </w:rPr>
              <w:t>Total assets at fair value</w:t>
            </w:r>
          </w:p>
        </w:tc>
        <w:tc>
          <w:tcPr>
            <w:tcW w:w="74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1,079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28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1,107</w:t>
            </w:r>
          </w:p>
        </w:tc>
      </w:tr>
      <w:tr>
        <w:trPr>
          <w:trHeight w:val="215"/>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448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7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9</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contract</w:t>
            </w:r>
          </w:p>
        </w:tc>
        <w:tc>
          <w:tcPr>
            <w:tcW w:w="7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3"/>
        </w:trPr>
        <w:tc>
          <w:tcPr>
            <w:tcW w:w="4480" w:type="dxa"/>
            <w:vAlign w:val="bottom"/>
          </w:tcPr>
          <w:p>
            <w:pPr>
              <w:ind w:left="860"/>
              <w:spacing w:after="0"/>
              <w:rPr>
                <w:sz w:val="20"/>
                <w:szCs w:val="20"/>
                <w:color w:val="auto"/>
              </w:rPr>
            </w:pPr>
            <w:r>
              <w:rPr>
                <w:rFonts w:ascii="Arial" w:cs="Arial" w:eastAsia="Arial" w:hAnsi="Arial"/>
                <w:sz w:val="16"/>
                <w:szCs w:val="16"/>
                <w:color w:val="auto"/>
              </w:rPr>
              <w:t>Total liabilities at fair value</w:t>
            </w:r>
          </w:p>
        </w:tc>
        <w:tc>
          <w:tcPr>
            <w:tcW w:w="74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142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2"/>
        </w:trPr>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40" w:firstLine="318"/>
        <w:spacing w:after="0" w:line="264"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based on quoted market prices.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are short-term contracts to hedge the Company’s foreign currency risk.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6,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Derivative assets and liabilities are reflected in the Company’s Consolidated Balance Sheet under Other current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expenses, respectively.</w:t>
      </w:r>
    </w:p>
    <w:p>
      <w:pPr>
        <w:spacing w:after="0" w:line="22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Company’s interest rate swaps are long-term contracts to hedge the Company’s variable rate debt risk. Interest rate swaps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based on estimated present value of future cash flows model. The market-based observable inputs for the model include interest rate curves and credit valuation adjustments based on published credit default swap curves.</w:t>
      </w:r>
    </w:p>
    <w:p>
      <w:pPr>
        <w:spacing w:after="0" w:line="215"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During 2021 and 2020, the Company had no transfers of financial assets and liabilities between levels and there were no changes in valuation techniques and the inputs used in the fair value measurement.</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4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fourth quarter of 2021 and the fourth quarter of 2020,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July 2, 2021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July 3, 2020</w:t>
            </w:r>
          </w:p>
        </w:tc>
        <w:tc>
          <w:tcPr>
            <w:tcW w:w="1080" w:type="dxa"/>
            <w:vAlign w:val="bottom"/>
            <w:tcBorders>
              <w:bottom w:val="single" w:sz="8" w:color="auto"/>
            </w:tcBorders>
          </w:tcPr>
          <w:p>
            <w:pPr>
              <w:spacing w:after="0"/>
              <w:rPr>
                <w:sz w:val="16"/>
                <w:szCs w:val="16"/>
                <w:color w:val="auto"/>
              </w:rPr>
            </w:pPr>
          </w:p>
        </w:tc>
      </w:tr>
      <w:tr>
        <w:trPr>
          <w:trHeight w:val="131"/>
        </w:trPr>
        <w:tc>
          <w:tcPr>
            <w:tcW w:w="4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1"/>
                <w:szCs w:val="11"/>
                <w:color w:val="auto"/>
              </w:rPr>
            </w:pPr>
          </w:p>
        </w:tc>
        <w:tc>
          <w:tcPr>
            <w:tcW w:w="1080" w:type="dxa"/>
            <w:vAlign w:val="bottom"/>
          </w:tcPr>
          <w:p>
            <w:pPr>
              <w:jc w:val="right"/>
              <w:ind w:right="443"/>
              <w:spacing w:after="0" w:line="131"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1"/>
                <w:szCs w:val="11"/>
                <w:color w:val="auto"/>
              </w:rPr>
            </w:pPr>
          </w:p>
        </w:tc>
        <w:tc>
          <w:tcPr>
            <w:tcW w:w="1080" w:type="dxa"/>
            <w:vAlign w:val="bottom"/>
          </w:tcPr>
          <w:p>
            <w:pPr>
              <w:jc w:val="right"/>
              <w:ind w:right="463"/>
              <w:spacing w:after="0" w:line="131" w:lineRule="exact"/>
              <w:rPr>
                <w:sz w:val="20"/>
                <w:szCs w:val="20"/>
                <w:color w:val="auto"/>
              </w:rPr>
            </w:pPr>
            <w:r>
              <w:rPr>
                <w:rFonts w:ascii="Arial" w:cs="Arial" w:eastAsia="Arial" w:hAnsi="Arial"/>
                <w:sz w:val="14"/>
                <w:szCs w:val="14"/>
                <w:b w:val="1"/>
                <w:bCs w:val="1"/>
                <w:color w:val="auto"/>
              </w:rPr>
              <w:t>Fair</w:t>
            </w:r>
          </w:p>
        </w:tc>
      </w:tr>
      <w:tr>
        <w:trPr>
          <w:trHeight w:val="185"/>
        </w:trPr>
        <w:tc>
          <w:tcPr>
            <w:tcW w:w="43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Value</w:t>
            </w:r>
          </w:p>
        </w:tc>
      </w:tr>
      <w:tr>
        <w:trPr>
          <w:trHeight w:val="177"/>
        </w:trPr>
        <w:tc>
          <w:tcPr>
            <w:tcW w:w="4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5"/>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0.50% convertible senior notes due 2020</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4380" w:type="dxa"/>
            <w:vAlign w:val="bottom"/>
          </w:tcPr>
          <w:p>
            <w:pPr>
              <w:ind w:left="340"/>
              <w:spacing w:after="0"/>
              <w:rPr>
                <w:sz w:val="20"/>
                <w:szCs w:val="20"/>
                <w:color w:val="auto"/>
              </w:rPr>
            </w:pPr>
            <w:r>
              <w:rPr>
                <w:rFonts w:ascii="Arial" w:cs="Arial" w:eastAsia="Arial" w:hAnsi="Arial"/>
                <w:sz w:val="16"/>
                <w:szCs w:val="16"/>
                <w:color w:val="auto"/>
              </w:rPr>
              <w:t>Variable interest rate Term Loan A-1 maturing 2023</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4,327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4,474</w:t>
            </w:r>
          </w:p>
        </w:tc>
      </w:tr>
      <w:tr>
        <w:trPr>
          <w:trHeight w:val="215"/>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B-4 maturing 2023</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209"/>
        </w:trPr>
        <w:tc>
          <w:tcPr>
            <w:tcW w:w="4380" w:type="dxa"/>
            <w:vAlign w:val="bottom"/>
          </w:tcPr>
          <w:p>
            <w:pPr>
              <w:ind w:left="340"/>
              <w:spacing w:after="0"/>
              <w:rPr>
                <w:sz w:val="20"/>
                <w:szCs w:val="20"/>
                <w:color w:val="auto"/>
              </w:rPr>
            </w:pPr>
            <w:r>
              <w:rPr>
                <w:rFonts w:ascii="Arial" w:cs="Arial" w:eastAsia="Arial" w:hAnsi="Arial"/>
                <w:sz w:val="16"/>
                <w:szCs w:val="16"/>
                <w:color w:val="auto"/>
              </w:rPr>
              <w:t>1.50% convertible notes due 2024</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12"/>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4.75% senior unsecured notes due 2026</w:t>
            </w: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2,286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r>
      <w:tr>
        <w:trPr>
          <w:trHeight w:val="208"/>
        </w:trPr>
        <w:tc>
          <w:tcPr>
            <w:tcW w:w="4380" w:type="dxa"/>
            <w:vAlign w:val="bottom"/>
          </w:tcPr>
          <w:p>
            <w:pPr>
              <w:ind w:left="46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8,725</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9,624</w:t>
            </w:r>
          </w:p>
        </w:tc>
      </w:tr>
      <w:tr>
        <w:trPr>
          <w:trHeight w:val="20"/>
        </w:trPr>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25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As of July 2, 2021,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July 2, 2021, the amount of existing net losses related to cash flow hedges recorded in AOCI included $30 million related to the Company’s interest rate swaps that is expected to be reclassified to earnings after twelve months. In addition, as of July 2, 2021, the Company did not have any foreign exchange forward contracts with credit-risk-related contingent features.</w:t>
      </w:r>
    </w:p>
    <w:p>
      <w:pPr>
        <w:spacing w:after="0" w:line="215" w:lineRule="exact"/>
        <w:rPr>
          <w:sz w:val="20"/>
          <w:szCs w:val="20"/>
          <w:color w:val="auto"/>
        </w:rPr>
      </w:pPr>
    </w:p>
    <w:p>
      <w:pPr>
        <w:ind w:right="400" w:firstLine="318"/>
        <w:spacing w:after="0" w:line="330" w:lineRule="auto"/>
        <w:rPr>
          <w:sz w:val="20"/>
          <w:szCs w:val="20"/>
          <w:color w:val="auto"/>
        </w:rPr>
      </w:pPr>
      <w:r>
        <w:rPr>
          <w:rFonts w:ascii="Arial" w:cs="Arial" w:eastAsia="Arial" w:hAnsi="Arial"/>
          <w:sz w:val="15"/>
          <w:szCs w:val="15"/>
          <w:color w:val="auto"/>
        </w:rPr>
        <w:t>Changes in fair values of the non-designated foreign exchange contracts are recognized in Other income, net and are largely offset by corresponding changes in the fair values of the foreign currency denominated monetary assets and liabilities. For each of 2021, 2020 and 2019, total net realized and unrealized transaction and foreign exchange contract currency gains and losses were not material to the Company’s Consolidated Financial Statements.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Netting Arrangements</w:t>
      </w:r>
    </w:p>
    <w:p>
      <w:pPr>
        <w:spacing w:after="0" w:line="244"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July 2, 2021 and July 3, 2020, the effect of rights of offset was not material and the Company did not offset or net the fair value amounts of derivative instruments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66" w:right="37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Debt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consisted of the following as of July 2, 2021 and July 3,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422"/>
              <w:spacing w:after="0"/>
              <w:rPr>
                <w:sz w:val="20"/>
                <w:szCs w:val="20"/>
                <w:color w:val="auto"/>
              </w:rPr>
            </w:pPr>
            <w:r>
              <w:rPr>
                <w:rFonts w:ascii="Arial" w:cs="Arial" w:eastAsia="Arial" w:hAnsi="Arial"/>
                <w:sz w:val="14"/>
                <w:szCs w:val="14"/>
                <w:b w:val="1"/>
                <w:bCs w:val="1"/>
                <w:color w:val="auto"/>
              </w:rPr>
              <w:t>July 3,</w:t>
            </w:r>
          </w:p>
        </w:tc>
      </w:tr>
      <w:tr>
        <w:trPr>
          <w:trHeight w:val="185"/>
        </w:trPr>
        <w:tc>
          <w:tcPr>
            <w:tcW w:w="7720" w:type="dxa"/>
            <w:vAlign w:val="bottom"/>
          </w:tcPr>
          <w:p>
            <w:pPr>
              <w:spacing w:after="0"/>
              <w:rPr>
                <w:sz w:val="16"/>
                <w:szCs w:val="16"/>
                <w:color w:val="auto"/>
              </w:rPr>
            </w:pPr>
          </w:p>
        </w:tc>
        <w:tc>
          <w:tcPr>
            <w:tcW w:w="124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2020</w:t>
            </w:r>
          </w:p>
        </w:tc>
      </w:tr>
      <w:tr>
        <w:trPr>
          <w:trHeight w:val="177"/>
        </w:trPr>
        <w:tc>
          <w:tcPr>
            <w:tcW w:w="7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gridSpan w:val="3"/>
          </w:tcPr>
          <w:p>
            <w:pPr>
              <w:jc w:val="right"/>
              <w:ind w:right="6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5"/>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0.50% convertible senior notes due 2020</w:t>
            </w:r>
          </w:p>
        </w:tc>
        <w:tc>
          <w:tcPr>
            <w:tcW w:w="124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7720" w:type="dxa"/>
            <w:vAlign w:val="bottom"/>
          </w:tcPr>
          <w:p>
            <w:pPr>
              <w:ind w:left="340"/>
              <w:spacing w:after="0"/>
              <w:rPr>
                <w:sz w:val="20"/>
                <w:szCs w:val="20"/>
                <w:color w:val="auto"/>
              </w:rPr>
            </w:pPr>
            <w:r>
              <w:rPr>
                <w:rFonts w:ascii="Arial" w:cs="Arial" w:eastAsia="Arial" w:hAnsi="Arial"/>
                <w:sz w:val="16"/>
                <w:szCs w:val="16"/>
                <w:color w:val="auto"/>
              </w:rPr>
              <w:t>Variable interest rate Term Loan A-1 maturing 2023</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4,332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4,583</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B-4 maturing 2023</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1,093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r>
      <w:tr>
        <w:trPr>
          <w:trHeight w:val="210"/>
        </w:trPr>
        <w:tc>
          <w:tcPr>
            <w:tcW w:w="7720" w:type="dxa"/>
            <w:vAlign w:val="bottom"/>
          </w:tcPr>
          <w:p>
            <w:pPr>
              <w:ind w:left="340"/>
              <w:spacing w:after="0"/>
              <w:rPr>
                <w:sz w:val="20"/>
                <w:szCs w:val="20"/>
                <w:color w:val="auto"/>
              </w:rPr>
            </w:pPr>
            <w:r>
              <w:rPr>
                <w:rFonts w:ascii="Arial" w:cs="Arial" w:eastAsia="Arial" w:hAnsi="Arial"/>
                <w:sz w:val="16"/>
                <w:szCs w:val="16"/>
                <w:color w:val="auto"/>
              </w:rPr>
              <w:t>1.50% convertible notes due 2024</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4.75% senior unsecured notes due 2026</w:t>
            </w:r>
          </w:p>
        </w:tc>
        <w:tc>
          <w:tcPr>
            <w:tcW w:w="1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2,300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r>
      <w:tr>
        <w:trPr>
          <w:trHeight w:val="203"/>
        </w:trPr>
        <w:tc>
          <w:tcPr>
            <w:tcW w:w="7720" w:type="dxa"/>
            <w:vAlign w:val="bottom"/>
          </w:tcPr>
          <w:p>
            <w:pPr>
              <w:ind w:left="540"/>
              <w:spacing w:after="0"/>
              <w:rPr>
                <w:sz w:val="20"/>
                <w:szCs w:val="20"/>
                <w:color w:val="auto"/>
              </w:rPr>
            </w:pPr>
            <w:r>
              <w:rPr>
                <w:rFonts w:ascii="Arial" w:cs="Arial" w:eastAsia="Arial" w:hAnsi="Arial"/>
                <w:sz w:val="16"/>
                <w:szCs w:val="16"/>
                <w:color w:val="auto"/>
              </w:rPr>
              <w:t>Total debt</w:t>
            </w:r>
          </w:p>
        </w:tc>
        <w:tc>
          <w:tcPr>
            <w:tcW w:w="1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8,825</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9,711</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costs and debt discounts</w:t>
            </w:r>
          </w:p>
        </w:tc>
        <w:tc>
          <w:tcPr>
            <w:tcW w:w="1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3"/>
        </w:trPr>
        <w:tc>
          <w:tcPr>
            <w:tcW w:w="7720" w:type="dxa"/>
            <w:vAlign w:val="bottom"/>
          </w:tcPr>
          <w:p>
            <w:pPr>
              <w:ind w:left="540"/>
              <w:spacing w:after="0"/>
              <w:rPr>
                <w:sz w:val="20"/>
                <w:szCs w:val="20"/>
                <w:color w:val="auto"/>
              </w:rPr>
            </w:pPr>
            <w:r>
              <w:rPr>
                <w:rFonts w:ascii="Arial" w:cs="Arial" w:eastAsia="Arial" w:hAnsi="Arial"/>
                <w:sz w:val="16"/>
                <w:szCs w:val="16"/>
                <w:color w:val="auto"/>
              </w:rPr>
              <w:t>Subtotal</w:t>
            </w:r>
          </w:p>
        </w:tc>
        <w:tc>
          <w:tcPr>
            <w:tcW w:w="1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8,725</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9,575</w:t>
            </w:r>
          </w:p>
        </w:tc>
      </w:tr>
      <w:tr>
        <w:trPr>
          <w:trHeight w:val="212"/>
        </w:trPr>
        <w:tc>
          <w:tcPr>
            <w:tcW w:w="7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Less current portion of long-term debt</w:t>
            </w:r>
          </w:p>
        </w:tc>
        <w:tc>
          <w:tcPr>
            <w:tcW w:w="1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08"/>
        </w:trPr>
        <w:tc>
          <w:tcPr>
            <w:tcW w:w="7720" w:type="dxa"/>
            <w:vAlign w:val="bottom"/>
          </w:tcPr>
          <w:p>
            <w:pPr>
              <w:ind w:left="780"/>
              <w:spacing w:after="0"/>
              <w:rPr>
                <w:sz w:val="20"/>
                <w:szCs w:val="20"/>
                <w:color w:val="auto"/>
              </w:rPr>
            </w:pPr>
            <w:r>
              <w:rPr>
                <w:rFonts w:ascii="Arial" w:cs="Arial" w:eastAsia="Arial" w:hAnsi="Arial"/>
                <w:sz w:val="16"/>
                <w:szCs w:val="16"/>
                <w:color w:val="auto"/>
              </w:rPr>
              <w:t>Long-term debt</w:t>
            </w:r>
          </w:p>
        </w:tc>
        <w:tc>
          <w:tcPr>
            <w:tcW w:w="124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8,474</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9,289</w:t>
            </w:r>
          </w:p>
        </w:tc>
      </w:tr>
      <w:tr>
        <w:trPr>
          <w:trHeight w:val="20"/>
        </w:trPr>
        <w:tc>
          <w:tcPr>
            <w:tcW w:w="7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Company has a credit agreement originally entered into on April 29, 2016 and most recently amended in July 2020 (as amended, the “Credit Agreement”), that provides for, among other things, (i) a $2.25 billion revolving credit facility maturing in 2023 (the “Revolving Facility”), (ii) a term loan A-1 due 2023 (the “Term Loan A-1”), and (iii) a term loan B-4 due 2023 (the “Term Loan B-4”).</w:t>
      </w:r>
    </w:p>
    <w:p>
      <w:pPr>
        <w:spacing w:after="0" w:line="215"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Borrowings under the revolving credit facility bear interest at a rate equal to, at the Company’s option, either an adjusted LIBOR rate, subject to a 0.00% floor, plus an applicable margin varying from 1.125% to 2.000% or a base rate plus an applicable margin varying from 0.125% to 1.000%, in each case depending on the Company’s corporate credit ratings. During 2018, the Company repaid the previously outstanding borrowings under its revolving credit facility. At July 2, 2021, the Company’s borrowing capacity under the revolving credit facility was $2.25 billion.</w:t>
      </w:r>
    </w:p>
    <w:p>
      <w:pPr>
        <w:spacing w:after="0" w:line="204"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Term Loan A-1 bears interest at a rate equal to, at the Company’s option, either an adjusted LIBOR rate, subject to a 0.00% floor, plus an applicable margin varying from 1.125% to 2.000% or a base rate plus an applicable margin varying from 0.125% to 1.000%, in each case depending on the Company’s corporate credit ratings. Currently the Company has selected the LIBOR rate option, and the applicable rate was 1.60% as of July 2, 2021. Principal payments are due in quarterly installments of 1.250% per quarter through December 2022, with the remaining balance payable on February 27, 2023. The Term Loan A-1 issuance costs are amortized to interest expense over the term of the loan, and as of July 2, 2021, issuance costs of $5 million remained unamortized.</w:t>
      </w:r>
    </w:p>
    <w:p>
      <w:pPr>
        <w:spacing w:after="0" w:line="177"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The Term Loan B-4 bears interest at a rate equal to, at the Company’s option, either an adjusted LIBOR rate, subject to a 0.00% floor, plus 1.75% or a base rate plus 0.75%. Currently the Company has selected the LIBOR rate option, and the applicable interest rate was 1.85% as of July 2, 2021. During 2021, the Company made aggregate voluntary prepayments of $600 million on its Term Loan B-4, which was applied toward the remaining scheduled amortization and the remainder towards the principal due at maturity. As of July 2, 2021, there are no longer any scheduled amortization payments due under the Term Loan B-4 prior to its maturity on April 29, 2023. As of July 2, 2021, issuance costs of less than $1 million remained unamortized. On July 19, 2021, the Company made an incremental voluntary prepayment of $150 million on its Term Loan B-4.</w:t>
      </w:r>
    </w:p>
    <w:p>
      <w:pPr>
        <w:spacing w:after="0" w:line="206"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In February 2018, the Company issued $1.10 billion aggregate principal amount of convertible senior notes due February 1, 2024 (the “2024 Convertible Notes”). The 2024 Convertible Notes bear interest at an annual rate of 1.50% with interest payable on February 1 and August 1 of each year. The Company is not required to make principal payments on the 2024 Convertible Notes prior to the maturity date. The 2024 Convertible Notes are jointly and severally guaranteed by the Company’s wholly owned subsidiary, Western Digital Technologies (“WDT”).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2024 Convertible Notes are convertible into cash, shares of the Company’s common stock, or a combination thereof at an initial conversion price of $121.91 per share of common stock. Holders of the 2024 Convertible Notes may freely convert their 2024 Convertible Notes on or after November 1, 2023 until the close of business on the business day immediately preceding the maturity date. Prior to November 1, 2023, holders may convert their 2024 Convertible Notes based on variations in market price of the Company’s common stock in relation to the conversion price or the trading price of the 2024 Convertible Notes or upon the occurrence of specified corporate events. As of July 2, 2021, none of the conditions allowing holders of the Convertible Notes to convert had been met. Since February 5, 2021, the Company may redeem all or part of the 2024 Convertible Notes, at its option, if the market price of the Company’s stock achieves certain levels.</w:t>
      </w:r>
    </w:p>
    <w:p>
      <w:pPr>
        <w:spacing w:after="0" w:line="212"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The Company separately accounts for the liability and equity components of the 2024 Convertible Notes. The value of the liability component as of the date of issuance was recognized at the present value of its cash flows using a discount rate of 4.375%, the Company’s borrowing rate at the date of the issuance for a similar debt instrument without the conversion feature, resulting in a debt discount of $165 million, which was allocated to equity as the value of the conversion feature. The 2024 Convertible Notes debt issuance costs were approximately $18 million, of which $15 million was allocated to the debt component and $3 million was allocated to equity. The debt discount and issuance costs are amortized to interest expense over the term of the 2024 Convertible Notes. As of July 2, 2021, debt discount and issuance costs of $83 million remained unamortized.</w:t>
      </w:r>
    </w:p>
    <w:p>
      <w:pPr>
        <w:spacing w:after="0" w:line="17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The 2026 Senior Unsecured Notes are jointly and severally guaranteed by WDT. The 2026 Senior Unsecured Notes issuance costs are amortized to interest expense over the term of the 2026 Senior Unsecured Notes and as of July 2, 2021, issuance costs of $12 million remained unamortized.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October 2020, the 0.5% convertible senior notes due 2020 were settled in full for cash in accordance with their terms.</w:t>
      </w:r>
    </w:p>
    <w:p>
      <w:pPr>
        <w:spacing w:after="0" w:line="24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Revolving Facility, Term Loan A-1 and Term Loan B-4 are unconditionally guaranteed by WDT under the Credit Agreement and are secured on a first-priority basis (subject to permitted liens) by a lien on the same collateral that secure the other loans under the Credit Agreement; provided that the security and guarantee will be automatically suspended upon certain conditions.</w:t>
      </w:r>
    </w:p>
    <w:p>
      <w:pPr>
        <w:spacing w:after="0" w:line="215"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The Credit Agreement requires the Company to comply with certain financial covenants with respect to the Revolving Facility and Term Loan A-1, consisting of a Leverage Ratio and an Interest Coverage Ratio (each as defined below). Consolidated Adjusted EBITDA is defined as net income (loss) plus interest expense, income tax expense (benefit) and depreciation and amortization, as well as other contractual adjustments as provided for in the Credit Agreement, including, for purposes of the financial covenants, an addback for certain depreciation-related payments made to the Company’s Flash Ventures.</w:t>
      </w:r>
    </w:p>
    <w:p>
      <w:pPr>
        <w:spacing w:after="0" w:line="172"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Company was required to maintain a maximum ratio of total funded debt to trailing twelve-month Consolidated Adjusted EBITDA (“Leverage Ratio”) at the end of each quarter of 4.25 to 1.00 through the quarter ended October 2, 2020 and 4.00 to 1.00 through the quarter ended July 2, 2021, and is required to maintain a maximum Leverage Ratio of 3.75 to 1.00 through the quarter ending December 31, 2021, 3.50 to 1.00 through the quarter ending July 1, 2022, and 3.25 to 1.00 thereafter. In addition, the Company is required to maintain a minimum ratio of Consolidated Adjusted EBITDA to interest expense (“Interest Coverage Ratio”), both calculated on a trailing twelve-month basis, at the end of each quarter of 3.50 to 1.00. As of July 2, 2021, the Company was in compliance with all financial covenants under the Credit Agreement.</w:t>
      </w:r>
    </w:p>
    <w:p>
      <w:pPr>
        <w:spacing w:after="0" w:line="206"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Credit Agreement also requires the Company and its subsidiaries to comply with customary covenants that include,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certain modifications of organizational documents and certain debt agreements. In addition, the indentures governing the Company’s 2026 Senior Unsecured Notes and the 2024 Convertible Notes contain restrictive covenants that limit the Company’s and its subsidiaries’ ability to, among other</w:t>
      </w: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366" w:right="4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1340"/>
        <w:spacing w:after="0" w:line="522" w:lineRule="auto"/>
        <w:rPr>
          <w:sz w:val="20"/>
          <w:szCs w:val="20"/>
          <w:color w:val="auto"/>
        </w:rPr>
      </w:pPr>
      <w:r>
        <w:rPr>
          <w:rFonts w:ascii="Arial" w:cs="Arial" w:eastAsia="Arial" w:hAnsi="Arial"/>
          <w:sz w:val="18"/>
          <w:szCs w:val="18"/>
          <w:color w:val="auto"/>
        </w:rPr>
        <w:t xml:space="preserve">things, consolidate, merge or sell all or substantially all of their assets; create liens; and incur, assume or guarantee additional indebtedness. </w:t>
      </w:r>
      <w:r>
        <w:rPr>
          <w:rFonts w:ascii="Arial" w:cs="Arial" w:eastAsia="Arial" w:hAnsi="Arial"/>
          <w:sz w:val="18"/>
          <w:szCs w:val="18"/>
          <w:i w:val="1"/>
          <w:iCs w:val="1"/>
          <w:color w:val="auto"/>
        </w:rPr>
        <w:t>Future Debt Payments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July 2, 2021, required annual future debt payments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60" w:type="dxa"/>
            <w:vAlign w:val="bottom"/>
          </w:tcPr>
          <w:p>
            <w:pPr>
              <w:spacing w:after="0"/>
              <w:rPr>
                <w:sz w:val="16"/>
                <w:szCs w:val="16"/>
                <w:color w:val="auto"/>
              </w:rPr>
            </w:pPr>
          </w:p>
        </w:tc>
        <w:tc>
          <w:tcPr>
            <w:tcW w:w="17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1"/>
              </w:rPr>
              <w:t>Future Debt Payments</w:t>
            </w:r>
          </w:p>
        </w:tc>
      </w:tr>
      <w:tr>
        <w:trPr>
          <w:trHeight w:val="181"/>
        </w:trPr>
        <w:tc>
          <w:tcPr>
            <w:tcW w:w="9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ind w:right="282"/>
              <w:spacing w:after="0"/>
              <w:rPr>
                <w:sz w:val="20"/>
                <w:szCs w:val="20"/>
                <w:color w:val="auto"/>
              </w:rPr>
            </w:pPr>
            <w:r>
              <w:rPr>
                <w:rFonts w:ascii="Arial" w:cs="Arial" w:eastAsia="Arial" w:hAnsi="Arial"/>
                <w:sz w:val="14"/>
                <w:szCs w:val="14"/>
                <w:i w:val="1"/>
                <w:iCs w:val="1"/>
                <w:color w:val="auto"/>
              </w:rPr>
              <w:t>(in millions)</w:t>
            </w:r>
          </w:p>
        </w:tc>
      </w:tr>
      <w:tr>
        <w:trPr>
          <w:trHeight w:val="215"/>
        </w:trPr>
        <w:tc>
          <w:tcPr>
            <w:tcW w:w="9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Fiscal year:</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9"/>
        </w:trPr>
        <w:tc>
          <w:tcPr>
            <w:tcW w:w="9460" w:type="dxa"/>
            <w:vAlign w:val="bottom"/>
          </w:tcPr>
          <w:p>
            <w:pPr>
              <w:ind w:left="440"/>
              <w:spacing w:after="0"/>
              <w:rPr>
                <w:sz w:val="20"/>
                <w:szCs w:val="20"/>
                <w:color w:val="auto"/>
              </w:rPr>
            </w:pPr>
            <w:r>
              <w:rPr>
                <w:rFonts w:ascii="Arial" w:cs="Arial" w:eastAsia="Arial" w:hAnsi="Arial"/>
                <w:sz w:val="16"/>
                <w:szCs w:val="16"/>
                <w:color w:val="auto"/>
              </w:rPr>
              <w:t>2022</w:t>
            </w:r>
          </w:p>
        </w:tc>
        <w:tc>
          <w:tcPr>
            <w:tcW w:w="540" w:type="dxa"/>
            <w:vAlign w:val="bottom"/>
          </w:tcPr>
          <w:p>
            <w:pPr>
              <w:ind w:left="3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5"/>
        </w:trPr>
        <w:tc>
          <w:tcPr>
            <w:tcW w:w="9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w:t>
            </w:r>
          </w:p>
        </w:tc>
      </w:tr>
      <w:tr>
        <w:trPr>
          <w:trHeight w:val="210"/>
        </w:trPr>
        <w:tc>
          <w:tcPr>
            <w:tcW w:w="9460" w:type="dxa"/>
            <w:vAlign w:val="bottom"/>
          </w:tcPr>
          <w:p>
            <w:pPr>
              <w:ind w:left="440"/>
              <w:spacing w:after="0"/>
              <w:rPr>
                <w:sz w:val="20"/>
                <w:szCs w:val="20"/>
                <w:color w:val="auto"/>
              </w:rPr>
            </w:pPr>
            <w:r>
              <w:rPr>
                <w:rFonts w:ascii="Arial" w:cs="Arial" w:eastAsia="Arial" w:hAnsi="Arial"/>
                <w:sz w:val="16"/>
                <w:szCs w:val="16"/>
                <w:color w:val="auto"/>
              </w:rPr>
              <w:t>2024</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14"/>
        </w:trPr>
        <w:tc>
          <w:tcPr>
            <w:tcW w:w="9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2025 and thereafter</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r>
      <w:tr>
        <w:trPr>
          <w:trHeight w:val="203"/>
        </w:trPr>
        <w:tc>
          <w:tcPr>
            <w:tcW w:w="9460" w:type="dxa"/>
            <w:vAlign w:val="bottom"/>
          </w:tcPr>
          <w:p>
            <w:pPr>
              <w:ind w:left="340"/>
              <w:spacing w:after="0"/>
              <w:rPr>
                <w:sz w:val="20"/>
                <w:szCs w:val="20"/>
                <w:color w:val="auto"/>
              </w:rPr>
            </w:pPr>
            <w:r>
              <w:rPr>
                <w:rFonts w:ascii="Arial" w:cs="Arial" w:eastAsia="Arial" w:hAnsi="Arial"/>
                <w:sz w:val="16"/>
                <w:szCs w:val="16"/>
                <w:color w:val="auto"/>
              </w:rPr>
              <w:t>Total debt maturities</w:t>
            </w:r>
          </w:p>
        </w:tc>
        <w:tc>
          <w:tcPr>
            <w:tcW w:w="5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8,825</w:t>
            </w:r>
          </w:p>
        </w:tc>
      </w:tr>
      <w:tr>
        <w:trPr>
          <w:trHeight w:val="212"/>
        </w:trPr>
        <w:tc>
          <w:tcPr>
            <w:tcW w:w="9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costs and debt discounts</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9460" w:type="dxa"/>
            <w:vAlign w:val="bottom"/>
          </w:tcPr>
          <w:p>
            <w:pPr>
              <w:ind w:left="440"/>
              <w:spacing w:after="0"/>
              <w:rPr>
                <w:sz w:val="20"/>
                <w:szCs w:val="20"/>
                <w:color w:val="auto"/>
              </w:rPr>
            </w:pPr>
            <w:r>
              <w:rPr>
                <w:rFonts w:ascii="Arial" w:cs="Arial" w:eastAsia="Arial" w:hAnsi="Arial"/>
                <w:sz w:val="16"/>
                <w:szCs w:val="16"/>
                <w:color w:val="auto"/>
              </w:rPr>
              <w:t>Net carrying value</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8,725</w:t>
            </w:r>
          </w:p>
        </w:tc>
      </w:tr>
      <w:tr>
        <w:trPr>
          <w:trHeight w:val="20"/>
        </w:trPr>
        <w:tc>
          <w:tcPr>
            <w:tcW w:w="9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366" w:right="39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5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Consolidated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Obligations and Funded Status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181"/>
        </w:trPr>
        <w:tc>
          <w:tcPr>
            <w:tcW w:w="6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5"/>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benefit obligation:</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6200" w:type="dxa"/>
            <w:vAlign w:val="bottom"/>
          </w:tcPr>
          <w:p>
            <w:pPr>
              <w:ind w:left="540"/>
              <w:spacing w:after="0"/>
              <w:rPr>
                <w:sz w:val="20"/>
                <w:szCs w:val="20"/>
                <w:color w:val="auto"/>
              </w:rPr>
            </w:pPr>
            <w:r>
              <w:rPr>
                <w:rFonts w:ascii="Arial" w:cs="Arial" w:eastAsia="Arial" w:hAnsi="Arial"/>
                <w:sz w:val="16"/>
                <w:szCs w:val="16"/>
                <w:color w:val="auto"/>
              </w:rPr>
              <w:t>Projected benefit obligation at beginning of period</w:t>
            </w:r>
          </w:p>
        </w:tc>
        <w:tc>
          <w:tcPr>
            <w:tcW w:w="122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132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352</w:t>
            </w:r>
          </w:p>
        </w:tc>
        <w:tc>
          <w:tcPr>
            <w:tcW w:w="120" w:type="dxa"/>
            <w:vAlign w:val="bottom"/>
          </w:tcPr>
          <w:p>
            <w:pPr>
              <w:spacing w:after="0"/>
              <w:rPr>
                <w:sz w:val="18"/>
                <w:szCs w:val="18"/>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4"/>
        </w:trPr>
        <w:tc>
          <w:tcPr>
            <w:tcW w:w="6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Service cost</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6200" w:type="dxa"/>
            <w:vAlign w:val="bottom"/>
          </w:tcPr>
          <w:p>
            <w:pPr>
              <w:ind w:left="780"/>
              <w:spacing w:after="0"/>
              <w:rPr>
                <w:sz w:val="20"/>
                <w:szCs w:val="20"/>
                <w:color w:val="auto"/>
              </w:rPr>
            </w:pPr>
            <w:r>
              <w:rPr>
                <w:rFonts w:ascii="Arial" w:cs="Arial" w:eastAsia="Arial" w:hAnsi="Arial"/>
                <w:sz w:val="16"/>
                <w:szCs w:val="16"/>
                <w:color w:val="auto"/>
              </w:rPr>
              <w:t>Interest cost</w:t>
            </w: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6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Plan amendments</w:t>
            </w:r>
          </w:p>
        </w:tc>
        <w:tc>
          <w:tcPr>
            <w:tcW w:w="1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6200" w:type="dxa"/>
            <w:vAlign w:val="bottom"/>
          </w:tcPr>
          <w:p>
            <w:pPr>
              <w:ind w:left="780"/>
              <w:spacing w:after="0"/>
              <w:rPr>
                <w:sz w:val="20"/>
                <w:szCs w:val="20"/>
                <w:color w:val="auto"/>
              </w:rPr>
            </w:pPr>
            <w:r>
              <w:rPr>
                <w:rFonts w:ascii="Arial" w:cs="Arial" w:eastAsia="Arial" w:hAnsi="Arial"/>
                <w:sz w:val="16"/>
                <w:szCs w:val="16"/>
                <w:color w:val="auto"/>
              </w:rPr>
              <w:t>Actuarial loss (gain)</w:t>
            </w: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6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Benefits paid</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6200" w:type="dxa"/>
            <w:vAlign w:val="bottom"/>
          </w:tcPr>
          <w:p>
            <w:pPr>
              <w:ind w:left="780"/>
              <w:spacing w:after="0"/>
              <w:rPr>
                <w:sz w:val="20"/>
                <w:szCs w:val="20"/>
                <w:color w:val="auto"/>
              </w:rPr>
            </w:pPr>
            <w:r>
              <w:rPr>
                <w:rFonts w:ascii="Arial" w:cs="Arial" w:eastAsia="Arial" w:hAnsi="Arial"/>
                <w:sz w:val="16"/>
                <w:szCs w:val="16"/>
                <w:color w:val="auto"/>
              </w:rPr>
              <w:t>Settlement/curtailment</w:t>
            </w:r>
          </w:p>
        </w:tc>
        <w:tc>
          <w:tcPr>
            <w:tcW w:w="12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4"/>
        </w:trPr>
        <w:tc>
          <w:tcPr>
            <w:tcW w:w="62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Non-U.S. currency movement</w:t>
            </w:r>
          </w:p>
        </w:tc>
        <w:tc>
          <w:tcPr>
            <w:tcW w:w="1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62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Projected benefit obligation at end of period</w:t>
            </w: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366</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r>
      <w:tr>
        <w:trPr>
          <w:trHeight w:val="194"/>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plan assets:</w:t>
            </w: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0"/>
        </w:trPr>
        <w:tc>
          <w:tcPr>
            <w:tcW w:w="6200" w:type="dxa"/>
            <w:vAlign w:val="bottom"/>
          </w:tcPr>
          <w:p>
            <w:pPr>
              <w:ind w:left="460"/>
              <w:spacing w:after="0"/>
              <w:rPr>
                <w:sz w:val="20"/>
                <w:szCs w:val="20"/>
                <w:color w:val="auto"/>
              </w:rPr>
            </w:pPr>
            <w:r>
              <w:rPr>
                <w:rFonts w:ascii="Arial" w:cs="Arial" w:eastAsia="Arial" w:hAnsi="Arial"/>
                <w:sz w:val="16"/>
                <w:szCs w:val="16"/>
                <w:color w:val="auto"/>
              </w:rPr>
              <w:t>Fair value of plan assets at beginning of period</w:t>
            </w: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209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5"/>
        </w:trPr>
        <w:tc>
          <w:tcPr>
            <w:tcW w:w="6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Actual return on plan assets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6200" w:type="dxa"/>
            <w:vAlign w:val="bottom"/>
          </w:tcPr>
          <w:p>
            <w:pPr>
              <w:ind w:left="540"/>
              <w:spacing w:after="0"/>
              <w:rPr>
                <w:sz w:val="20"/>
                <w:szCs w:val="20"/>
                <w:color w:val="auto"/>
              </w:rPr>
            </w:pPr>
            <w:r>
              <w:rPr>
                <w:rFonts w:ascii="Arial" w:cs="Arial" w:eastAsia="Arial" w:hAnsi="Arial"/>
                <w:sz w:val="16"/>
                <w:szCs w:val="16"/>
                <w:color w:val="auto"/>
              </w:rPr>
              <w:t>Employer contributions</w:t>
            </w: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6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Benefits paid</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62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Non-U.S. currency movement</w:t>
            </w: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6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Fair value of plan assets at end of period</w:t>
            </w:r>
          </w:p>
        </w:tc>
        <w:tc>
          <w:tcPr>
            <w:tcW w:w="12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215</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08"/>
        </w:trPr>
        <w:tc>
          <w:tcPr>
            <w:tcW w:w="6200" w:type="dxa"/>
            <w:vAlign w:val="bottom"/>
          </w:tcPr>
          <w:p>
            <w:pPr>
              <w:ind w:left="340"/>
              <w:spacing w:after="0"/>
              <w:rPr>
                <w:sz w:val="20"/>
                <w:szCs w:val="20"/>
                <w:color w:val="auto"/>
              </w:rPr>
            </w:pPr>
            <w:r>
              <w:rPr>
                <w:rFonts w:ascii="Arial" w:cs="Arial" w:eastAsia="Arial" w:hAnsi="Arial"/>
                <w:sz w:val="16"/>
                <w:szCs w:val="16"/>
                <w:color w:val="auto"/>
              </w:rPr>
              <w:t>Unfunded status</w:t>
            </w:r>
          </w:p>
        </w:tc>
        <w:tc>
          <w:tcPr>
            <w:tcW w:w="12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825"/>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151</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0"/>
        </w:trPr>
        <w:tc>
          <w:tcPr>
            <w:tcW w:w="6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unfunded amounts related to the Pension Plans as recognized on the Company’s 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00" w:type="dxa"/>
            <w:vAlign w:val="bottom"/>
          </w:tcPr>
          <w:p>
            <w:pPr>
              <w:jc w:val="right"/>
              <w:ind w:right="25"/>
              <w:spacing w:after="0"/>
              <w:rPr>
                <w:sz w:val="20"/>
                <w:szCs w:val="20"/>
                <w:color w:val="auto"/>
              </w:rPr>
            </w:pPr>
            <w:r>
              <w:rPr>
                <w:rFonts w:ascii="Arial" w:cs="Arial" w:eastAsia="Arial" w:hAnsi="Arial"/>
                <w:sz w:val="14"/>
                <w:szCs w:val="14"/>
                <w:b w:val="1"/>
                <w:bCs w:val="1"/>
                <w:color w:val="auto"/>
              </w:rPr>
              <w:t>July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3,</w:t>
            </w:r>
          </w:p>
        </w:tc>
      </w:tr>
      <w:tr>
        <w:trPr>
          <w:trHeight w:val="185"/>
        </w:trPr>
        <w:tc>
          <w:tcPr>
            <w:tcW w:w="7740" w:type="dxa"/>
            <w:vAlign w:val="bottom"/>
          </w:tcPr>
          <w:p>
            <w:pPr>
              <w:spacing w:after="0"/>
              <w:rPr>
                <w:sz w:val="16"/>
                <w:szCs w:val="16"/>
                <w:color w:val="auto"/>
              </w:rPr>
            </w:pPr>
          </w:p>
        </w:tc>
        <w:tc>
          <w:tcPr>
            <w:tcW w:w="13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2020</w:t>
            </w:r>
          </w:p>
        </w:tc>
      </w:tr>
      <w:tr>
        <w:trPr>
          <w:trHeight w:val="177"/>
        </w:trPr>
        <w:tc>
          <w:tcPr>
            <w:tcW w:w="7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5"/>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liabilities</w:t>
            </w:r>
          </w:p>
        </w:tc>
        <w:tc>
          <w:tcPr>
            <w:tcW w:w="130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Non-current liabilities</w:t>
            </w:r>
          </w:p>
        </w:tc>
        <w:tc>
          <w:tcPr>
            <w:tcW w:w="1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3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amount recognized</w:t>
            </w:r>
          </w:p>
        </w:tc>
        <w:tc>
          <w:tcPr>
            <w:tcW w:w="130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80" w:firstLine="318"/>
        <w:spacing w:after="0" w:line="330" w:lineRule="auto"/>
        <w:rPr>
          <w:sz w:val="20"/>
          <w:szCs w:val="20"/>
          <w:color w:val="auto"/>
        </w:rPr>
      </w:pPr>
      <w:r>
        <w:rPr>
          <w:rFonts w:ascii="Arial" w:cs="Arial" w:eastAsia="Arial" w:hAnsi="Arial"/>
          <w:sz w:val="15"/>
          <w:szCs w:val="15"/>
          <w:color w:val="auto"/>
        </w:rPr>
        <w:t>The accumulated benefit obligation for the Pension Plans was $359 million at July 2, 2021. As of July 2, 2021, actuarial gains for the Pension Plans of $27 million are included in Accumulated other comprehensive loss in the Consolidated Balance Sheet. There were no material prior service credits for the defined benefit pension plans recognized in Accumulated other comprehensive loss in the Consolidated Balance Sheet as of July 2, 2021.</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periodic benefit costs were not material for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Weighted-Average Assumptions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actuarial assumptions used to determine the projected benefit obligations for the Pension Plans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r>
      <w:tr>
        <w:trPr>
          <w:trHeight w:val="211"/>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Discount rate</w:t>
            </w: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760" w:type="dxa"/>
            <w:vAlign w:val="bottom"/>
          </w:tcPr>
          <w:p>
            <w:pPr>
              <w:ind w:left="340"/>
              <w:spacing w:after="0"/>
              <w:rPr>
                <w:sz w:val="20"/>
                <w:szCs w:val="20"/>
                <w:color w:val="auto"/>
              </w:rPr>
            </w:pPr>
            <w:r>
              <w:rPr>
                <w:rFonts w:ascii="Arial" w:cs="Arial" w:eastAsia="Arial" w:hAnsi="Arial"/>
                <w:sz w:val="16"/>
                <w:szCs w:val="16"/>
                <w:color w:val="auto"/>
              </w:rPr>
              <w:t>Rate of compensation increase</w:t>
            </w:r>
          </w:p>
        </w:tc>
        <w:tc>
          <w:tcPr>
            <w:tcW w:w="1420" w:type="dxa"/>
            <w:vAlign w:val="bottom"/>
          </w:tcPr>
          <w:p>
            <w:pPr>
              <w:jc w:val="right"/>
              <w:ind w:right="123"/>
              <w:spacing w:after="0"/>
              <w:rPr>
                <w:sz w:val="20"/>
                <w:szCs w:val="20"/>
                <w:color w:val="auto"/>
              </w:rPr>
            </w:pPr>
            <w:r>
              <w:rPr>
                <w:rFonts w:ascii="Arial" w:cs="Arial" w:eastAsia="Arial" w:hAnsi="Arial"/>
                <w:sz w:val="16"/>
                <w:szCs w:val="16"/>
                <w:color w:val="auto"/>
              </w:rPr>
              <w:t>2.0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03"/>
              <w:spacing w:after="0"/>
              <w:rPr>
                <w:sz w:val="20"/>
                <w:szCs w:val="20"/>
                <w:color w:val="auto"/>
              </w:rPr>
            </w:pPr>
            <w:r>
              <w:rPr>
                <w:rFonts w:ascii="Arial" w:cs="Arial" w:eastAsia="Arial" w:hAnsi="Arial"/>
                <w:sz w:val="16"/>
                <w:szCs w:val="16"/>
                <w:color w:val="auto"/>
              </w:rPr>
              <w:t>2.0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ind w:right="103"/>
              <w:spacing w:after="0"/>
              <w:rPr>
                <w:sz w:val="20"/>
                <w:szCs w:val="20"/>
                <w:color w:val="auto"/>
              </w:rPr>
            </w:pPr>
            <w:r>
              <w:rPr>
                <w:rFonts w:ascii="Arial" w:cs="Arial" w:eastAsia="Arial" w:hAnsi="Arial"/>
                <w:sz w:val="16"/>
                <w:szCs w:val="16"/>
                <w:color w:val="auto"/>
              </w:rPr>
              <w:t>1.7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actuarial assumptions used to determine benefit costs for the Pension Plans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r>
      <w:tr>
        <w:trPr>
          <w:trHeight w:val="211"/>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Discount rate</w:t>
            </w: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1.3</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760" w:type="dxa"/>
            <w:vAlign w:val="bottom"/>
          </w:tcPr>
          <w:p>
            <w:pPr>
              <w:ind w:left="340"/>
              <w:spacing w:after="0"/>
              <w:rPr>
                <w:sz w:val="20"/>
                <w:szCs w:val="20"/>
                <w:color w:val="auto"/>
              </w:rPr>
            </w:pPr>
            <w:r>
              <w:rPr>
                <w:rFonts w:ascii="Arial" w:cs="Arial" w:eastAsia="Arial" w:hAnsi="Arial"/>
                <w:sz w:val="16"/>
                <w:szCs w:val="16"/>
                <w:color w:val="auto"/>
              </w:rPr>
              <w:t>Expected long-term rate of return on plan assets</w:t>
            </w:r>
          </w:p>
        </w:tc>
        <w:tc>
          <w:tcPr>
            <w:tcW w:w="1420" w:type="dxa"/>
            <w:vAlign w:val="bottom"/>
          </w:tcPr>
          <w:p>
            <w:pPr>
              <w:jc w:val="right"/>
              <w:ind w:right="123"/>
              <w:spacing w:after="0"/>
              <w:rPr>
                <w:sz w:val="20"/>
                <w:szCs w:val="20"/>
                <w:color w:val="auto"/>
              </w:rPr>
            </w:pPr>
            <w:r>
              <w:rPr>
                <w:rFonts w:ascii="Arial" w:cs="Arial" w:eastAsia="Arial" w:hAnsi="Arial"/>
                <w:sz w:val="16"/>
                <w:szCs w:val="16"/>
                <w:color w:val="auto"/>
              </w:rPr>
              <w:t>2.5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03"/>
              <w:spacing w:after="0"/>
              <w:rPr>
                <w:sz w:val="20"/>
                <w:szCs w:val="20"/>
                <w:color w:val="auto"/>
              </w:rPr>
            </w:pPr>
            <w:r>
              <w:rPr>
                <w:rFonts w:ascii="Arial" w:cs="Arial" w:eastAsia="Arial" w:hAnsi="Arial"/>
                <w:sz w:val="16"/>
                <w:szCs w:val="16"/>
                <w:color w:val="auto"/>
              </w:rPr>
              <w:t>2.5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ind w:right="103"/>
              <w:spacing w:after="0"/>
              <w:rPr>
                <w:sz w:val="20"/>
                <w:szCs w:val="20"/>
                <w:color w:val="auto"/>
              </w:rPr>
            </w:pPr>
            <w:r>
              <w:rPr>
                <w:rFonts w:ascii="Arial" w:cs="Arial" w:eastAsia="Arial" w:hAnsi="Arial"/>
                <w:sz w:val="16"/>
                <w:szCs w:val="16"/>
                <w:color w:val="auto"/>
              </w:rPr>
              <w:t>2.5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Rate of compensation increase</w:t>
            </w: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1.7</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06" w:lineRule="exact"/>
        <w:rPr>
          <w:sz w:val="20"/>
          <w:szCs w:val="20"/>
          <w:color w:val="auto"/>
        </w:rPr>
      </w:pPr>
    </w:p>
    <w:p>
      <w:pPr>
        <w:ind w:right="140" w:firstLine="318"/>
        <w:spacing w:after="0" w:line="294" w:lineRule="auto"/>
        <w:rPr>
          <w:sz w:val="20"/>
          <w:szCs w:val="20"/>
          <w:color w:val="auto"/>
        </w:rPr>
      </w:pPr>
      <w:r>
        <w:rPr>
          <w:rFonts w:ascii="Arial" w:cs="Arial" w:eastAsia="Arial" w:hAnsi="Arial"/>
          <w:sz w:val="17"/>
          <w:szCs w:val="17"/>
          <w:color w:val="auto"/>
        </w:rPr>
        <w:t>The Company develops a discount rate by calculating when the estimated benefit payments will be due. Management then matches the benefit payments to high quality bonds which match the timing of the expected benefit payments to determine the appropriate discount rate.</w:t>
      </w:r>
    </w:p>
    <w:p>
      <w:pPr>
        <w:spacing w:after="0" w:line="184"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The Company develops the expected long-term rate of return on plan assets by analyzing rates of return in each plan as well as the investment portfolio applicable to the plan depending on each plan’s economic environment.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 As of July 2, 2021, Pension Plan assets materially consisted of plan assets related to the Japan Pension Plan and as such the assumption used herein is primarily related to the Japan Pension Plan.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develops the rate of compensation increase assumptions using local compensation practices and historical rates of increases.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Investment Policies and Strategies</w:t>
      </w:r>
    </w:p>
    <w:p>
      <w:pPr>
        <w:spacing w:after="0" w:line="24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investment policy in the Pension Plans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55% in debt securities, 30% in equity securities, and the remaining 15%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212"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244" w:lineRule="exact"/>
        <w:rPr>
          <w:sz w:val="20"/>
          <w:szCs w:val="20"/>
          <w:color w:val="auto"/>
        </w:rPr>
      </w:pPr>
    </w:p>
    <w:p>
      <w:pPr>
        <w:ind w:right="180" w:firstLine="318"/>
        <w:spacing w:after="0" w:line="262" w:lineRule="auto"/>
        <w:rPr>
          <w:sz w:val="20"/>
          <w:szCs w:val="20"/>
          <w:color w:val="auto"/>
        </w:rPr>
      </w:pPr>
      <w:r>
        <w:rPr>
          <w:rFonts w:ascii="Arial" w:cs="Arial" w:eastAsia="Arial" w:hAnsi="Arial"/>
          <w:sz w:val="18"/>
          <w:szCs w:val="18"/>
          <w:color w:val="auto"/>
        </w:rPr>
        <w:t>The following tables present the Pension Plans’ major asset categories and their associated fair values and net asset values as of July 2, 2021 and July 3,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July 2, 2021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1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177"/>
        </w:trPr>
        <w:tc>
          <w:tcPr>
            <w:tcW w:w="1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jc w:val="right"/>
              <w:ind w:right="2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4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Plan assets measured at fair value:</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4500" w:type="dxa"/>
            <w:vAlign w:val="bottom"/>
            <w:gridSpan w:val="2"/>
          </w:tcPr>
          <w:p>
            <w:pPr>
              <w:ind w:left="440"/>
              <w:spacing w:after="0"/>
              <w:rPr>
                <w:sz w:val="20"/>
                <w:szCs w:val="20"/>
                <w:color w:val="auto"/>
              </w:rPr>
            </w:pPr>
            <w:r>
              <w:rPr>
                <w:rFonts w:ascii="Arial" w:cs="Arial" w:eastAsia="Arial" w:hAnsi="Arial"/>
                <w:sz w:val="16"/>
                <w:szCs w:val="16"/>
                <w:color w:val="auto"/>
              </w:rPr>
              <w:t>Equity:</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4500" w:type="dxa"/>
            <w:vAlign w:val="bottom"/>
            <w:gridSpan w:val="2"/>
            <w:shd w:val="clear" w:color="auto" w:fill="CCEEFF"/>
          </w:tcPr>
          <w:p>
            <w:pPr>
              <w:ind w:left="560"/>
              <w:spacing w:after="0" w:line="214" w:lineRule="exact"/>
              <w:rPr>
                <w:sz w:val="20"/>
                <w:szCs w:val="20"/>
                <w:color w:val="auto"/>
              </w:rPr>
            </w:pPr>
            <w:r>
              <w:rPr>
                <w:rFonts w:ascii="Arial" w:cs="Arial" w:eastAsia="Arial" w:hAnsi="Arial"/>
                <w:sz w:val="16"/>
                <w:szCs w:val="16"/>
                <w:color w:val="auto"/>
              </w:rPr>
              <w:t>Equity commingled/mutual funds</w:t>
            </w:r>
            <w:r>
              <w:rPr>
                <w:rFonts w:ascii="Arial" w:cs="Arial" w:eastAsia="Arial" w:hAnsi="Arial"/>
                <w:sz w:val="20"/>
                <w:szCs w:val="20"/>
                <w:color w:val="auto"/>
                <w:vertAlign w:val="superscript"/>
              </w:rPr>
              <w:t>(1)(2)</w:t>
            </w:r>
          </w:p>
        </w:tc>
        <w:tc>
          <w:tcPr>
            <w:tcW w:w="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ind w:left="383"/>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4"/>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9"/>
        </w:trPr>
        <w:tc>
          <w:tcPr>
            <w:tcW w:w="4500" w:type="dxa"/>
            <w:vAlign w:val="bottom"/>
            <w:gridSpan w:val="2"/>
          </w:tcPr>
          <w:p>
            <w:pPr>
              <w:ind w:left="440"/>
              <w:spacing w:after="0"/>
              <w:rPr>
                <w:sz w:val="20"/>
                <w:szCs w:val="20"/>
                <w:color w:val="auto"/>
              </w:rPr>
            </w:pPr>
            <w:r>
              <w:rPr>
                <w:rFonts w:ascii="Arial" w:cs="Arial" w:eastAsia="Arial" w:hAnsi="Arial"/>
                <w:sz w:val="16"/>
                <w:szCs w:val="16"/>
                <w:color w:val="auto"/>
              </w:rPr>
              <w:t>Fixed income:</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500" w:type="dxa"/>
            <w:vAlign w:val="bottom"/>
            <w:gridSpan w:val="2"/>
            <w:shd w:val="clear" w:color="auto" w:fill="CCEEFF"/>
          </w:tcPr>
          <w:p>
            <w:pPr>
              <w:ind w:left="560"/>
              <w:spacing w:after="0" w:line="214" w:lineRule="exact"/>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0"/>
                <w:szCs w:val="20"/>
                <w:color w:val="auto"/>
                <w:vertAlign w:val="superscript"/>
              </w:rPr>
              <w:t>(1)(3)</w:t>
            </w:r>
          </w:p>
        </w:tc>
        <w:tc>
          <w:tcPr>
            <w:tcW w:w="7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503"/>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5"/>
        </w:trPr>
        <w:tc>
          <w:tcPr>
            <w:tcW w:w="4500" w:type="dxa"/>
            <w:vAlign w:val="bottom"/>
            <w:gridSpan w:val="2"/>
          </w:tcPr>
          <w:p>
            <w:pPr>
              <w:ind w:left="340"/>
              <w:spacing w:after="0"/>
              <w:rPr>
                <w:sz w:val="20"/>
                <w:szCs w:val="20"/>
                <w:color w:val="auto"/>
              </w:rPr>
            </w:pPr>
            <w:r>
              <w:rPr>
                <w:rFonts w:ascii="Arial" w:cs="Arial" w:eastAsia="Arial" w:hAnsi="Arial"/>
                <w:sz w:val="16"/>
                <w:szCs w:val="16"/>
                <w:color w:val="auto"/>
              </w:rPr>
              <w:t>Fair value of plan assets</w:t>
            </w:r>
          </w:p>
        </w:tc>
        <w:tc>
          <w:tcPr>
            <w:tcW w:w="7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center"/>
              <w:ind w:left="383"/>
              <w:spacing w:after="0"/>
              <w:rPr>
                <w:sz w:val="20"/>
                <w:szCs w:val="20"/>
                <w:color w:val="auto"/>
              </w:rPr>
            </w:pPr>
            <w:r>
              <w:rPr>
                <w:rFonts w:ascii="Arial" w:cs="Arial" w:eastAsia="Arial" w:hAnsi="Arial"/>
                <w:sz w:val="16"/>
                <w:szCs w:val="16"/>
                <w:color w:val="auto"/>
                <w:w w:val="99"/>
              </w:rPr>
              <w:t>—</w:t>
            </w:r>
          </w:p>
        </w:tc>
        <w:tc>
          <w:tcPr>
            <w:tcW w:w="44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0"/>
        </w:trPr>
        <w:tc>
          <w:tcPr>
            <w:tcW w:w="15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152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0"/>
        </w:trPr>
        <w:tc>
          <w:tcPr>
            <w:tcW w:w="4500" w:type="dxa"/>
            <w:vAlign w:val="bottom"/>
            <w:gridSpan w:val="2"/>
          </w:tcPr>
          <w:p>
            <w:pPr>
              <w:ind w:left="340"/>
              <w:spacing w:after="0"/>
              <w:rPr>
                <w:sz w:val="20"/>
                <w:szCs w:val="20"/>
                <w:color w:val="auto"/>
              </w:rPr>
            </w:pPr>
            <w:r>
              <w:rPr>
                <w:rFonts w:ascii="Arial" w:cs="Arial" w:eastAsia="Arial" w:hAnsi="Arial"/>
                <w:sz w:val="16"/>
                <w:szCs w:val="16"/>
                <w:color w:val="auto"/>
              </w:rPr>
              <w:t>Plan assets measured at net asset value:</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Real estate investment trust</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99"/>
        </w:trPr>
        <w:tc>
          <w:tcPr>
            <w:tcW w:w="1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6"/>
              </w:rPr>
              <w:t>July 3, 2020</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1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77"/>
        </w:trPr>
        <w:tc>
          <w:tcPr>
            <w:tcW w:w="1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4500" w:type="dxa"/>
            <w:vAlign w:val="bottom"/>
            <w:gridSpan w:val="2"/>
          </w:tcPr>
          <w:p>
            <w:pPr>
              <w:ind w:left="140"/>
              <w:spacing w:after="0" w:line="212" w:lineRule="exact"/>
              <w:rPr>
                <w:sz w:val="20"/>
                <w:szCs w:val="20"/>
                <w:color w:val="auto"/>
              </w:rPr>
            </w:pPr>
            <w:r>
              <w:rPr>
                <w:rFonts w:ascii="Arial" w:cs="Arial" w:eastAsia="Arial" w:hAnsi="Arial"/>
                <w:sz w:val="16"/>
                <w:szCs w:val="16"/>
                <w:color w:val="auto"/>
              </w:rPr>
              <w:t>Equity commingled/mutual funds</w:t>
            </w:r>
            <w:r>
              <w:rPr>
                <w:rFonts w:ascii="Arial" w:cs="Arial" w:eastAsia="Arial" w:hAnsi="Arial"/>
                <w:sz w:val="20"/>
                <w:szCs w:val="20"/>
                <w:color w:val="auto"/>
                <w:vertAlign w:val="superscript"/>
              </w:rPr>
              <w:t>(1)(2)</w:t>
            </w:r>
          </w:p>
        </w:tc>
        <w:tc>
          <w:tcPr>
            <w:tcW w:w="72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72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2"/>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Fixed income:</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4500" w:type="dxa"/>
            <w:vAlign w:val="bottom"/>
            <w:gridSpan w:val="2"/>
          </w:tcPr>
          <w:p>
            <w:pPr>
              <w:ind w:left="140"/>
              <w:spacing w:after="0" w:line="212" w:lineRule="exact"/>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0"/>
                <w:szCs w:val="20"/>
                <w:color w:val="auto"/>
                <w:vertAlign w:val="superscript"/>
              </w:rPr>
              <w:t>(1)(3)</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9"/>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equivalents and short-term investments</w:t>
            </w:r>
          </w:p>
        </w:tc>
        <w:tc>
          <w:tcPr>
            <w:tcW w:w="7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8"/>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Fair value of plan assets</w:t>
            </w:r>
          </w:p>
        </w:tc>
        <w:tc>
          <w:tcPr>
            <w:tcW w:w="72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203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1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1520" w:type="dxa"/>
            <w:vAlign w:val="bottom"/>
            <w:tcBorders>
              <w:bottom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39"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Commingled funds represent pooled institutional investments.</w:t>
      </w:r>
    </w:p>
    <w:p>
      <w:pPr>
        <w:spacing w:after="0" w:line="2"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Equity mutual funds invest primarily in equity securities.</w:t>
      </w:r>
    </w:p>
    <w:p>
      <w:pPr>
        <w:spacing w:after="0" w:line="3" w:lineRule="exact"/>
        <w:rPr>
          <w:rFonts w:ascii="Arial" w:cs="Arial" w:eastAsia="Arial" w:hAnsi="Arial"/>
          <w:sz w:val="23"/>
          <w:szCs w:val="23"/>
          <w:color w:val="auto"/>
          <w:vertAlign w:val="superscript"/>
        </w:rPr>
      </w:pPr>
    </w:p>
    <w:p>
      <w:pPr>
        <w:ind w:left="320" w:hanging="314"/>
        <w:spacing w:after="0" w:line="189"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Fixed income mutual funds invest primarily in fixed income securities.</w:t>
      </w:r>
    </w:p>
    <w:p>
      <w:pPr>
        <w:spacing w:after="0" w:line="228" w:lineRule="exact"/>
        <w:rPr>
          <w:rFonts w:ascii="Arial" w:cs="Arial" w:eastAsia="Arial" w:hAnsi="Arial"/>
          <w:sz w:val="23"/>
          <w:szCs w:val="23"/>
          <w:color w:val="auto"/>
          <w:vertAlign w:val="superscript"/>
        </w:rPr>
      </w:pPr>
    </w:p>
    <w:p>
      <w:pPr>
        <w:ind w:left="320"/>
        <w:spacing w:after="0"/>
        <w:rPr>
          <w:rFonts w:ascii="Arial" w:cs="Arial" w:eastAsia="Arial" w:hAnsi="Arial"/>
          <w:sz w:val="23"/>
          <w:szCs w:val="23"/>
          <w:color w:val="auto"/>
          <w:vertAlign w:val="superscript"/>
        </w:rPr>
      </w:pPr>
      <w:r>
        <w:rPr>
          <w:rFonts w:ascii="Arial" w:cs="Arial" w:eastAsia="Arial" w:hAnsi="Arial"/>
          <w:sz w:val="18"/>
          <w:szCs w:val="18"/>
          <w:color w:val="auto"/>
        </w:rPr>
        <w:t>There were no significant movements of assets between any level categories in 2021 or 2020.</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Valuation Techniques</w:t>
      </w:r>
    </w:p>
    <w:p>
      <w:pPr>
        <w:spacing w:after="0" w:line="24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204"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215" w:lineRule="exact"/>
        <w:rPr>
          <w:sz w:val="20"/>
          <w:szCs w:val="20"/>
          <w:color w:val="auto"/>
        </w:rPr>
      </w:pPr>
    </w:p>
    <w:p>
      <w:pPr>
        <w:jc w:val="both"/>
        <w:ind w:right="280" w:firstLine="318"/>
        <w:spacing w:after="0" w:line="294" w:lineRule="auto"/>
        <w:rPr>
          <w:sz w:val="20"/>
          <w:szCs w:val="20"/>
          <w:color w:val="auto"/>
        </w:rPr>
      </w:pPr>
      <w:r>
        <w:rPr>
          <w:rFonts w:ascii="Arial" w:cs="Arial" w:eastAsia="Arial" w:hAnsi="Arial"/>
          <w:sz w:val="17"/>
          <w:szCs w:val="17"/>
          <w:color w:val="auto"/>
        </w:rPr>
        <w:t>Cash equivalents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Company’s expected employer contributions for 2022 and annual benefit payments over the next five years for its Pension Plans are not expected to be material.</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366" w:right="47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Related Parties and Related Commitments and Contingencies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The Company has a 49.9% ownership interest and Kioxia has a 50.1% ownership interest in each of these entities. Through Flash Ventures, the Company and Kioxia collaborate in the development and manufacture of flash-based memory wafers, which are manufactured by Kioxia at its wafer fabrication facilities located in Japan using semiconductor manufacturing equipment individually owned or leased by each Flash Ventures entity. Each Flash Ventures entity purchases wafers from Kioxia at cost and then resells those wafers to the Company and Kioxia at cost plus a markup</w:t>
      </w:r>
      <w:r>
        <w:rPr>
          <w:rFonts w:ascii="Arial" w:cs="Arial" w:eastAsia="Arial" w:hAnsi="Arial"/>
          <w:sz w:val="15"/>
          <w:szCs w:val="15"/>
          <w:i w:val="1"/>
          <w:iCs w:val="1"/>
          <w:color w:val="auto"/>
        </w:rPr>
        <w:t>.</w:t>
      </w:r>
    </w:p>
    <w:p>
      <w:pPr>
        <w:spacing w:after="0" w:line="17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i w:val="1"/>
          <w:iCs w:val="1"/>
          <w:color w:val="auto"/>
        </w:rPr>
        <w:t>Flash Partners</w:t>
      </w:r>
      <w:r>
        <w:rPr>
          <w:rFonts w:ascii="Arial" w:cs="Arial" w:eastAsia="Arial" w:hAnsi="Arial"/>
          <w:sz w:val="18"/>
          <w:szCs w:val="18"/>
          <w:color w:val="auto"/>
        </w:rPr>
        <w:t>. Flash Partners was formed in 2004 in connection with the construction of Kioxia’s “Y3” 300-millimeter wafer fabrication facility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Yokkaichi, Japan.</w:t>
      </w:r>
    </w:p>
    <w:p>
      <w:pPr>
        <w:spacing w:after="0" w:line="20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i w:val="1"/>
          <w:iCs w:val="1"/>
          <w:color w:val="auto"/>
        </w:rPr>
        <w:t xml:space="preserve">Flash Alliance. </w:t>
      </w:r>
      <w:r>
        <w:rPr>
          <w:rFonts w:ascii="Arial" w:cs="Arial" w:eastAsia="Arial" w:hAnsi="Arial"/>
          <w:sz w:val="18"/>
          <w:szCs w:val="18"/>
          <w:color w:val="auto"/>
        </w:rPr>
        <w:t>Flash Alliance was formed in 2006 in connection with the construction of Kioxia’s “Y4” 300-millimeter wafer fabrication facility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Yokkaichi, Japan.</w:t>
      </w:r>
    </w:p>
    <w:p>
      <w:pPr>
        <w:spacing w:after="0" w:line="20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i w:val="1"/>
          <w:iCs w:val="1"/>
          <w:color w:val="auto"/>
        </w:rPr>
        <w:t>Flash Forward</w:t>
      </w:r>
      <w:r>
        <w:rPr>
          <w:rFonts w:ascii="Arial" w:cs="Arial" w:eastAsia="Arial" w:hAnsi="Arial"/>
          <w:sz w:val="18"/>
          <w:szCs w:val="18"/>
          <w:color w:val="auto"/>
        </w:rPr>
        <w:t>. Flash Forward was formed in 2010 in connection with the construction of Kioxia’s “Y5” 300-millimeter wafer fabrication facility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Yokkaichi, Japan. Y5 was built in two phases of approximately equal size.</w:t>
      </w:r>
    </w:p>
    <w:p>
      <w:pPr>
        <w:spacing w:after="0" w:line="207"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i w:val="1"/>
          <w:iCs w:val="1"/>
          <w:color w:val="auto"/>
        </w:rPr>
        <w:t>New Y2</w:t>
      </w:r>
      <w:r>
        <w:rPr>
          <w:rFonts w:ascii="Arial" w:cs="Arial" w:eastAsia="Arial" w:hAnsi="Arial"/>
          <w:sz w:val="15"/>
          <w:szCs w:val="15"/>
          <w:color w:val="auto"/>
        </w:rPr>
        <w:t>. The Company has a facility agreement with Kioxia related to the construction and operation of Kioxia’s “New Y2” 300-millimeter wafer</w:t>
      </w:r>
      <w:r>
        <w:rPr>
          <w:rFonts w:ascii="Arial" w:cs="Arial" w:eastAsia="Arial" w:hAnsi="Arial"/>
          <w:sz w:val="15"/>
          <w:szCs w:val="15"/>
          <w:i w:val="1"/>
          <w:iCs w:val="1"/>
          <w:color w:val="auto"/>
        </w:rPr>
        <w:t xml:space="preserve"> </w:t>
      </w:r>
      <w:r>
        <w:rPr>
          <w:rFonts w:ascii="Arial" w:cs="Arial" w:eastAsia="Arial" w:hAnsi="Arial"/>
          <w:sz w:val="15"/>
          <w:szCs w:val="15"/>
          <w:color w:val="auto"/>
        </w:rPr>
        <w:t>fabrication facility located in Yokkaichi, Japan. New Y2 primarily provided additional clean room space to convert a portion of 2-dimensional (“2D”) flash-based wafer production capacity to 3-dimensional (“3D”) flash-based wafer production capacity. Production of flash-based wafers in New Y2 started in 2016.</w:t>
      </w:r>
    </w:p>
    <w:p>
      <w:pPr>
        <w:spacing w:after="0" w:line="163"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i w:val="1"/>
          <w:iCs w:val="1"/>
          <w:color w:val="auto"/>
        </w:rPr>
        <w:t>Y6</w:t>
      </w:r>
      <w:r>
        <w:rPr>
          <w:rFonts w:ascii="Arial" w:cs="Arial" w:eastAsia="Arial" w:hAnsi="Arial"/>
          <w:sz w:val="18"/>
          <w:szCs w:val="18"/>
          <w:color w:val="auto"/>
        </w:rPr>
        <w:t>. The Company also has a facility agreement with Kioxia related to the construction and operation of Kioxia’s “Y6” 300-millimeter wafer fabrication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Yokkaichi, Japan. Y6 is primarily intended to provide clean room space to continue the transition of existing 2D flash-based wafer capacity to 3D flash-based wafer production capacity. Production of flash-based wafers in Y6 started in 2018.</w:t>
      </w:r>
    </w:p>
    <w:p>
      <w:pPr>
        <w:spacing w:after="0" w:line="215"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i w:val="1"/>
          <w:iCs w:val="1"/>
          <w:color w:val="auto"/>
        </w:rPr>
        <w:t>K1</w:t>
      </w:r>
      <w:r>
        <w:rPr>
          <w:rFonts w:ascii="Arial" w:cs="Arial" w:eastAsia="Arial" w:hAnsi="Arial"/>
          <w:sz w:val="17"/>
          <w:szCs w:val="17"/>
          <w:color w:val="auto"/>
        </w:rPr>
        <w:t>. The Company also has a facility agreement with Kioxia related to the construction and operation of Kioxia’s “K1” 300-milimeter wafer fabrication</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Kitakami, Japan. The primary purpose of K1 is to provide clean room space to continue the transition of existing flash-based wafer capacity to newer technology nodes. K1 is now fully operational. In connection with the start-up of this facility, the Company agreed to prepay an aggregate of approximately $360 million over a 3-year period beginning in the first half of fiscal year 2020 toward K1 building depreciation, to be credited against future wafer charges. As of July 2, 2021, remaining committed prepayments totaled $77 million.</w:t>
      </w:r>
    </w:p>
    <w:p>
      <w:pPr>
        <w:spacing w:after="0" w:line="207"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July 2, 2021 and July 3,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422"/>
              <w:spacing w:after="0"/>
              <w:rPr>
                <w:sz w:val="20"/>
                <w:szCs w:val="20"/>
                <w:color w:val="auto"/>
              </w:rPr>
            </w:pPr>
            <w:r>
              <w:rPr>
                <w:rFonts w:ascii="Arial" w:cs="Arial" w:eastAsia="Arial" w:hAnsi="Arial"/>
                <w:sz w:val="14"/>
                <w:szCs w:val="14"/>
                <w:b w:val="1"/>
                <w:bCs w:val="1"/>
                <w:color w:val="auto"/>
              </w:rPr>
              <w:t>July 3,</w:t>
            </w:r>
          </w:p>
        </w:tc>
      </w:tr>
      <w:tr>
        <w:trPr>
          <w:trHeight w:val="185"/>
        </w:trPr>
        <w:tc>
          <w:tcPr>
            <w:tcW w:w="8000" w:type="dxa"/>
            <w:vAlign w:val="bottom"/>
          </w:tcPr>
          <w:p>
            <w:pPr>
              <w:spacing w:after="0"/>
              <w:rPr>
                <w:sz w:val="16"/>
                <w:szCs w:val="16"/>
                <w:color w:val="auto"/>
              </w:rPr>
            </w:pPr>
          </w:p>
        </w:tc>
        <w:tc>
          <w:tcPr>
            <w:tcW w:w="11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r>
      <w:tr>
        <w:trPr>
          <w:trHeight w:val="177"/>
        </w:trPr>
        <w:tc>
          <w:tcPr>
            <w:tcW w:w="8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5"/>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Notes receivable, Flash Partners</w:t>
            </w:r>
          </w:p>
        </w:tc>
        <w:tc>
          <w:tcPr>
            <w:tcW w:w="110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Notes receivable, Flash Alliance</w:t>
            </w:r>
          </w:p>
        </w:tc>
        <w:tc>
          <w:tcPr>
            <w:tcW w:w="110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5"/>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Notes receivable, Flash Forward</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10"/>
        </w:trPr>
        <w:tc>
          <w:tcPr>
            <w:tcW w:w="8000" w:type="dxa"/>
            <w:vAlign w:val="bottom"/>
          </w:tcPr>
          <w:p>
            <w:pPr>
              <w:ind w:left="180"/>
              <w:spacing w:after="0"/>
              <w:rPr>
                <w:sz w:val="20"/>
                <w:szCs w:val="20"/>
                <w:color w:val="auto"/>
              </w:rPr>
            </w:pPr>
            <w:r>
              <w:rPr>
                <w:rFonts w:ascii="Arial" w:cs="Arial" w:eastAsia="Arial" w:hAnsi="Arial"/>
                <w:sz w:val="16"/>
                <w:szCs w:val="16"/>
                <w:color w:val="auto"/>
              </w:rPr>
              <w:t>Investment in Flash Partners</w:t>
            </w:r>
          </w:p>
        </w:tc>
        <w:tc>
          <w:tcPr>
            <w:tcW w:w="110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4"/>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 Flash Alliance</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Investment in Flash Forward</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33"/>
        </w:trPr>
        <w:tc>
          <w:tcPr>
            <w:tcW w:w="8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notes receivable and investments in Flash Ventures</w:t>
            </w:r>
          </w:p>
        </w:tc>
        <w:tc>
          <w:tcPr>
            <w:tcW w:w="110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4"/>
              </w:rPr>
              <w:t>1,586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During 2021, 2020 and 2019, the Company made net payments to Flash Ventures of $4.36 billion, $3.09 billion and $4.13 billion, respectively, for purchased flash-based memory wafers and net loans.</w:t>
      </w:r>
    </w:p>
    <w:p>
      <w:pPr>
        <w:spacing w:after="0" w:line="207"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July 2, 2021 and July 3, 2020, the Company had Accounts payable balances due to Flash Ventures of $398 million and $407 million, respectively.</w:t>
      </w:r>
    </w:p>
    <w:p>
      <w:pPr>
        <w:spacing w:after="0" w:line="278" w:lineRule="exact"/>
        <w:rPr>
          <w:sz w:val="20"/>
          <w:szCs w:val="20"/>
          <w:color w:val="auto"/>
        </w:rPr>
      </w:pPr>
    </w:p>
    <w:p>
      <w:pPr>
        <w:ind w:right="160" w:firstLine="318"/>
        <w:spacing w:after="0" w:line="308" w:lineRule="auto"/>
        <w:rPr>
          <w:sz w:val="20"/>
          <w:szCs w:val="20"/>
          <w:color w:val="auto"/>
        </w:rPr>
      </w:pPr>
      <w:r>
        <w:rPr>
          <w:rFonts w:ascii="Arial" w:cs="Arial" w:eastAsia="Arial" w:hAnsi="Arial"/>
          <w:sz w:val="15"/>
          <w:szCs w:val="15"/>
          <w:color w:val="auto"/>
        </w:rPr>
        <w:t>The Company’s maximum reasonably estimable loss exposure (excluding lost profits) as a result of its involvement with Flash Ventures, based upon the Japanese yen to U.S. dollar exchange rate at July 2, 2021,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3"/>
        </w:trPr>
        <w:tc>
          <w:tcPr>
            <w:tcW w:w="9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right"/>
              <w:ind w:right="424"/>
              <w:spacing w:after="0" w:line="143" w:lineRule="exact"/>
              <w:rPr>
                <w:sz w:val="20"/>
                <w:szCs w:val="20"/>
                <w:color w:val="auto"/>
              </w:rPr>
            </w:pPr>
            <w:r>
              <w:rPr>
                <w:rFonts w:ascii="Arial" w:cs="Arial" w:eastAsia="Arial" w:hAnsi="Arial"/>
                <w:sz w:val="14"/>
                <w:szCs w:val="14"/>
                <w:b w:val="1"/>
                <w:bCs w:val="1"/>
                <w:color w:val="auto"/>
              </w:rPr>
              <w:t>July 2,</w:t>
            </w:r>
          </w:p>
        </w:tc>
      </w:tr>
      <w:tr>
        <w:trPr>
          <w:trHeight w:val="185"/>
        </w:trPr>
        <w:tc>
          <w:tcPr>
            <w:tcW w:w="95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2021</w:t>
            </w:r>
          </w:p>
        </w:tc>
      </w:tr>
      <w:tr>
        <w:trPr>
          <w:trHeight w:val="177"/>
        </w:trPr>
        <w:tc>
          <w:tcPr>
            <w:tcW w:w="9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Arial" w:cs="Arial" w:eastAsia="Arial" w:hAnsi="Arial"/>
                <w:sz w:val="14"/>
                <w:szCs w:val="14"/>
                <w:i w:val="1"/>
                <w:iCs w:val="1"/>
                <w:color w:val="auto"/>
              </w:rPr>
              <w:t>(in millions)</w:t>
            </w:r>
          </w:p>
        </w:tc>
      </w:tr>
      <w:tr>
        <w:trPr>
          <w:trHeight w:val="215"/>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10"/>
        </w:trPr>
        <w:tc>
          <w:tcPr>
            <w:tcW w:w="9500" w:type="dxa"/>
            <w:vAlign w:val="bottom"/>
          </w:tcPr>
          <w:p>
            <w:pPr>
              <w:ind w:left="340"/>
              <w:spacing w:after="0"/>
              <w:rPr>
                <w:sz w:val="20"/>
                <w:szCs w:val="20"/>
                <w:color w:val="auto"/>
              </w:rPr>
            </w:pPr>
            <w:r>
              <w:rPr>
                <w:rFonts w:ascii="Arial" w:cs="Arial" w:eastAsia="Arial" w:hAnsi="Arial"/>
                <w:sz w:val="16"/>
                <w:szCs w:val="16"/>
                <w:color w:val="auto"/>
              </w:rPr>
              <w:t>Equity investments</w:t>
            </w: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4"/>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guarantees</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r>
      <w:tr>
        <w:trPr>
          <w:trHeight w:val="210"/>
        </w:trPr>
        <w:tc>
          <w:tcPr>
            <w:tcW w:w="9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Inventory and prepayments</w:t>
            </w: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r>
      <w:tr>
        <w:trPr>
          <w:trHeight w:val="233"/>
        </w:trPr>
        <w:tc>
          <w:tcPr>
            <w:tcW w:w="9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Maximum estimable loss exposure</w:t>
            </w: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As of July 2, 2021 and July 3, 2020, the Company’s retained earnings included undistributed earnings of Flash Ventures of $33 million and $24 million, respectively.</w:t>
      </w:r>
    </w:p>
    <w:p>
      <w:pPr>
        <w:spacing w:after="0" w:line="207"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Flash Ventures entity’s operating cash flow is insufficient to fund these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Flash Ventures has historically operated near 100% of its manufacturing capacity. During 2019, as a result of flash business conditions, the Company temporarily reduced its utilization of its share of Flash Ventures’ manufacturing capacity to an abnormally low level to more closely align the Company’s flash-based wafer supply with the projected demand. In 2019, the Company incurred costs of $264 million associated with the reduction in utilization, which was recorded as a charge to Cost of revenue.</w:t>
      </w:r>
    </w:p>
    <w:p>
      <w:pPr>
        <w:spacing w:after="0" w:line="217"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 June 2019, an unexpected power outage incident occurred at the flash-based memory manufacturing facilities operated by Flash Ventures in Yokkaichi, Japan. The power outage incident impacted the facilities and process tools and resulted in the damage of flash wafers in production and a reduction in the Company’s flash wafer availability. As a result of this incident, the Company incurred charges of $68 million and $145 million in 2020 and 2019, respectively, which were recorded in Cost of revenue and primarily consisted of the write-off of damaged inventory and unabsorbed manufacturing overhead costs. In 2021, the Company recovered $75 million related to this incident from its insurance carriers, which was recorded in Cost of revenue.</w:t>
      </w:r>
    </w:p>
    <w:p>
      <w:pPr>
        <w:spacing w:after="0" w:line="177"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207"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The Company participates in common R&amp;D activities with Kioxia and is contractually committed to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level. R&amp;D commitments are immaterial to the Consolidated Financial Statements.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Off-Balance Sheet Liabilities</w:t>
      </w:r>
    </w:p>
    <w:p>
      <w:pPr>
        <w:spacing w:after="0" w:line="24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July 2,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Lease Amounts</w:t>
            </w:r>
          </w:p>
        </w:tc>
        <w:tc>
          <w:tcPr>
            <w:tcW w:w="1140" w:type="dxa"/>
            <w:vAlign w:val="bottom"/>
            <w:tcBorders>
              <w:bottom w:val="single" w:sz="8" w:color="auto"/>
            </w:tcBorders>
          </w:tcPr>
          <w:p>
            <w:pPr>
              <w:spacing w:after="0"/>
              <w:rPr>
                <w:sz w:val="16"/>
                <w:szCs w:val="16"/>
                <w:color w:val="auto"/>
              </w:rPr>
            </w:pPr>
          </w:p>
        </w:tc>
      </w:tr>
      <w:tr>
        <w:trPr>
          <w:trHeight w:val="131"/>
        </w:trPr>
        <w:tc>
          <w:tcPr>
            <w:tcW w:w="7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jc w:val="right"/>
              <w:ind w:right="327"/>
              <w:spacing w:after="0" w:line="131" w:lineRule="exact"/>
              <w:rPr>
                <w:sz w:val="20"/>
                <w:szCs w:val="20"/>
                <w:color w:val="auto"/>
              </w:rPr>
            </w:pPr>
            <w:r>
              <w:rPr>
                <w:rFonts w:ascii="Arial" w:cs="Arial" w:eastAsia="Arial" w:hAnsi="Arial"/>
                <w:sz w:val="14"/>
                <w:szCs w:val="14"/>
                <w:i w:val="1"/>
                <w:iCs w:val="1"/>
                <w:color w:val="auto"/>
                <w:w w:val="90"/>
              </w:rPr>
              <w:t>(Japanese yen, in</w:t>
            </w:r>
          </w:p>
        </w:tc>
        <w:tc>
          <w:tcPr>
            <w:tcW w:w="480" w:type="dxa"/>
            <w:vAlign w:val="bottom"/>
          </w:tcPr>
          <w:p>
            <w:pPr>
              <w:spacing w:after="0"/>
              <w:rPr>
                <w:sz w:val="11"/>
                <w:szCs w:val="11"/>
                <w:color w:val="auto"/>
              </w:rPr>
            </w:pPr>
          </w:p>
        </w:tc>
        <w:tc>
          <w:tcPr>
            <w:tcW w:w="1140" w:type="dxa"/>
            <w:vAlign w:val="bottom"/>
          </w:tcPr>
          <w:p>
            <w:pPr>
              <w:ind w:left="20"/>
              <w:spacing w:after="0" w:line="131" w:lineRule="exact"/>
              <w:rPr>
                <w:sz w:val="20"/>
                <w:szCs w:val="20"/>
                <w:color w:val="auto"/>
              </w:rPr>
            </w:pPr>
            <w:r>
              <w:rPr>
                <w:rFonts w:ascii="Arial" w:cs="Arial" w:eastAsia="Arial" w:hAnsi="Arial"/>
                <w:sz w:val="14"/>
                <w:szCs w:val="14"/>
                <w:i w:val="1"/>
                <w:iCs w:val="1"/>
                <w:color w:val="auto"/>
              </w:rPr>
              <w:t>(U.S. dollar, in</w:t>
            </w:r>
          </w:p>
        </w:tc>
      </w:tr>
      <w:tr>
        <w:trPr>
          <w:trHeight w:val="183"/>
        </w:trPr>
        <w:tc>
          <w:tcPr>
            <w:tcW w:w="7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jc w:val="right"/>
              <w:ind w:right="727"/>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5"/>
                <w:szCs w:val="15"/>
                <w:color w:val="auto"/>
              </w:rPr>
            </w:pPr>
          </w:p>
        </w:tc>
        <w:tc>
          <w:tcPr>
            <w:tcW w:w="1140" w:type="dxa"/>
            <w:vAlign w:val="bottom"/>
          </w:tcPr>
          <w:p>
            <w:pPr>
              <w:ind w:left="40"/>
              <w:spacing w:after="0"/>
              <w:rPr>
                <w:sz w:val="20"/>
                <w:szCs w:val="20"/>
                <w:color w:val="auto"/>
              </w:rPr>
            </w:pPr>
            <w:r>
              <w:rPr>
                <w:rFonts w:ascii="Arial" w:cs="Arial" w:eastAsia="Arial" w:hAnsi="Arial"/>
                <w:sz w:val="14"/>
                <w:szCs w:val="14"/>
                <w:i w:val="1"/>
                <w:iCs w:val="1"/>
                <w:color w:val="auto"/>
              </w:rPr>
              <w:t>millions)</w:t>
            </w:r>
          </w:p>
        </w:tc>
      </w:tr>
      <w:tr>
        <w:trPr>
          <w:trHeight w:val="215"/>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guarantee obligations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87"/>
              <w:spacing w:after="0"/>
              <w:rPr>
                <w:sz w:val="20"/>
                <w:szCs w:val="20"/>
                <w:color w:val="auto"/>
              </w:rPr>
            </w:pPr>
            <w:r>
              <w:rPr>
                <w:rFonts w:ascii="Arial" w:cs="Arial" w:eastAsia="Arial" w:hAnsi="Arial"/>
                <w:sz w:val="16"/>
                <w:szCs w:val="16"/>
                <w:color w:val="auto"/>
              </w:rPr>
              <w:t>220</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r>
    </w:tbl>
    <w:p>
      <w:pPr>
        <w:spacing w:after="0" w:line="319"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July 2, 2021 in U.S. dollars, based upon the Japanese yen to U.S. dollar exchange rate as of July 2, 2021:</w:t>
      </w:r>
    </w:p>
    <w:tbl>
      <w:tblPr>
        <w:tblLayout w:type="fixed"/>
        <w:tblInd w:w="0" w:type="dxa"/>
        <w:tblCellMar>
          <w:top w:w="0" w:type="dxa"/>
          <w:left w:w="0" w:type="dxa"/>
          <w:bottom w:w="0" w:type="dxa"/>
          <w:right w:w="0" w:type="dxa"/>
        </w:tblCellMar>
      </w:tblP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Payment of Principal</w:t>
            </w: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8" w:lineRule="exact"/>
              <w:rPr>
                <w:sz w:val="20"/>
                <w:szCs w:val="20"/>
                <w:color w:val="auto"/>
              </w:rPr>
            </w:pPr>
            <w:r>
              <w:rPr>
                <w:rFonts w:ascii="Arial" w:cs="Arial" w:eastAsia="Arial" w:hAnsi="Arial"/>
                <w:sz w:val="14"/>
                <w:szCs w:val="14"/>
                <w:color w:val="auto"/>
                <w:w w:val="90"/>
              </w:rPr>
              <w:t>Purchase Option</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color w:val="auto"/>
              </w:rPr>
              <w:t>Annual Installments</w:t>
            </w: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540" w:type="dxa"/>
            <w:vAlign w:val="bottom"/>
            <w:gridSpan w:val="3"/>
          </w:tcPr>
          <w:p>
            <w:pPr>
              <w:jc w:val="center"/>
              <w:ind w:right="120"/>
              <w:spacing w:after="0" w:line="133" w:lineRule="exact"/>
              <w:rPr>
                <w:sz w:val="20"/>
                <w:szCs w:val="20"/>
                <w:color w:val="auto"/>
              </w:rPr>
            </w:pPr>
            <w:r>
              <w:rPr>
                <w:rFonts w:ascii="Arial" w:cs="Arial" w:eastAsia="Arial" w:hAnsi="Arial"/>
                <w:sz w:val="14"/>
                <w:szCs w:val="14"/>
                <w:color w:val="auto"/>
                <w:w w:val="90"/>
              </w:rPr>
              <w:t>Exercise Price at Final</w:t>
            </w:r>
          </w:p>
        </w:tc>
        <w:tc>
          <w:tcPr>
            <w:tcW w:w="120" w:type="dxa"/>
            <w:vAlign w:val="bottom"/>
          </w:tcPr>
          <w:p>
            <w:pPr>
              <w:spacing w:after="0"/>
              <w:rPr>
                <w:sz w:val="11"/>
                <w:szCs w:val="11"/>
                <w:color w:val="auto"/>
              </w:rPr>
            </w:pPr>
          </w:p>
        </w:tc>
        <w:tc>
          <w:tcPr>
            <w:tcW w:w="1300" w:type="dxa"/>
            <w:vAlign w:val="bottom"/>
            <w:vMerge w:val="restart"/>
          </w:tcPr>
          <w:p>
            <w:pPr>
              <w:jc w:val="right"/>
              <w:ind w:right="102"/>
              <w:spacing w:after="0"/>
              <w:rPr>
                <w:sz w:val="20"/>
                <w:szCs w:val="20"/>
                <w:color w:val="auto"/>
              </w:rPr>
            </w:pPr>
            <w:r>
              <w:rPr>
                <w:rFonts w:ascii="Arial" w:cs="Arial" w:eastAsia="Arial" w:hAnsi="Arial"/>
                <w:sz w:val="14"/>
                <w:szCs w:val="14"/>
                <w:color w:val="auto"/>
                <w:w w:val="92"/>
              </w:rPr>
              <w:t>Guarantee Amount</w:t>
            </w:r>
          </w:p>
        </w:tc>
        <w:tc>
          <w:tcPr>
            <w:tcW w:w="0" w:type="dxa"/>
            <w:vAlign w:val="bottom"/>
          </w:tcPr>
          <w:p>
            <w:pPr>
              <w:spacing w:after="0"/>
              <w:rPr>
                <w:sz w:val="1"/>
                <w:szCs w:val="1"/>
                <w:color w:val="auto"/>
              </w:rPr>
            </w:pPr>
          </w:p>
        </w:tc>
      </w:tr>
      <w:tr>
        <w:trPr>
          <w:trHeight w:val="183"/>
        </w:trPr>
        <w:tc>
          <w:tcPr>
            <w:tcW w:w="6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Amortization</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Lease Terms</w:t>
            </w: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8"/>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Total guarantee obligations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260" w:firstLine="318"/>
        <w:spacing w:after="0" w:line="252"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July 2, 2021, no amounts have been accrued in the Consolidated Financial Statements with respect to these indemnification agreements.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Unis Venture</w:t>
      </w:r>
    </w:p>
    <w:p>
      <w:pPr>
        <w:spacing w:after="0" w:line="24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years ended July 2, 2021, July 3, 2020 and June 28, 2019, the Company recognized approximately 3%, 1%, and 1% of its consolidated revenue on products distributed by the Unis Venture, respectively. The outstanding accounts receivable due from and investment in the Unis Venture were 5% and 4% of Accounts receivable, net as of both July 2, 2021 and July 3,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366" w:right="37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Leases and Other Commitments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Leases</w:t>
      </w:r>
    </w:p>
    <w:p>
      <w:pPr>
        <w:spacing w:after="0" w:line="244"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 The following table summarizes supplemental balance sheet information related to operating leases as of July 2,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 Amounts</w:t>
            </w:r>
          </w:p>
        </w:tc>
        <w:tc>
          <w:tcPr>
            <w:tcW w:w="400" w:type="dxa"/>
            <w:vAlign w:val="bottom"/>
            <w:tcBorders>
              <w:bottom w:val="single" w:sz="8" w:color="auto"/>
            </w:tcBorders>
          </w:tcPr>
          <w:p>
            <w:pPr>
              <w:spacing w:after="0"/>
              <w:rPr>
                <w:sz w:val="16"/>
                <w:szCs w:val="16"/>
                <w:color w:val="auto"/>
              </w:rPr>
            </w:pPr>
          </w:p>
        </w:tc>
      </w:tr>
      <w:tr>
        <w:trPr>
          <w:trHeight w:val="196"/>
        </w:trPr>
        <w:tc>
          <w:tcPr>
            <w:tcW w:w="9060" w:type="dxa"/>
            <w:vAlign w:val="bottom"/>
          </w:tcPr>
          <w:p>
            <w:pPr>
              <w:ind w:left="340"/>
              <w:spacing w:after="0"/>
              <w:rPr>
                <w:sz w:val="20"/>
                <w:szCs w:val="20"/>
                <w:color w:val="auto"/>
              </w:rPr>
            </w:pPr>
            <w:r>
              <w:rPr>
                <w:rFonts w:ascii="Arial" w:cs="Arial" w:eastAsia="Arial" w:hAnsi="Arial"/>
                <w:sz w:val="16"/>
                <w:szCs w:val="16"/>
                <w:color w:val="auto"/>
              </w:rPr>
              <w:t>Minimum lease payments by fiscal year:</w:t>
            </w:r>
          </w:p>
        </w:tc>
        <w:tc>
          <w:tcPr>
            <w:tcW w:w="60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7"/>
                <w:szCs w:val="17"/>
                <w:color w:val="auto"/>
              </w:rPr>
            </w:pPr>
          </w:p>
        </w:tc>
      </w:tr>
      <w:tr>
        <w:trPr>
          <w:trHeight w:val="215"/>
        </w:trPr>
        <w:tc>
          <w:tcPr>
            <w:tcW w:w="9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2022</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w:t>
            </w:r>
          </w:p>
        </w:tc>
        <w:tc>
          <w:tcPr>
            <w:tcW w:w="400" w:type="dxa"/>
            <w:vAlign w:val="bottom"/>
            <w:shd w:val="clear" w:color="auto" w:fill="CCEEFF"/>
          </w:tcPr>
          <w:p>
            <w:pPr>
              <w:spacing w:after="0"/>
              <w:rPr>
                <w:sz w:val="18"/>
                <w:szCs w:val="18"/>
                <w:color w:val="auto"/>
              </w:rPr>
            </w:pPr>
          </w:p>
        </w:tc>
      </w:tr>
      <w:tr>
        <w:trPr>
          <w:trHeight w:val="209"/>
        </w:trPr>
        <w:tc>
          <w:tcPr>
            <w:tcW w:w="9060" w:type="dxa"/>
            <w:vAlign w:val="bottom"/>
          </w:tcPr>
          <w:p>
            <w:pPr>
              <w:ind w:left="460"/>
              <w:spacing w:after="0"/>
              <w:rPr>
                <w:sz w:val="20"/>
                <w:szCs w:val="20"/>
                <w:color w:val="auto"/>
              </w:rPr>
            </w:pPr>
            <w:r>
              <w:rPr>
                <w:rFonts w:ascii="Arial" w:cs="Arial" w:eastAsia="Arial" w:hAnsi="Arial"/>
                <w:sz w:val="16"/>
                <w:szCs w:val="16"/>
                <w:color w:val="auto"/>
              </w:rPr>
              <w:t>2023</w:t>
            </w:r>
          </w:p>
        </w:tc>
        <w:tc>
          <w:tcPr>
            <w:tcW w:w="60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400" w:type="dxa"/>
            <w:vAlign w:val="bottom"/>
          </w:tcPr>
          <w:p>
            <w:pPr>
              <w:spacing w:after="0"/>
              <w:rPr>
                <w:sz w:val="18"/>
                <w:szCs w:val="18"/>
                <w:color w:val="auto"/>
              </w:rPr>
            </w:pPr>
          </w:p>
        </w:tc>
      </w:tr>
      <w:tr>
        <w:trPr>
          <w:trHeight w:val="214"/>
        </w:trPr>
        <w:tc>
          <w:tcPr>
            <w:tcW w:w="9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2024</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400" w:type="dxa"/>
            <w:vAlign w:val="bottom"/>
            <w:shd w:val="clear" w:color="auto" w:fill="CCEEFF"/>
          </w:tcPr>
          <w:p>
            <w:pPr>
              <w:spacing w:after="0"/>
              <w:rPr>
                <w:sz w:val="18"/>
                <w:szCs w:val="18"/>
                <w:color w:val="auto"/>
              </w:rPr>
            </w:pPr>
          </w:p>
        </w:tc>
      </w:tr>
      <w:tr>
        <w:trPr>
          <w:trHeight w:val="210"/>
        </w:trPr>
        <w:tc>
          <w:tcPr>
            <w:tcW w:w="9060" w:type="dxa"/>
            <w:vAlign w:val="bottom"/>
          </w:tcPr>
          <w:p>
            <w:pPr>
              <w:ind w:left="460"/>
              <w:spacing w:after="0"/>
              <w:rPr>
                <w:sz w:val="20"/>
                <w:szCs w:val="20"/>
                <w:color w:val="auto"/>
              </w:rPr>
            </w:pPr>
            <w:r>
              <w:rPr>
                <w:rFonts w:ascii="Arial" w:cs="Arial" w:eastAsia="Arial" w:hAnsi="Arial"/>
                <w:sz w:val="16"/>
                <w:szCs w:val="16"/>
                <w:color w:val="auto"/>
              </w:rPr>
              <w:t>2025</w:t>
            </w:r>
          </w:p>
        </w:tc>
        <w:tc>
          <w:tcPr>
            <w:tcW w:w="60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31</w:t>
            </w:r>
          </w:p>
        </w:tc>
        <w:tc>
          <w:tcPr>
            <w:tcW w:w="400" w:type="dxa"/>
            <w:vAlign w:val="bottom"/>
          </w:tcPr>
          <w:p>
            <w:pPr>
              <w:spacing w:after="0"/>
              <w:rPr>
                <w:sz w:val="18"/>
                <w:szCs w:val="18"/>
                <w:color w:val="auto"/>
              </w:rPr>
            </w:pPr>
          </w:p>
        </w:tc>
      </w:tr>
      <w:tr>
        <w:trPr>
          <w:trHeight w:val="214"/>
        </w:trPr>
        <w:tc>
          <w:tcPr>
            <w:tcW w:w="9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2026</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w:t>
            </w:r>
          </w:p>
        </w:tc>
        <w:tc>
          <w:tcPr>
            <w:tcW w:w="400" w:type="dxa"/>
            <w:vAlign w:val="bottom"/>
            <w:shd w:val="clear" w:color="auto" w:fill="CCEEFF"/>
          </w:tcPr>
          <w:p>
            <w:pPr>
              <w:spacing w:after="0"/>
              <w:rPr>
                <w:sz w:val="18"/>
                <w:szCs w:val="18"/>
                <w:color w:val="auto"/>
              </w:rPr>
            </w:pPr>
          </w:p>
        </w:tc>
      </w:tr>
      <w:tr>
        <w:trPr>
          <w:trHeight w:val="209"/>
        </w:trPr>
        <w:tc>
          <w:tcPr>
            <w:tcW w:w="9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116</w:t>
            </w:r>
          </w:p>
        </w:tc>
        <w:tc>
          <w:tcPr>
            <w:tcW w:w="400" w:type="dxa"/>
            <w:vAlign w:val="bottom"/>
            <w:tcBorders>
              <w:bottom w:val="single" w:sz="8" w:color="auto"/>
            </w:tcBorders>
          </w:tcPr>
          <w:p>
            <w:pPr>
              <w:spacing w:after="0"/>
              <w:rPr>
                <w:sz w:val="18"/>
                <w:szCs w:val="18"/>
                <w:color w:val="auto"/>
              </w:rPr>
            </w:pPr>
          </w:p>
        </w:tc>
      </w:tr>
      <w:tr>
        <w:trPr>
          <w:trHeight w:val="208"/>
        </w:trPr>
        <w:tc>
          <w:tcPr>
            <w:tcW w:w="9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future minimum lease payments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284</w:t>
            </w:r>
          </w:p>
        </w:tc>
        <w:tc>
          <w:tcPr>
            <w:tcW w:w="400" w:type="dxa"/>
            <w:vAlign w:val="bottom"/>
            <w:shd w:val="clear" w:color="auto" w:fill="CCEEFF"/>
          </w:tcPr>
          <w:p>
            <w:pPr>
              <w:spacing w:after="0"/>
              <w:rPr>
                <w:sz w:val="18"/>
                <w:szCs w:val="18"/>
                <w:color w:val="auto"/>
              </w:rPr>
            </w:pPr>
          </w:p>
        </w:tc>
      </w:tr>
      <w:tr>
        <w:trPr>
          <w:trHeight w:val="210"/>
        </w:trPr>
        <w:tc>
          <w:tcPr>
            <w:tcW w:w="9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Imputed Interest</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w:t>
            </w:r>
          </w:p>
        </w:tc>
        <w:tc>
          <w:tcPr>
            <w:tcW w:w="400" w:type="dxa"/>
            <w:vAlign w:val="bottom"/>
            <w:tcBorders>
              <w:bottom w:val="single" w:sz="8" w:color="auto"/>
            </w:tcBorders>
          </w:tcPr>
          <w:p>
            <w:pPr>
              <w:spacing w:after="0"/>
              <w:rPr>
                <w:sz w:val="18"/>
                <w:szCs w:val="18"/>
                <w:color w:val="auto"/>
              </w:rPr>
            </w:pPr>
          </w:p>
        </w:tc>
      </w:tr>
      <w:tr>
        <w:trPr>
          <w:trHeight w:val="208"/>
        </w:trPr>
        <w:tc>
          <w:tcPr>
            <w:tcW w:w="9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Present value of lease liabilities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237</w:t>
            </w:r>
          </w:p>
        </w:tc>
        <w:tc>
          <w:tcPr>
            <w:tcW w:w="400" w:type="dxa"/>
            <w:vAlign w:val="bottom"/>
            <w:shd w:val="clear" w:color="auto" w:fill="CCEEFF"/>
          </w:tcPr>
          <w:p>
            <w:pPr>
              <w:spacing w:after="0"/>
              <w:rPr>
                <w:sz w:val="18"/>
                <w:szCs w:val="18"/>
                <w:color w:val="auto"/>
              </w:rPr>
            </w:pPr>
          </w:p>
        </w:tc>
      </w:tr>
      <w:tr>
        <w:trPr>
          <w:trHeight w:val="210"/>
        </w:trPr>
        <w:tc>
          <w:tcPr>
            <w:tcW w:w="9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Current portion (included in Accrued expenses)</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33</w:t>
            </w:r>
          </w:p>
        </w:tc>
        <w:tc>
          <w:tcPr>
            <w:tcW w:w="400" w:type="dxa"/>
            <w:vAlign w:val="bottom"/>
            <w:tcBorders>
              <w:bottom w:val="single" w:sz="8" w:color="auto"/>
            </w:tcBorders>
          </w:tcPr>
          <w:p>
            <w:pPr>
              <w:spacing w:after="0"/>
              <w:rPr>
                <w:sz w:val="18"/>
                <w:szCs w:val="18"/>
                <w:color w:val="auto"/>
              </w:rPr>
            </w:pPr>
          </w:p>
        </w:tc>
      </w:tr>
      <w:tr>
        <w:trPr>
          <w:trHeight w:val="233"/>
        </w:trPr>
        <w:tc>
          <w:tcPr>
            <w:tcW w:w="9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Long-term operating lease liabilities (included in Other liabilities )</w:t>
            </w: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204</w:t>
            </w:r>
          </w:p>
        </w:tc>
        <w:tc>
          <w:tcPr>
            <w:tcW w:w="400" w:type="dxa"/>
            <w:vAlign w:val="bottom"/>
            <w:tcBorders>
              <w:bottom w:val="single" w:sz="8" w:color="auto"/>
            </w:tcBorders>
            <w:shd w:val="clear" w:color="auto" w:fill="CCEEFF"/>
          </w:tcPr>
          <w:p>
            <w:pPr>
              <w:spacing w:after="0"/>
              <w:rPr>
                <w:sz w:val="19"/>
                <w:szCs w:val="19"/>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2"/>
        </w:trPr>
        <w:tc>
          <w:tcPr>
            <w:tcW w:w="9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222</w:t>
            </w:r>
          </w:p>
        </w:tc>
        <w:tc>
          <w:tcPr>
            <w:tcW w:w="400" w:type="dxa"/>
            <w:vAlign w:val="bottom"/>
            <w:shd w:val="clear" w:color="auto" w:fill="CCEEFF"/>
          </w:tcPr>
          <w:p>
            <w:pPr>
              <w:spacing w:after="0"/>
              <w:rPr>
                <w:sz w:val="18"/>
                <w:szCs w:val="18"/>
                <w:color w:val="auto"/>
              </w:rPr>
            </w:pPr>
          </w:p>
        </w:tc>
      </w:tr>
      <w:tr>
        <w:trPr>
          <w:trHeight w:val="252"/>
        </w:trPr>
        <w:tc>
          <w:tcPr>
            <w:tcW w:w="9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2"/>
        </w:trPr>
        <w:tc>
          <w:tcPr>
            <w:tcW w:w="9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remaining lease term in years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w:t>
            </w:r>
          </w:p>
        </w:tc>
      </w:tr>
      <w:tr>
        <w:trPr>
          <w:trHeight w:val="207"/>
        </w:trPr>
        <w:tc>
          <w:tcPr>
            <w:tcW w:w="9060" w:type="dxa"/>
            <w:vAlign w:val="bottom"/>
          </w:tcPr>
          <w:p>
            <w:pPr>
              <w:ind w:left="340"/>
              <w:spacing w:after="0"/>
              <w:rPr>
                <w:sz w:val="20"/>
                <w:szCs w:val="20"/>
                <w:color w:val="auto"/>
              </w:rPr>
            </w:pPr>
            <w:r>
              <w:rPr>
                <w:rFonts w:ascii="Arial" w:cs="Arial" w:eastAsia="Arial" w:hAnsi="Arial"/>
                <w:sz w:val="16"/>
                <w:szCs w:val="16"/>
                <w:color w:val="auto"/>
              </w:rPr>
              <w:t>Weighted average discount rate</w:t>
            </w:r>
          </w:p>
        </w:tc>
        <w:tc>
          <w:tcPr>
            <w:tcW w:w="60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supplemental disclosures of operating cost and cash flow information related to operating leases for the year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July 2,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0"/>
              </w:rPr>
              <w:t>Year Ended</w:t>
            </w:r>
          </w:p>
        </w:tc>
      </w:tr>
      <w:tr>
        <w:trPr>
          <w:trHeight w:val="131"/>
        </w:trPr>
        <w:tc>
          <w:tcPr>
            <w:tcW w:w="9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jc w:val="center"/>
              <w:ind w:right="126"/>
              <w:spacing w:after="0" w:line="131" w:lineRule="exact"/>
              <w:rPr>
                <w:sz w:val="20"/>
                <w:szCs w:val="20"/>
                <w:color w:val="auto"/>
              </w:rPr>
            </w:pPr>
            <w:r>
              <w:rPr>
                <w:rFonts w:ascii="Arial" w:cs="Arial" w:eastAsia="Arial" w:hAnsi="Arial"/>
                <w:sz w:val="14"/>
                <w:szCs w:val="14"/>
                <w:b w:val="1"/>
                <w:bCs w:val="1"/>
                <w:color w:val="auto"/>
                <w:w w:val="91"/>
              </w:rPr>
              <w:t>July 2,</w:t>
            </w:r>
          </w:p>
        </w:tc>
      </w:tr>
      <w:tr>
        <w:trPr>
          <w:trHeight w:val="185"/>
        </w:trPr>
        <w:tc>
          <w:tcPr>
            <w:tcW w:w="95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2021</w:t>
            </w:r>
          </w:p>
        </w:tc>
      </w:tr>
      <w:tr>
        <w:trPr>
          <w:trHeight w:val="177"/>
        </w:trPr>
        <w:tc>
          <w:tcPr>
            <w:tcW w:w="9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center"/>
              <w:ind w:right="146"/>
              <w:spacing w:after="0"/>
              <w:rPr>
                <w:sz w:val="20"/>
                <w:szCs w:val="20"/>
                <w:color w:val="auto"/>
              </w:rPr>
            </w:pPr>
            <w:r>
              <w:rPr>
                <w:rFonts w:ascii="Arial" w:cs="Arial" w:eastAsia="Arial" w:hAnsi="Arial"/>
                <w:sz w:val="14"/>
                <w:szCs w:val="14"/>
                <w:i w:val="1"/>
                <w:iCs w:val="1"/>
                <w:color w:val="auto"/>
                <w:w w:val="98"/>
              </w:rPr>
              <w:t>(in millions)</w:t>
            </w:r>
          </w:p>
        </w:tc>
      </w:tr>
      <w:tr>
        <w:trPr>
          <w:trHeight w:val="215"/>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operating leases</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9500" w:type="dxa"/>
            <w:vAlign w:val="bottom"/>
          </w:tcPr>
          <w:p>
            <w:pPr>
              <w:ind w:left="340"/>
              <w:spacing w:after="0"/>
              <w:rPr>
                <w:sz w:val="20"/>
                <w:szCs w:val="20"/>
                <w:color w:val="auto"/>
              </w:rPr>
            </w:pPr>
            <w:r>
              <w:rPr>
                <w:rFonts w:ascii="Arial" w:cs="Arial" w:eastAsia="Arial" w:hAnsi="Arial"/>
                <w:sz w:val="16"/>
                <w:szCs w:val="16"/>
                <w:color w:val="auto"/>
              </w:rPr>
              <w:t>Cash paid for operating leases</w:t>
            </w: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Cost of operating leases was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2019</w:t>
            </w:r>
          </w:p>
        </w:tc>
      </w:tr>
      <w:tr>
        <w:trPr>
          <w:trHeight w:val="181"/>
        </w:trPr>
        <w:tc>
          <w:tcPr>
            <w:tcW w:w="6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center"/>
              <w:ind w:right="306"/>
              <w:spacing w:after="0"/>
              <w:rPr>
                <w:sz w:val="20"/>
                <w:szCs w:val="20"/>
                <w:color w:val="auto"/>
              </w:rPr>
            </w:pPr>
            <w:r>
              <w:rPr>
                <w:rFonts w:ascii="Arial" w:cs="Arial" w:eastAsia="Arial" w:hAnsi="Arial"/>
                <w:sz w:val="14"/>
                <w:szCs w:val="14"/>
                <w:i w:val="1"/>
                <w:iCs w:val="1"/>
                <w:color w:val="auto"/>
                <w:w w:val="98"/>
              </w:rPr>
              <w:t>(in millions)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operating leases</w:t>
            </w:r>
          </w:p>
        </w:tc>
        <w:tc>
          <w:tcPr>
            <w:tcW w:w="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50</w:t>
            </w:r>
          </w:p>
        </w:tc>
        <w:tc>
          <w:tcPr>
            <w:tcW w:w="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6"/>
              <w:spacing w:after="0"/>
              <w:rPr>
                <w:sz w:val="20"/>
                <w:szCs w:val="20"/>
                <w:color w:val="auto"/>
              </w:rPr>
            </w:pPr>
            <w:r>
              <w:rPr>
                <w:rFonts w:ascii="Arial" w:cs="Arial" w:eastAsia="Arial" w:hAnsi="Arial"/>
                <w:sz w:val="16"/>
                <w:szCs w:val="16"/>
                <w:color w:val="auto"/>
              </w:rPr>
              <w:t>55</w:t>
            </w:r>
          </w:p>
        </w:tc>
        <w:tc>
          <w:tcPr>
            <w:tcW w:w="5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4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July 2, 2021, the Company had the following minimum long-term commitments:</w:t>
      </w:r>
    </w:p>
    <w:tbl>
      <w:tblPr>
        <w:tblLayout w:type="fixed"/>
        <w:tblInd w:w="0" w:type="dxa"/>
        <w:tblCellMar>
          <w:top w:w="0" w:type="dxa"/>
          <w:left w:w="0" w:type="dxa"/>
          <w:bottom w:w="0" w:type="dxa"/>
          <w:right w:w="0" w:type="dxa"/>
        </w:tblCellMar>
      </w:tblPr>
      <w:tr>
        <w:trPr>
          <w:trHeight w:val="143"/>
        </w:trPr>
        <w:tc>
          <w:tcPr>
            <w:tcW w:w="9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jc w:val="right"/>
              <w:ind w:right="303"/>
              <w:spacing w:after="0" w:line="143" w:lineRule="exact"/>
              <w:rPr>
                <w:sz w:val="20"/>
                <w:szCs w:val="20"/>
                <w:color w:val="auto"/>
              </w:rPr>
            </w:pPr>
            <w:r>
              <w:rPr>
                <w:rFonts w:ascii="Arial" w:cs="Arial" w:eastAsia="Arial" w:hAnsi="Arial"/>
                <w:sz w:val="14"/>
                <w:szCs w:val="14"/>
                <w:b w:val="1"/>
                <w:bCs w:val="1"/>
                <w:color w:val="auto"/>
              </w:rPr>
              <w:t>Long-term</w:t>
            </w:r>
          </w:p>
        </w:tc>
      </w:tr>
      <w:tr>
        <w:trPr>
          <w:trHeight w:val="185"/>
        </w:trPr>
        <w:tc>
          <w:tcPr>
            <w:tcW w:w="94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87"/>
              </w:rPr>
              <w:t>commitments</w:t>
            </w:r>
          </w:p>
        </w:tc>
      </w:tr>
      <w:tr>
        <w:trPr>
          <w:trHeight w:val="177"/>
        </w:trPr>
        <w:tc>
          <w:tcPr>
            <w:tcW w:w="9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Arial" w:cs="Arial" w:eastAsia="Arial" w:hAnsi="Arial"/>
                <w:sz w:val="14"/>
                <w:szCs w:val="14"/>
                <w:i w:val="1"/>
                <w:iCs w:val="1"/>
                <w:color w:val="auto"/>
              </w:rPr>
              <w:t>(in millions)</w:t>
            </w:r>
          </w:p>
        </w:tc>
      </w:tr>
      <w:tr>
        <w:trPr>
          <w:trHeight w:val="215"/>
        </w:trPr>
        <w:tc>
          <w:tcPr>
            <w:tcW w:w="9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Fiscal year:</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9460" w:type="dxa"/>
            <w:vAlign w:val="bottom"/>
          </w:tcPr>
          <w:p>
            <w:pPr>
              <w:ind w:left="460"/>
              <w:spacing w:after="0"/>
              <w:rPr>
                <w:sz w:val="20"/>
                <w:szCs w:val="20"/>
                <w:color w:val="auto"/>
              </w:rPr>
            </w:pPr>
            <w:r>
              <w:rPr>
                <w:rFonts w:ascii="Arial" w:cs="Arial" w:eastAsia="Arial" w:hAnsi="Arial"/>
                <w:sz w:val="16"/>
                <w:szCs w:val="16"/>
                <w:color w:val="auto"/>
              </w:rPr>
              <w:t>2022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14"/>
        </w:trPr>
        <w:tc>
          <w:tcPr>
            <w:tcW w:w="9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10"/>
        </w:trPr>
        <w:tc>
          <w:tcPr>
            <w:tcW w:w="9460" w:type="dxa"/>
            <w:vAlign w:val="bottom"/>
          </w:tcPr>
          <w:p>
            <w:pPr>
              <w:ind w:left="460"/>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4"/>
        </w:trPr>
        <w:tc>
          <w:tcPr>
            <w:tcW w:w="9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9"/>
        </w:trPr>
        <w:tc>
          <w:tcPr>
            <w:tcW w:w="9460" w:type="dxa"/>
            <w:vAlign w:val="bottom"/>
          </w:tcPr>
          <w:p>
            <w:pPr>
              <w:ind w:left="460"/>
              <w:spacing w:after="0"/>
              <w:rPr>
                <w:sz w:val="20"/>
                <w:szCs w:val="20"/>
                <w:color w:val="auto"/>
              </w:rPr>
            </w:pPr>
            <w:r>
              <w:rPr>
                <w:rFonts w:ascii="Arial" w:cs="Arial" w:eastAsia="Arial" w:hAnsi="Arial"/>
                <w:sz w:val="16"/>
                <w:szCs w:val="16"/>
                <w:color w:val="auto"/>
              </w:rPr>
              <w:t>2026</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2"/>
        </w:trPr>
        <w:tc>
          <w:tcPr>
            <w:tcW w:w="9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8"/>
        </w:trPr>
        <w:tc>
          <w:tcPr>
            <w:tcW w:w="9460" w:type="dxa"/>
            <w:vAlign w:val="bottom"/>
          </w:tcPr>
          <w:p>
            <w:pPr>
              <w:ind w:left="5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w:t>
            </w:r>
          </w:p>
        </w:tc>
      </w:tr>
      <w:tr>
        <w:trPr>
          <w:trHeight w:val="20"/>
        </w:trPr>
        <w:tc>
          <w:tcPr>
            <w:tcW w:w="9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Sale-Leaseback</w:t>
      </w:r>
    </w:p>
    <w:p>
      <w:pPr>
        <w:spacing w:after="0" w:line="244"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In April 2019, the Company completed a sale and leaseback of its manufacturing facility in Fremont, California. The Company received proceeds from the sale of $115 million and recognized a loss of $25 million. The property is being leased back over a term of 15 years at an annual lease rate of $7 million for the first year and increasing by 3% per year thereafter. The lease includes four 5-year renewal options for the ability to extend up to an additional 20 years.</w:t>
      </w:r>
    </w:p>
    <w:p>
      <w:pPr>
        <w:sectPr>
          <w:pgSz w:w="11900" w:h="16838" w:orient="portrait"/>
          <w:cols w:equalWidth="0" w:num="1">
            <w:col w:w="11180"/>
          </w:cols>
          <w:pgMar w:left="320" w:top="36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66" w:right="3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Business Segment, Geographic Information, and Concentration of Risk</w:t>
      </w:r>
    </w:p>
    <w:p>
      <w:pPr>
        <w:spacing w:after="0" w:line="25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manufactures, markets, and sells data storage devices and solutions in the U.S. and in foreign countries through its sales personnel, dealers, distributors, retailers, and subsidiaries. Historically, the Company has managed and reported under a single operating segment. Late in the first quarter of fiscal 2021, the Chief Executive Officer, who is the Company’s Chief Operating Decision Maker, announced a decision to reorganize the Company’s business by forming two separate product business units: flash-based products and hard disk drives. To align the new operating model and business structure, the Company is making management organizational changes and implementing new reporting modules and processes to provide discrete information to manage the business. Management expects to finalize its assessment of its operating segments when the implementations and transitions are completed, which is expected to be in the first quarter of fiscal 2022.</w:t>
      </w:r>
    </w:p>
    <w:p>
      <w:pPr>
        <w:spacing w:after="0" w:line="212"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Company’s operations outside the United States include manufacturing facilities in China, Japan, Malaysia, the Philippines and Thailand, as well as sales offices throughout the Americas, Asia Pacific, Europe and the Middle East. The following tables summarize the Company’s operations by geographic area: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81"/>
        </w:trPr>
        <w:tc>
          <w:tcPr>
            <w:tcW w:w="6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5"/>
        </w:trPr>
        <w:tc>
          <w:tcPr>
            <w:tcW w:w="6740" w:type="dxa"/>
            <w:vAlign w:val="bottom"/>
            <w:shd w:val="clear" w:color="auto" w:fill="CCEEFF"/>
          </w:tcPr>
          <w:p>
            <w:pPr>
              <w:ind w:left="40"/>
              <w:spacing w:after="0" w:line="215" w:lineRule="exact"/>
              <w:rPr>
                <w:sz w:val="20"/>
                <w:szCs w:val="20"/>
                <w:color w:val="auto"/>
              </w:rPr>
            </w:pPr>
            <w:r>
              <w:rPr>
                <w:rFonts w:ascii="Arial" w:cs="Arial" w:eastAsia="Arial" w:hAnsi="Arial"/>
                <w:sz w:val="16"/>
                <w:szCs w:val="16"/>
                <w:color w:val="auto"/>
              </w:rPr>
              <w:t xml:space="preserve">Net revenue </w:t>
            </w:r>
            <w:r>
              <w:rPr>
                <w:rFonts w:ascii="Arial" w:cs="Arial" w:eastAsia="Arial" w:hAnsi="Arial"/>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74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880" w:type="dxa"/>
            <w:vAlign w:val="bottom"/>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3,789</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4,679</w:t>
            </w:r>
          </w:p>
        </w:tc>
        <w:tc>
          <w:tcPr>
            <w:tcW w:w="1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3,602</w:t>
            </w:r>
          </w:p>
        </w:tc>
      </w:tr>
      <w:tr>
        <w:trPr>
          <w:trHeight w:val="214"/>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China</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w:t>
            </w: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color w:val="auto"/>
              </w:rPr>
              <w:t>Hong Kong</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3,122</w:t>
            </w:r>
          </w:p>
        </w:tc>
      </w:tr>
      <w:tr>
        <w:trPr>
          <w:trHeight w:val="214"/>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 of Asia</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w:t>
            </w: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3,109</w:t>
            </w:r>
          </w:p>
        </w:tc>
      </w:tr>
      <w:tr>
        <w:trPr>
          <w:trHeight w:val="212"/>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r>
      <w:tr>
        <w:trPr>
          <w:trHeight w:val="208"/>
        </w:trPr>
        <w:tc>
          <w:tcPr>
            <w:tcW w:w="6740" w:type="dxa"/>
            <w:vAlign w:val="bottom"/>
          </w:tcPr>
          <w:p>
            <w:pPr>
              <w:ind w:left="2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16,922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16,569</w:t>
            </w: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413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272" w:lineRule="exact"/>
        <w:rPr>
          <w:sz w:val="20"/>
          <w:szCs w:val="20"/>
          <w:color w:val="auto"/>
        </w:rPr>
      </w:pPr>
    </w:p>
    <w:p>
      <w:pPr>
        <w:ind w:left="320" w:right="180" w:hanging="314"/>
        <w:spacing w:after="0" w:line="221" w:lineRule="auto"/>
        <w:tabs>
          <w:tab w:leader="none" w:pos="25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Net revenue is attributed to geographic regions based on the ship-to location of the customer. License and royalty revenue is attributed to countries based upon the location of the headquarters of the licensee.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1"/>
        </w:trPr>
        <w:tc>
          <w:tcPr>
            <w:tcW w:w="8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gridSpan w:val="3"/>
          </w:tcPr>
          <w:p>
            <w:pPr>
              <w:jc w:val="right"/>
              <w:ind w:right="52"/>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Pr>
          <w:p>
            <w:pPr>
              <w:spacing w:after="0"/>
              <w:rPr>
                <w:sz w:val="15"/>
                <w:szCs w:val="15"/>
                <w:color w:val="auto"/>
              </w:rPr>
            </w:pPr>
          </w:p>
        </w:tc>
      </w:tr>
      <w:tr>
        <w:trPr>
          <w:trHeight w:val="215"/>
        </w:trPr>
        <w:tc>
          <w:tcPr>
            <w:tcW w:w="8280" w:type="dxa"/>
            <w:vAlign w:val="bottom"/>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Long-lived assets </w:t>
            </w:r>
            <w:r>
              <w:rPr>
                <w:rFonts w:ascii="Arial" w:cs="Arial" w:eastAsia="Arial" w:hAnsi="Arial"/>
                <w:sz w:val="20"/>
                <w:szCs w:val="20"/>
                <w:color w:val="auto"/>
                <w:vertAlign w:val="superscript"/>
              </w:rPr>
              <w:t>(1)</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900" w:type="dxa"/>
            <w:vAlign w:val="bottom"/>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2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Malaysia</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China</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Thailand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Rest of Asia</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Europe, Middle East and Africa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9"/>
        </w:trPr>
        <w:tc>
          <w:tcPr>
            <w:tcW w:w="8280" w:type="dxa"/>
            <w:vAlign w:val="bottom"/>
          </w:tcPr>
          <w:p>
            <w:pPr>
              <w:ind w:left="2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3,188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r>
      <w:tr>
        <w:trPr>
          <w:trHeight w:val="20"/>
        </w:trPr>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227330</wp:posOffset>
            </wp:positionV>
            <wp:extent cx="1413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Long-lived assets include property, plant and equipment and are attributed to the geographic location in which they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Concentration and Credit Risk</w:t>
      </w:r>
    </w:p>
    <w:p>
      <w:pPr>
        <w:spacing w:after="0" w:line="244"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The Company sells its products to computer manufacturers, cloud service providers, resellers and retailers throughout the world. For each of 2021, 2020 and 2019, no customer accounted for 10% or more of the Company’s net revenue. For 2021, 2020 and 2019, the Company’s top 10 customers accounted for 39%, 42%, and 45%, respectively, of the Company’s net revenue.</w:t>
      </w:r>
    </w:p>
    <w:p>
      <w:pPr>
        <w:spacing w:after="0" w:line="215"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July 2, 2021 and July 3, 2020, the Company had net accounts receivable of $2.3 billion and $2.4 billion, respectively, and one customer, Kingston Technology Company, accounted for 12% and 10%, respectively, of the Company’s net accounts receivable. Reserves for potential credit losses were not material as of each period end.</w:t>
      </w:r>
    </w:p>
    <w:p>
      <w:pPr>
        <w:spacing w:after="0" w:line="177" w:lineRule="exact"/>
        <w:rPr>
          <w:sz w:val="20"/>
          <w:szCs w:val="20"/>
          <w:color w:val="auto"/>
        </w:rPr>
      </w:pPr>
    </w:p>
    <w:p>
      <w:pPr>
        <w:ind w:right="400" w:firstLine="318"/>
        <w:spacing w:after="0" w:line="365" w:lineRule="auto"/>
        <w:rPr>
          <w:sz w:val="20"/>
          <w:szCs w:val="20"/>
          <w:color w:val="auto"/>
        </w:rPr>
      </w:pPr>
      <w:r>
        <w:rPr>
          <w:rFonts w:ascii="Arial" w:cs="Arial" w:eastAsia="Arial" w:hAnsi="Arial"/>
          <w:sz w:val="15"/>
          <w:szCs w:val="15"/>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Supplier Concentration</w:t>
      </w:r>
    </w:p>
    <w:p>
      <w:pPr>
        <w:spacing w:after="0" w:line="244"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All of the Company’s flash memory system products require silicon wafers for the memory and controller components. The Company’s flash memory wafers are currently supplied almost entirely from Flash Ventures and the controller wafers are all manufactured by third-party sources. The failure of any of these sources to deliver silicon wafers could have a material adverse effect on the Company’s business, financial condition and results of operations.</w:t>
      </w:r>
    </w:p>
    <w:p>
      <w:pPr>
        <w:spacing w:after="0" w:line="163"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pacing w:after="0" w:line="1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Western Digital Corporation 401(k) Plan</w:t>
      </w:r>
    </w:p>
    <w:p>
      <w:pPr>
        <w:spacing w:after="0" w:line="25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Company maintains the Western Digital Corporation 401(k) Plan (the “Plan”). The Plan covers substantially all domestic employees, subject to certain eligibility requirements. Eligible employees receive employer matching contributions immediately upon hire unless the individual is covered by a collective bargaining agreement, provides services as a consultant, intern, independent contractor, leased or temporary employee, or otherwise is not treated as a common-law employee.</w:t>
      </w:r>
    </w:p>
    <w:p>
      <w:pPr>
        <w:spacing w:after="0" w:line="217"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Eligible employees are generally able to contribute up to 75% of their eligible compensation on a combined pre-tax and Roth basis, 10% on a combined pre-tax catch-up and Roth catch-up basis, and 10% on a non-Roth after-tax basis subject to Internal Revenue Service (“IRS”) limitations. The Company makes a basic matching contribution equal to 50% of each eligible participant’s contribution that does not exceed 6% of the eligible participant’s annual compensation in the year of contribution. The Company’s employer matching contributions vest over a two-year graded period. The Company may suspend matching contributions at any time at its discretion. Contributions, including the Company’s matching contribution to the Plan, are recorded as soon as administratively possible after the Company makes payroll deductions from Plan participants.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2021, 2020 and 2019, the Company made Plan contributions of $34 million, $33 million and $34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Shareholders’ Equity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2017 Performance Incentive Plan</w:t>
      </w:r>
    </w:p>
    <w:p>
      <w:pPr>
        <w:spacing w:after="0" w:line="24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types of awards that may be granted under the Western Digital Corporation Amended and Restated 2017 Performance Incentive Plan (as amended, the “2017 Performance Incentive Plan”) include stock options, stock appreciation rights (“SARs”), RSUs, PSUs, stock bonuses and other forms of awards granted or denominated in the Company’s common stock or units of the Company’s common stock, as well as cash bonus awards. Persons eligible to receive awards under the 2017 Performance Incentive Plan include officers and employees of the Company or any of its subsidiaries, directors of the Company and certain consultants and advisors to the Company or any of its subsidiaries. The vesting of awards under the 2017 Performance Incentive Plan is determined at the date of grant. Each award expires on a date determined at the date of grant; however, the maximum term of options and SARs under the 2017 Performance Incentive Plan is ten years after the grant date of the award. RSUs granted under the 2017 Performance Incentive Plan typically vest over periods ranging from one to four years from the date of grant. PSUs are granted to certain employees and vest only after the achievement of pre-determined performance conditions or market conditions and completion of requisite service periods. Once the performance conditions or market conditions are met, vesting of PSUs is generally subject to continued service by the employee. To the extent available, the Company issues shares out of treasury stock upon the vesting of awards, the exercise of employee stock options and the purchase of shares pursuant to the ESPP.</w:t>
      </w:r>
    </w:p>
    <w:p>
      <w:pPr>
        <w:spacing w:after="0" w:line="400"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spacing w:after="0" w:line="163"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As of July 2, 2021, the maximum number of shares of the Company’s common stock that was authorized for award grants under the 2017 Performance Incentive Plan was 105.6 million shares. Shares issued in respect of stock options and SARs granted under the 2017 Performance Incentive Plan count against the plan’s share limit on a one-for-one basis, whereas currently, shares issued in respect of any other type of award granted count against the plan’s share limit as 1.72 shares for every one share issued in connection with such award. The 2017 Performance Incentive Plan will terminate on August 4, 2025 unless terminated earlier by the Company’s Board of Directors.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Employee Stock Purchase Plan</w:t>
      </w:r>
    </w:p>
    <w:p>
      <w:pPr>
        <w:spacing w:after="0" w:line="24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either at the beginning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212"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During 2021, 2020 and 2019, the Company issued 3.2 million, 3.0 million, and 2.6 million shares, respectively, for aggregate purchase amounts of $115 million, $107 million and $102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Stock-based Compensation Expense</w:t>
      </w:r>
    </w:p>
    <w:p>
      <w:pPr>
        <w:spacing w:after="0" w:line="244" w:lineRule="exact"/>
        <w:rPr>
          <w:sz w:val="20"/>
          <w:szCs w:val="20"/>
          <w:color w:val="auto"/>
        </w:rPr>
      </w:pPr>
    </w:p>
    <w:p>
      <w:pPr>
        <w:ind w:right="20" w:firstLine="318"/>
        <w:spacing w:after="0" w:line="262"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Consolidated Statements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r>
      <w:tr>
        <w:trPr>
          <w:trHeight w:val="181"/>
        </w:trPr>
        <w:tc>
          <w:tcPr>
            <w:tcW w:w="6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5"/>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w:t>
            </w:r>
          </w:p>
        </w:tc>
        <w:tc>
          <w:tcPr>
            <w:tcW w:w="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6020" w:type="dxa"/>
            <w:vAlign w:val="bottom"/>
          </w:tcPr>
          <w:p>
            <w:pPr>
              <w:ind w:left="340"/>
              <w:spacing w:after="0"/>
              <w:rPr>
                <w:sz w:val="20"/>
                <w:szCs w:val="20"/>
                <w:color w:val="auto"/>
              </w:rPr>
            </w:pPr>
            <w:r>
              <w:rPr>
                <w:rFonts w:ascii="Arial" w:cs="Arial" w:eastAsia="Arial" w:hAnsi="Arial"/>
                <w:sz w:val="16"/>
                <w:szCs w:val="16"/>
                <w:color w:val="auto"/>
              </w:rPr>
              <w:t>RSUs and PSUs</w:t>
            </w:r>
          </w:p>
        </w:tc>
        <w:tc>
          <w:tcPr>
            <w:tcW w:w="72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2"/>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ESPP</w:t>
            </w:r>
          </w:p>
        </w:tc>
        <w:tc>
          <w:tcPr>
            <w:tcW w:w="7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6020" w:type="dxa"/>
            <w:vAlign w:val="bottom"/>
          </w:tcPr>
          <w:p>
            <w:pPr>
              <w:ind w:left="46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20"/>
        </w:trPr>
        <w:tc>
          <w:tcPr>
            <w:tcW w:w="6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6"/>
        </w:trPr>
        <w:tc>
          <w:tcPr>
            <w:tcW w:w="6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81"/>
        </w:trPr>
        <w:tc>
          <w:tcPr>
            <w:tcW w:w="6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4"/>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7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3"/>
        </w:trPr>
        <w:tc>
          <w:tcPr>
            <w:tcW w:w="6020" w:type="dxa"/>
            <w:vAlign w:val="bottom"/>
          </w:tcPr>
          <w:p>
            <w:pPr>
              <w:ind w:left="140"/>
              <w:spacing w:after="0"/>
              <w:rPr>
                <w:sz w:val="20"/>
                <w:szCs w:val="20"/>
                <w:color w:val="auto"/>
              </w:rPr>
            </w:pPr>
            <w:r>
              <w:rPr>
                <w:rFonts w:ascii="Arial" w:cs="Arial" w:eastAsia="Arial" w:hAnsi="Arial"/>
                <w:sz w:val="16"/>
                <w:szCs w:val="16"/>
                <w:color w:val="auto"/>
              </w:rPr>
              <w:t>Subtotal</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7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8"/>
        </w:trPr>
        <w:tc>
          <w:tcPr>
            <w:tcW w:w="6020" w:type="dxa"/>
            <w:vAlign w:val="bottom"/>
          </w:tcPr>
          <w:p>
            <w:pPr>
              <w:ind w:left="220"/>
              <w:spacing w:after="0"/>
              <w:rPr>
                <w:sz w:val="20"/>
                <w:szCs w:val="20"/>
                <w:color w:val="auto"/>
              </w:rPr>
            </w:pPr>
            <w:r>
              <w:rPr>
                <w:rFonts w:ascii="Arial" w:cs="Arial" w:eastAsia="Arial" w:hAnsi="Arial"/>
                <w:sz w:val="16"/>
                <w:szCs w:val="16"/>
                <w:color w:val="auto"/>
              </w:rPr>
              <w:t>Total</w:t>
            </w:r>
          </w:p>
        </w:tc>
        <w:tc>
          <w:tcPr>
            <w:tcW w:w="720" w:type="dxa"/>
            <w:vAlign w:val="bottom"/>
          </w:tcPr>
          <w:p>
            <w:pPr>
              <w:spacing w:after="0"/>
              <w:rPr>
                <w:sz w:val="18"/>
                <w:szCs w:val="18"/>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0"/>
        </w:trPr>
        <w:tc>
          <w:tcPr>
            <w:tcW w:w="6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Windfall tax benefits related to the vesting and exercise of stock-based awards, which are recognized as a component of the Company’s Income tax expense, were not material for the periods presented.</w:t>
      </w:r>
    </w:p>
    <w:p>
      <w:pPr>
        <w:spacing w:after="0" w:line="207"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Compensation cost related to unvested RSUs, PSUs, and rights to purchase shares of common stock under the ESPP will generally be amortized on a straight-line basis over the remaining average service period. The remaining compensation cost related to unvested stock options is immaterial as of July 2, 2021. The following table presents the unamortized compensation cost and weighted average service period of all unvested outstanding awards as of July 2, 2021:</w:t>
      </w:r>
    </w:p>
    <w:tbl>
      <w:tblPr>
        <w:tblLayout w:type="fixed"/>
        <w:tblInd w:w="0" w:type="dxa"/>
        <w:tblCellMar>
          <w:top w:w="0" w:type="dxa"/>
          <w:left w:w="0" w:type="dxa"/>
          <w:bottom w:w="0" w:type="dxa"/>
          <w:right w:w="0" w:type="dxa"/>
        </w:tblCellMar>
      </w:tblPr>
      <w:tr>
        <w:trPr>
          <w:trHeight w:val="150"/>
        </w:trPr>
        <w:tc>
          <w:tcPr>
            <w:tcW w:w="7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3"/>
                <w:szCs w:val="13"/>
                <w:color w:val="auto"/>
              </w:rPr>
            </w:pPr>
          </w:p>
        </w:tc>
        <w:tc>
          <w:tcPr>
            <w:tcW w:w="1420" w:type="dxa"/>
            <w:vAlign w:val="bottom"/>
          </w:tcPr>
          <w:p>
            <w:pPr>
              <w:jc w:val="center"/>
              <w:ind w:left="249"/>
              <w:spacing w:after="0" w:line="15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7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Average Service</w:t>
            </w:r>
          </w:p>
        </w:tc>
        <w:tc>
          <w:tcPr>
            <w:tcW w:w="0" w:type="dxa"/>
            <w:vAlign w:val="bottom"/>
          </w:tcPr>
          <w:p>
            <w:pPr>
              <w:spacing w:after="0"/>
              <w:rPr>
                <w:sz w:val="1"/>
                <w:szCs w:val="1"/>
                <w:color w:val="auto"/>
              </w:rPr>
            </w:pPr>
          </w:p>
        </w:tc>
      </w:tr>
      <w:tr>
        <w:trPr>
          <w:trHeight w:val="185"/>
        </w:trPr>
        <w:tc>
          <w:tcPr>
            <w:tcW w:w="7960" w:type="dxa"/>
            <w:vAlign w:val="bottom"/>
          </w:tcPr>
          <w:p>
            <w:pPr>
              <w:spacing w:after="0"/>
              <w:rPr>
                <w:sz w:val="16"/>
                <w:szCs w:val="16"/>
                <w:color w:val="auto"/>
              </w:rPr>
            </w:pPr>
          </w:p>
        </w:tc>
        <w:tc>
          <w:tcPr>
            <w:tcW w:w="176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auto"/>
              </w:rPr>
              <w:t>Compensation Costs</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ind w:right="30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1420" w:type="dxa"/>
            <w:vAlign w:val="bottom"/>
          </w:tcPr>
          <w:p>
            <w:pPr>
              <w:jc w:val="center"/>
              <w:ind w:left="269"/>
              <w:spacing w:after="0"/>
              <w:rPr>
                <w:sz w:val="20"/>
                <w:szCs w:val="20"/>
                <w:color w:val="auto"/>
              </w:rPr>
            </w:pPr>
            <w:r>
              <w:rPr>
                <w:rFonts w:ascii="Arial" w:cs="Arial" w:eastAsia="Arial" w:hAnsi="Arial"/>
                <w:sz w:val="14"/>
                <w:szCs w:val="14"/>
                <w:i w:val="1"/>
                <w:iCs w:val="1"/>
                <w:color w:val="auto"/>
                <w:w w:val="91"/>
              </w:rPr>
              <w:t>(years)</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340"/>
              <w:spacing w:after="0" w:line="215"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0"/>
                <w:szCs w:val="20"/>
                <w:color w:val="auto"/>
                <w:vertAlign w:val="superscript"/>
              </w:rPr>
              <w:t>(1)</w:t>
            </w: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520" w:type="dxa"/>
            <w:vAlign w:val="bottom"/>
            <w:gridSpan w:val="2"/>
            <w:shd w:val="clear" w:color="auto" w:fill="CCEEFF"/>
          </w:tcPr>
          <w:p>
            <w:pPr>
              <w:jc w:val="center"/>
              <w:ind w:left="361"/>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ESPP</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520" w:type="dxa"/>
            <w:vAlign w:val="bottom"/>
            <w:tcBorders>
              <w:bottom w:val="single" w:sz="8" w:color="CCEEFF"/>
            </w:tcBorders>
            <w:gridSpan w:val="2"/>
          </w:tcPr>
          <w:p>
            <w:pPr>
              <w:jc w:val="center"/>
              <w:ind w:left="361"/>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233"/>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unamortized compensation cost</w:t>
            </w:r>
          </w:p>
        </w:tc>
        <w:tc>
          <w:tcPr>
            <w:tcW w:w="5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260" w:hanging="254"/>
        <w:spacing w:after="0"/>
        <w:tabs>
          <w:tab w:leader="none" w:pos="26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conditions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10"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0" w:type="dxa"/>
            <w:vAlign w:val="bottom"/>
            <w:vMerge w:val="restart"/>
          </w:tcPr>
          <w:p>
            <w:pPr>
              <w:jc w:val="center"/>
              <w:ind w:left="223"/>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500" w:type="dxa"/>
            <w:vAlign w:val="bottom"/>
            <w:gridSpan w:val="2"/>
          </w:tcPr>
          <w:p>
            <w:pPr>
              <w:ind w:left="580"/>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4"/>
                <w:szCs w:val="14"/>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Average Remaining</w:t>
            </w:r>
          </w:p>
        </w:tc>
        <w:tc>
          <w:tcPr>
            <w:tcW w:w="4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400" w:type="dxa"/>
            <w:vAlign w:val="bottom"/>
          </w:tcPr>
          <w:p>
            <w:pPr>
              <w:ind w:left="420"/>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rPr>
              <w:t>Exercise Price Per Share</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Contractual Life</w:t>
            </w:r>
          </w:p>
        </w:tc>
        <w:tc>
          <w:tcPr>
            <w:tcW w:w="420" w:type="dxa"/>
            <w:vAlign w:val="bottom"/>
          </w:tcPr>
          <w:p>
            <w:pPr>
              <w:spacing w:after="0"/>
              <w:rPr>
                <w:sz w:val="16"/>
                <w:szCs w:val="16"/>
                <w:color w:val="auto"/>
              </w:rPr>
            </w:pPr>
          </w:p>
        </w:tc>
        <w:tc>
          <w:tcPr>
            <w:tcW w:w="1280" w:type="dxa"/>
            <w:vAlign w:val="bottom"/>
          </w:tcPr>
          <w:p>
            <w:pPr>
              <w:jc w:val="right"/>
              <w:ind w:right="60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4760" w:type="dxa"/>
            <w:vAlign w:val="bottom"/>
          </w:tcPr>
          <w:p>
            <w:pPr>
              <w:spacing w:after="0"/>
              <w:rPr>
                <w:sz w:val="15"/>
                <w:szCs w:val="15"/>
                <w:color w:val="auto"/>
              </w:rPr>
            </w:pPr>
          </w:p>
        </w:tc>
        <w:tc>
          <w:tcPr>
            <w:tcW w:w="1400" w:type="dxa"/>
            <w:vAlign w:val="bottom"/>
            <w:tcBorders>
              <w:top w:val="single" w:sz="8" w:color="auto"/>
            </w:tcBorders>
          </w:tcPr>
          <w:p>
            <w:pPr>
              <w:jc w:val="center"/>
              <w:ind w:left="243"/>
              <w:spacing w:after="0"/>
              <w:rPr>
                <w:sz w:val="20"/>
                <w:szCs w:val="20"/>
                <w:color w:val="auto"/>
              </w:rPr>
            </w:pPr>
            <w:r>
              <w:rPr>
                <w:rFonts w:ascii="Arial" w:cs="Arial" w:eastAsia="Arial" w:hAnsi="Arial"/>
                <w:sz w:val="14"/>
                <w:szCs w:val="14"/>
                <w:i w:val="1"/>
                <w:iCs w:val="1"/>
                <w:color w:val="auto"/>
                <w:w w:val="96"/>
              </w:rPr>
              <w:t>(in millions)</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ind w:left="580"/>
              <w:spacing w:after="0"/>
              <w:rPr>
                <w:sz w:val="20"/>
                <w:szCs w:val="20"/>
                <w:color w:val="auto"/>
              </w:rPr>
            </w:pPr>
            <w:r>
              <w:rPr>
                <w:rFonts w:ascii="Arial" w:cs="Arial" w:eastAsia="Arial" w:hAnsi="Arial"/>
                <w:sz w:val="14"/>
                <w:szCs w:val="14"/>
                <w:i w:val="1"/>
                <w:iCs w:val="1"/>
                <w:color w:val="auto"/>
              </w:rPr>
              <w:t>(in years)</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64"/>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outstanding at June 29, 2018</w:t>
            </w:r>
          </w:p>
        </w:tc>
        <w:tc>
          <w:tcPr>
            <w:tcW w:w="1400" w:type="dxa"/>
            <w:vAlign w:val="bottom"/>
            <w:shd w:val="clear" w:color="auto" w:fill="CCEEFF"/>
          </w:tcPr>
          <w:p>
            <w:pPr>
              <w:jc w:val="center"/>
              <w:ind w:left="963"/>
              <w:spacing w:after="0"/>
              <w:rPr>
                <w:sz w:val="20"/>
                <w:szCs w:val="20"/>
                <w:color w:val="auto"/>
              </w:rPr>
            </w:pPr>
            <w:r>
              <w:rPr>
                <w:rFonts w:ascii="Arial" w:cs="Arial" w:eastAsia="Arial" w:hAnsi="Arial"/>
                <w:sz w:val="16"/>
                <w:szCs w:val="16"/>
                <w:color w:val="auto"/>
                <w:w w:val="89"/>
              </w:rPr>
              <w:t>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540"/>
              <w:spacing w:after="0"/>
              <w:rPr>
                <w:sz w:val="20"/>
                <w:szCs w:val="20"/>
                <w:color w:val="auto"/>
              </w:rPr>
            </w:pPr>
            <w:r>
              <w:rPr>
                <w:rFonts w:ascii="Arial" w:cs="Arial" w:eastAsia="Arial" w:hAnsi="Arial"/>
                <w:sz w:val="16"/>
                <w:szCs w:val="16"/>
                <w:color w:val="auto"/>
              </w:rPr>
              <w:t>Exercised</w:t>
            </w:r>
          </w:p>
        </w:tc>
        <w:tc>
          <w:tcPr>
            <w:tcW w:w="1400" w:type="dxa"/>
            <w:vAlign w:val="bottom"/>
          </w:tcPr>
          <w:p>
            <w:pPr>
              <w:jc w:val="center"/>
              <w:ind w:left="943"/>
              <w:spacing w:after="0"/>
              <w:rPr>
                <w:sz w:val="20"/>
                <w:szCs w:val="20"/>
                <w:color w:val="auto"/>
              </w:rPr>
            </w:pPr>
            <w:r>
              <w:rPr>
                <w:rFonts w:ascii="Arial" w:cs="Arial" w:eastAsia="Arial" w:hAnsi="Arial"/>
                <w:sz w:val="16"/>
                <w:szCs w:val="16"/>
                <w:color w:val="auto"/>
                <w:w w:val="91"/>
              </w:rPr>
              <w:t>(0.4)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39.58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Canceled or expired</w:t>
            </w:r>
          </w:p>
        </w:tc>
        <w:tc>
          <w:tcPr>
            <w:tcW w:w="1400" w:type="dxa"/>
            <w:vAlign w:val="bottom"/>
            <w:tcBorders>
              <w:bottom w:val="single" w:sz="8" w:color="auto"/>
            </w:tcBorders>
            <w:shd w:val="clear" w:color="auto" w:fill="CCEEFF"/>
          </w:tcPr>
          <w:p>
            <w:pPr>
              <w:jc w:val="center"/>
              <w:ind w:left="943"/>
              <w:spacing w:after="0"/>
              <w:rPr>
                <w:sz w:val="20"/>
                <w:szCs w:val="20"/>
                <w:color w:val="auto"/>
              </w:rPr>
            </w:pPr>
            <w:r>
              <w:rPr>
                <w:rFonts w:ascii="Arial" w:cs="Arial" w:eastAsia="Arial" w:hAnsi="Arial"/>
                <w:sz w:val="16"/>
                <w:szCs w:val="16"/>
                <w:color w:val="auto"/>
                <w:w w:val="91"/>
              </w:rPr>
              <w:t>(0.5)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Options outstanding at June 28, 2019</w:t>
            </w:r>
          </w:p>
        </w:tc>
        <w:tc>
          <w:tcPr>
            <w:tcW w:w="1400" w:type="dxa"/>
            <w:vAlign w:val="bottom"/>
          </w:tcPr>
          <w:p>
            <w:pPr>
              <w:jc w:val="center"/>
              <w:ind w:left="963"/>
              <w:spacing w:after="0"/>
              <w:rPr>
                <w:sz w:val="20"/>
                <w:szCs w:val="20"/>
                <w:color w:val="auto"/>
              </w:rPr>
            </w:pPr>
            <w:r>
              <w:rPr>
                <w:rFonts w:ascii="Arial" w:cs="Arial" w:eastAsia="Arial" w:hAnsi="Arial"/>
                <w:sz w:val="16"/>
                <w:szCs w:val="16"/>
                <w:color w:val="auto"/>
                <w:w w:val="89"/>
              </w:rPr>
              <w:t>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65.72</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center"/>
              <w:ind w:left="943"/>
              <w:spacing w:after="0"/>
              <w:rPr>
                <w:sz w:val="20"/>
                <w:szCs w:val="20"/>
                <w:color w:val="auto"/>
              </w:rPr>
            </w:pPr>
            <w:r>
              <w:rPr>
                <w:rFonts w:ascii="Arial" w:cs="Arial" w:eastAsia="Arial" w:hAnsi="Arial"/>
                <w:sz w:val="16"/>
                <w:szCs w:val="16"/>
                <w:color w:val="auto"/>
                <w:w w:val="91"/>
              </w:rPr>
              <w:t>(0.8)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Canceled or expired</w:t>
            </w:r>
          </w:p>
        </w:tc>
        <w:tc>
          <w:tcPr>
            <w:tcW w:w="1400" w:type="dxa"/>
            <w:vAlign w:val="bottom"/>
            <w:tcBorders>
              <w:bottom w:val="single" w:sz="8" w:color="auto"/>
            </w:tcBorders>
          </w:tcPr>
          <w:p>
            <w:pPr>
              <w:jc w:val="center"/>
              <w:ind w:left="943"/>
              <w:spacing w:after="0"/>
              <w:rPr>
                <w:sz w:val="20"/>
                <w:szCs w:val="20"/>
                <w:color w:val="auto"/>
              </w:rPr>
            </w:pPr>
            <w:r>
              <w:rPr>
                <w:rFonts w:ascii="Arial" w:cs="Arial" w:eastAsia="Arial" w:hAnsi="Arial"/>
                <w:sz w:val="16"/>
                <w:szCs w:val="16"/>
                <w:color w:val="auto"/>
                <w:w w:val="91"/>
              </w:rPr>
              <w:t>(0.4)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88.58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outstanding at July 3, 2020</w:t>
            </w:r>
          </w:p>
        </w:tc>
        <w:tc>
          <w:tcPr>
            <w:tcW w:w="1400" w:type="dxa"/>
            <w:vAlign w:val="bottom"/>
            <w:shd w:val="clear" w:color="auto" w:fill="CCEEFF"/>
          </w:tcPr>
          <w:p>
            <w:pPr>
              <w:jc w:val="center"/>
              <w:ind w:left="963"/>
              <w:spacing w:after="0"/>
              <w:rPr>
                <w:sz w:val="20"/>
                <w:szCs w:val="20"/>
                <w:color w:val="auto"/>
              </w:rPr>
            </w:pPr>
            <w:r>
              <w:rPr>
                <w:rFonts w:ascii="Arial" w:cs="Arial" w:eastAsia="Arial" w:hAnsi="Arial"/>
                <w:sz w:val="16"/>
                <w:szCs w:val="16"/>
                <w:color w:val="auto"/>
                <w:w w:val="89"/>
              </w:rPr>
              <w:t>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540"/>
              <w:spacing w:after="0"/>
              <w:rPr>
                <w:sz w:val="20"/>
                <w:szCs w:val="20"/>
                <w:color w:val="auto"/>
              </w:rPr>
            </w:pPr>
            <w:r>
              <w:rPr>
                <w:rFonts w:ascii="Arial" w:cs="Arial" w:eastAsia="Arial" w:hAnsi="Arial"/>
                <w:sz w:val="16"/>
                <w:szCs w:val="16"/>
                <w:color w:val="auto"/>
              </w:rPr>
              <w:t>Exercised</w:t>
            </w:r>
          </w:p>
        </w:tc>
        <w:tc>
          <w:tcPr>
            <w:tcW w:w="1400" w:type="dxa"/>
            <w:vAlign w:val="bottom"/>
          </w:tcPr>
          <w:p>
            <w:pPr>
              <w:jc w:val="center"/>
              <w:ind w:left="943"/>
              <w:spacing w:after="0"/>
              <w:rPr>
                <w:sz w:val="20"/>
                <w:szCs w:val="20"/>
                <w:color w:val="auto"/>
              </w:rPr>
            </w:pPr>
            <w:r>
              <w:rPr>
                <w:rFonts w:ascii="Arial" w:cs="Arial" w:eastAsia="Arial" w:hAnsi="Arial"/>
                <w:sz w:val="16"/>
                <w:szCs w:val="16"/>
                <w:color w:val="auto"/>
                <w:w w:val="91"/>
              </w:rPr>
              <w:t>(0.4)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44.34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Canceled or expired</w:t>
            </w:r>
          </w:p>
        </w:tc>
        <w:tc>
          <w:tcPr>
            <w:tcW w:w="1400" w:type="dxa"/>
            <w:vAlign w:val="bottom"/>
            <w:tcBorders>
              <w:bottom w:val="single" w:sz="8" w:color="auto"/>
            </w:tcBorders>
            <w:shd w:val="clear" w:color="auto" w:fill="CCEEFF"/>
          </w:tcPr>
          <w:p>
            <w:pPr>
              <w:jc w:val="center"/>
              <w:ind w:left="943"/>
              <w:spacing w:after="0"/>
              <w:rPr>
                <w:sz w:val="20"/>
                <w:szCs w:val="20"/>
                <w:color w:val="auto"/>
              </w:rPr>
            </w:pPr>
            <w:r>
              <w:rPr>
                <w:rFonts w:ascii="Arial" w:cs="Arial" w:eastAsia="Arial" w:hAnsi="Arial"/>
                <w:sz w:val="16"/>
                <w:szCs w:val="16"/>
                <w:color w:val="auto"/>
                <w:w w:val="91"/>
              </w:rPr>
              <w:t>(0.8)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60" w:type="dxa"/>
            <w:vAlign w:val="bottom"/>
          </w:tcPr>
          <w:p>
            <w:pPr>
              <w:ind w:left="340"/>
              <w:spacing w:after="0"/>
              <w:rPr>
                <w:sz w:val="20"/>
                <w:szCs w:val="20"/>
                <w:color w:val="auto"/>
              </w:rPr>
            </w:pPr>
            <w:r>
              <w:rPr>
                <w:rFonts w:ascii="Arial" w:cs="Arial" w:eastAsia="Arial" w:hAnsi="Arial"/>
                <w:sz w:val="16"/>
                <w:szCs w:val="16"/>
                <w:color w:val="auto"/>
              </w:rPr>
              <w:t>Options outstanding at July 2, 2021</w:t>
            </w:r>
          </w:p>
        </w:tc>
        <w:tc>
          <w:tcPr>
            <w:tcW w:w="1400" w:type="dxa"/>
            <w:vAlign w:val="bottom"/>
            <w:tcBorders>
              <w:bottom w:val="single" w:sz="8" w:color="auto"/>
            </w:tcBorders>
          </w:tcPr>
          <w:p>
            <w:pPr>
              <w:jc w:val="center"/>
              <w:ind w:left="963"/>
              <w:spacing w:after="0"/>
              <w:rPr>
                <w:sz w:val="20"/>
                <w:szCs w:val="20"/>
                <w:color w:val="auto"/>
              </w:rPr>
            </w:pPr>
            <w:r>
              <w:rPr>
                <w:rFonts w:ascii="Arial" w:cs="Arial" w:eastAsia="Arial" w:hAnsi="Arial"/>
                <w:sz w:val="16"/>
                <w:szCs w:val="16"/>
                <w:color w:val="auto"/>
                <w:w w:val="89"/>
              </w:rPr>
              <w:t>1.5</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options were granted in 2021, 2020 or 2019. All outstanding options were exercisable at July 2,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RSUs and PSUs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420" w:type="dxa"/>
            <w:vAlign w:val="bottom"/>
          </w:tcPr>
          <w:p>
            <w:pPr>
              <w:spacing w:after="0"/>
              <w:rPr>
                <w:sz w:val="14"/>
                <w:szCs w:val="14"/>
                <w:color w:val="auto"/>
              </w:rPr>
            </w:pPr>
          </w:p>
        </w:tc>
        <w:tc>
          <w:tcPr>
            <w:tcW w:w="1280" w:type="dxa"/>
            <w:vAlign w:val="bottom"/>
          </w:tcPr>
          <w:p>
            <w:pPr>
              <w:jc w:val="right"/>
              <w:ind w:right="24"/>
              <w:spacing w:after="0"/>
              <w:rPr>
                <w:sz w:val="20"/>
                <w:szCs w:val="20"/>
                <w:color w:val="auto"/>
              </w:rPr>
            </w:pPr>
            <w:r>
              <w:rPr>
                <w:rFonts w:ascii="Arial" w:cs="Arial" w:eastAsia="Arial" w:hAnsi="Arial"/>
                <w:sz w:val="14"/>
                <w:szCs w:val="14"/>
                <w:b w:val="1"/>
                <w:bCs w:val="1"/>
                <w:color w:val="auto"/>
                <w:w w:val="90"/>
              </w:rPr>
              <w:t>Aggregate Intrinsic</w:t>
            </w:r>
          </w:p>
        </w:tc>
      </w:tr>
      <w:tr>
        <w:trPr>
          <w:trHeight w:val="185"/>
        </w:trPr>
        <w:tc>
          <w:tcPr>
            <w:tcW w:w="6200" w:type="dxa"/>
            <w:vAlign w:val="bottom"/>
          </w:tcPr>
          <w:p>
            <w:pPr>
              <w:spacing w:after="0"/>
              <w:rPr>
                <w:sz w:val="16"/>
                <w:szCs w:val="16"/>
                <w:color w:val="auto"/>
              </w:rPr>
            </w:pPr>
          </w:p>
        </w:tc>
        <w:tc>
          <w:tcPr>
            <w:tcW w:w="1400" w:type="dxa"/>
            <w:vAlign w:val="bottom"/>
          </w:tcPr>
          <w:p>
            <w:pPr>
              <w:jc w:val="right"/>
              <w:ind w:right="342"/>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c>
          <w:tcPr>
            <w:tcW w:w="1800" w:type="dxa"/>
            <w:vAlign w:val="bottom"/>
            <w:gridSpan w:val="3"/>
          </w:tcPr>
          <w:p>
            <w:pPr>
              <w:ind w:left="180"/>
              <w:spacing w:after="0"/>
              <w:rPr>
                <w:sz w:val="20"/>
                <w:szCs w:val="20"/>
                <w:color w:val="auto"/>
              </w:rPr>
            </w:pPr>
            <w:r>
              <w:rPr>
                <w:rFonts w:ascii="Arial" w:cs="Arial" w:eastAsia="Arial" w:hAnsi="Arial"/>
                <w:sz w:val="14"/>
                <w:szCs w:val="14"/>
                <w:b w:val="1"/>
                <w:bCs w:val="1"/>
                <w:color w:val="auto"/>
              </w:rPr>
              <w:t>Grant Date Fair Value</w:t>
            </w:r>
          </w:p>
        </w:tc>
        <w:tc>
          <w:tcPr>
            <w:tcW w:w="170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Value at Vest Date</w:t>
            </w:r>
          </w:p>
        </w:tc>
      </w:tr>
      <w:tr>
        <w:trPr>
          <w:trHeight w:val="177"/>
        </w:trPr>
        <w:tc>
          <w:tcPr>
            <w:tcW w:w="6200" w:type="dxa"/>
            <w:vAlign w:val="bottom"/>
          </w:tcPr>
          <w:p>
            <w:pPr>
              <w:spacing w:after="0"/>
              <w:rPr>
                <w:sz w:val="15"/>
                <w:szCs w:val="15"/>
                <w:color w:val="auto"/>
              </w:rPr>
            </w:pPr>
          </w:p>
        </w:tc>
        <w:tc>
          <w:tcPr>
            <w:tcW w:w="140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64"/>
              <w:spacing w:after="0"/>
              <w:rPr>
                <w:sz w:val="20"/>
                <w:szCs w:val="20"/>
                <w:color w:val="auto"/>
              </w:rPr>
            </w:pPr>
            <w:r>
              <w:rPr>
                <w:rFonts w:ascii="Arial" w:cs="Arial" w:eastAsia="Arial" w:hAnsi="Arial"/>
                <w:sz w:val="14"/>
                <w:szCs w:val="14"/>
                <w:i w:val="1"/>
                <w:iCs w:val="1"/>
                <w:color w:val="auto"/>
              </w:rPr>
              <w:t>(in millions)</w:t>
            </w:r>
          </w:p>
        </w:tc>
      </w:tr>
      <w:tr>
        <w:trPr>
          <w:trHeight w:val="215"/>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 outstanding at June 29, 2018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6200" w:type="dxa"/>
            <w:vAlign w:val="bottom"/>
          </w:tcPr>
          <w:p>
            <w:pPr>
              <w:ind w:left="5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6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0"/>
        </w:trPr>
        <w:tc>
          <w:tcPr>
            <w:tcW w:w="62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58.63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08"/>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 outstanding at June 28, 2019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6200" w:type="dxa"/>
            <w:vAlign w:val="bottom"/>
          </w:tcPr>
          <w:p>
            <w:pPr>
              <w:ind w:left="5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6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10"/>
        </w:trPr>
        <w:tc>
          <w:tcPr>
            <w:tcW w:w="62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63.33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08"/>
        </w:trPr>
        <w:tc>
          <w:tcPr>
            <w:tcW w:w="6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 outstanding at July 3,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6200" w:type="dxa"/>
            <w:vAlign w:val="bottom"/>
          </w:tcPr>
          <w:p>
            <w:pPr>
              <w:ind w:left="5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6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0"/>
        </w:trPr>
        <w:tc>
          <w:tcPr>
            <w:tcW w:w="62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33"/>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RSUs and PSUs outstanding at July 2,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Valuation Assumptions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RSU and PSU Grants</w:t>
      </w:r>
    </w:p>
    <w:p>
      <w:pPr>
        <w:spacing w:after="0" w:line="244"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The fair value of the Company’s RSU and PSU awards with a performance condition is determined based upon the closing price of the Company’s stock price on the date of grant. The fair value of PSU awards with a market condition is estimated using a Monte Carlo simulation model on the date of grant using historical volatility.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ESPP — Black-Scholes-Merton Model</w:t>
      </w:r>
    </w:p>
    <w:p>
      <w:pPr>
        <w:spacing w:after="0" w:line="244"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The fair value of ESPP purchase rights issued is estimated at the date of grant of the purchase rights using the Black-Scholes-Merton option-pricing model. The Black-Scholes-Merton option-pricing model requires the input of assumptions such as the expected stock price volatility and the expected period until options are exercised. Purchase rights under the ESPP are generally granted on either June 1st or December 1st of each year.</w:t>
      </w:r>
    </w:p>
    <w:p>
      <w:pPr>
        <w:spacing w:after="0" w:line="163" w:lineRule="exact"/>
        <w:rPr>
          <w:sz w:val="20"/>
          <w:szCs w:val="20"/>
          <w:color w:val="auto"/>
        </w:rPr>
      </w:pPr>
    </w:p>
    <w:p>
      <w:pPr>
        <w:ind w:right="180" w:firstLine="318"/>
        <w:spacing w:after="0" w:line="262" w:lineRule="auto"/>
        <w:rPr>
          <w:sz w:val="20"/>
          <w:szCs w:val="20"/>
          <w:color w:val="auto"/>
        </w:rPr>
      </w:pPr>
      <w:r>
        <w:rPr>
          <w:rFonts w:ascii="Arial" w:cs="Arial" w:eastAsia="Arial" w:hAnsi="Arial"/>
          <w:sz w:val="18"/>
          <w:szCs w:val="18"/>
          <w:color w:val="auto"/>
        </w:rPr>
        <w:t>The fair values of ESPP purchase rights have been estimated at the date of grant using a Black-Scholes-Merton option-pricing model with the following weighted average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26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w w:val="89"/>
              </w:rPr>
              <w:t>2019</w:t>
            </w:r>
          </w:p>
        </w:tc>
      </w:tr>
      <w:tr>
        <w:trPr>
          <w:trHeight w:val="211"/>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Weighted-average expected term (in years)</w:t>
            </w:r>
          </w:p>
        </w:tc>
        <w:tc>
          <w:tcPr>
            <w:tcW w:w="1420" w:type="dxa"/>
            <w:vAlign w:val="bottom"/>
            <w:shd w:val="clear" w:color="auto" w:fill="CCEEFF"/>
          </w:tcPr>
          <w:p>
            <w:pPr>
              <w:jc w:val="center"/>
              <w:ind w:left="262"/>
              <w:spacing w:after="0"/>
              <w:rPr>
                <w:sz w:val="20"/>
                <w:szCs w:val="20"/>
                <w:color w:val="auto"/>
              </w:rPr>
            </w:pPr>
            <w:r>
              <w:rPr>
                <w:rFonts w:ascii="Arial" w:cs="Arial" w:eastAsia="Arial" w:hAnsi="Arial"/>
                <w:sz w:val="16"/>
                <w:szCs w:val="16"/>
                <w:color w:val="auto"/>
                <w:w w:val="89"/>
              </w:rPr>
              <w:t>1.25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222"/>
              <w:spacing w:after="0"/>
              <w:rPr>
                <w:sz w:val="20"/>
                <w:szCs w:val="20"/>
                <w:color w:val="auto"/>
              </w:rPr>
            </w:pPr>
            <w:r>
              <w:rPr>
                <w:rFonts w:ascii="Arial" w:cs="Arial" w:eastAsia="Arial" w:hAnsi="Arial"/>
                <w:sz w:val="16"/>
                <w:szCs w:val="16"/>
                <w:color w:val="auto"/>
                <w:w w:val="89"/>
              </w:rPr>
              <w:t>1.25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222"/>
              <w:spacing w:after="0"/>
              <w:rPr>
                <w:sz w:val="20"/>
                <w:szCs w:val="20"/>
                <w:color w:val="auto"/>
              </w:rPr>
            </w:pPr>
            <w:r>
              <w:rPr>
                <w:rFonts w:ascii="Arial" w:cs="Arial" w:eastAsia="Arial" w:hAnsi="Arial"/>
                <w:sz w:val="16"/>
                <w:szCs w:val="16"/>
                <w:color w:val="auto"/>
                <w:w w:val="89"/>
              </w:rPr>
              <w:t>1.24</w:t>
            </w:r>
          </w:p>
        </w:tc>
      </w:tr>
      <w:tr>
        <w:trPr>
          <w:trHeight w:val="209"/>
        </w:trPr>
        <w:tc>
          <w:tcPr>
            <w:tcW w:w="6740" w:type="dxa"/>
            <w:vAlign w:val="bottom"/>
          </w:tcPr>
          <w:p>
            <w:pPr>
              <w:ind w:left="340"/>
              <w:spacing w:after="0"/>
              <w:rPr>
                <w:sz w:val="20"/>
                <w:szCs w:val="20"/>
                <w:color w:val="auto"/>
              </w:rPr>
            </w:pPr>
            <w:r>
              <w:rPr>
                <w:rFonts w:ascii="Arial" w:cs="Arial" w:eastAsia="Arial" w:hAnsi="Arial"/>
                <w:sz w:val="16"/>
                <w:szCs w:val="16"/>
                <w:color w:val="auto"/>
              </w:rPr>
              <w:t>Risk-free interest rate</w:t>
            </w:r>
          </w:p>
        </w:tc>
        <w:tc>
          <w:tcPr>
            <w:tcW w:w="1420" w:type="dxa"/>
            <w:vAlign w:val="bottom"/>
          </w:tcPr>
          <w:p>
            <w:pPr>
              <w:jc w:val="center"/>
              <w:ind w:left="242"/>
              <w:spacing w:after="0"/>
              <w:rPr>
                <w:sz w:val="20"/>
                <w:szCs w:val="20"/>
                <w:color w:val="auto"/>
              </w:rPr>
            </w:pPr>
            <w:r>
              <w:rPr>
                <w:rFonts w:ascii="Arial" w:cs="Arial" w:eastAsia="Arial" w:hAnsi="Arial"/>
                <w:sz w:val="16"/>
                <w:szCs w:val="16"/>
                <w:color w:val="auto"/>
                <w:w w:val="92"/>
              </w:rPr>
              <w:t>0.10%</w:t>
            </w:r>
          </w:p>
        </w:tc>
        <w:tc>
          <w:tcPr>
            <w:tcW w:w="120" w:type="dxa"/>
            <w:vAlign w:val="bottom"/>
          </w:tcPr>
          <w:p>
            <w:pPr>
              <w:spacing w:after="0"/>
              <w:rPr>
                <w:sz w:val="18"/>
                <w:szCs w:val="18"/>
                <w:color w:val="auto"/>
              </w:rPr>
            </w:pPr>
          </w:p>
        </w:tc>
        <w:tc>
          <w:tcPr>
            <w:tcW w:w="1420" w:type="dxa"/>
            <w:vAlign w:val="bottom"/>
          </w:tcPr>
          <w:p>
            <w:pPr>
              <w:jc w:val="center"/>
              <w:ind w:left="242"/>
              <w:spacing w:after="0"/>
              <w:rPr>
                <w:sz w:val="20"/>
                <w:szCs w:val="20"/>
                <w:color w:val="auto"/>
              </w:rPr>
            </w:pPr>
            <w:r>
              <w:rPr>
                <w:rFonts w:ascii="Arial" w:cs="Arial" w:eastAsia="Arial" w:hAnsi="Arial"/>
                <w:sz w:val="16"/>
                <w:szCs w:val="16"/>
                <w:color w:val="auto"/>
                <w:w w:val="92"/>
              </w:rPr>
              <w:t>0.55%</w:t>
            </w:r>
          </w:p>
        </w:tc>
        <w:tc>
          <w:tcPr>
            <w:tcW w:w="120" w:type="dxa"/>
            <w:vAlign w:val="bottom"/>
          </w:tcPr>
          <w:p>
            <w:pPr>
              <w:spacing w:after="0"/>
              <w:rPr>
                <w:sz w:val="18"/>
                <w:szCs w:val="18"/>
                <w:color w:val="auto"/>
              </w:rPr>
            </w:pPr>
          </w:p>
        </w:tc>
        <w:tc>
          <w:tcPr>
            <w:tcW w:w="1420" w:type="dxa"/>
            <w:vAlign w:val="bottom"/>
          </w:tcPr>
          <w:p>
            <w:pPr>
              <w:jc w:val="center"/>
              <w:ind w:left="242"/>
              <w:spacing w:after="0"/>
              <w:rPr>
                <w:sz w:val="20"/>
                <w:szCs w:val="20"/>
                <w:color w:val="auto"/>
              </w:rPr>
            </w:pPr>
            <w:r>
              <w:rPr>
                <w:rFonts w:ascii="Arial" w:cs="Arial" w:eastAsia="Arial" w:hAnsi="Arial"/>
                <w:sz w:val="16"/>
                <w:szCs w:val="16"/>
                <w:color w:val="auto"/>
                <w:w w:val="92"/>
              </w:rPr>
              <w:t>2.25%</w:t>
            </w:r>
          </w:p>
        </w:tc>
      </w:tr>
      <w:tr>
        <w:trPr>
          <w:trHeight w:val="215"/>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 price volatility</w:t>
            </w:r>
          </w:p>
        </w:tc>
        <w:tc>
          <w:tcPr>
            <w:tcW w:w="1420" w:type="dxa"/>
            <w:vAlign w:val="bottom"/>
            <w:shd w:val="clear" w:color="auto" w:fill="CCEEFF"/>
          </w:tcPr>
          <w:p>
            <w:pPr>
              <w:jc w:val="center"/>
              <w:ind w:left="262"/>
              <w:spacing w:after="0"/>
              <w:rPr>
                <w:sz w:val="20"/>
                <w:szCs w:val="20"/>
                <w:color w:val="auto"/>
              </w:rPr>
            </w:pPr>
            <w:r>
              <w:rPr>
                <w:rFonts w:ascii="Arial" w:cs="Arial" w:eastAsia="Arial" w:hAnsi="Arial"/>
                <w:sz w:val="16"/>
                <w:szCs w:val="16"/>
                <w:color w:val="auto"/>
                <w:w w:val="89"/>
              </w:rPr>
              <w:t>0.56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222"/>
              <w:spacing w:after="0"/>
              <w:rPr>
                <w:sz w:val="20"/>
                <w:szCs w:val="20"/>
                <w:color w:val="auto"/>
              </w:rPr>
            </w:pPr>
            <w:r>
              <w:rPr>
                <w:rFonts w:ascii="Arial" w:cs="Arial" w:eastAsia="Arial" w:hAnsi="Arial"/>
                <w:sz w:val="16"/>
                <w:szCs w:val="16"/>
                <w:color w:val="auto"/>
                <w:w w:val="89"/>
              </w:rPr>
              <w:t>0.59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222"/>
              <w:spacing w:after="0"/>
              <w:rPr>
                <w:sz w:val="20"/>
                <w:szCs w:val="20"/>
                <w:color w:val="auto"/>
              </w:rPr>
            </w:pPr>
            <w:r>
              <w:rPr>
                <w:rFonts w:ascii="Arial" w:cs="Arial" w:eastAsia="Arial" w:hAnsi="Arial"/>
                <w:sz w:val="16"/>
                <w:szCs w:val="16"/>
                <w:color w:val="auto"/>
                <w:w w:val="89"/>
              </w:rPr>
              <w:t>0.35</w:t>
            </w:r>
          </w:p>
        </w:tc>
      </w:tr>
      <w:tr>
        <w:trPr>
          <w:trHeight w:val="209"/>
        </w:trPr>
        <w:tc>
          <w:tcPr>
            <w:tcW w:w="6740" w:type="dxa"/>
            <w:vAlign w:val="bottom"/>
          </w:tcPr>
          <w:p>
            <w:pPr>
              <w:ind w:left="340"/>
              <w:spacing w:after="0"/>
              <w:rPr>
                <w:sz w:val="20"/>
                <w:szCs w:val="20"/>
                <w:color w:val="auto"/>
              </w:rPr>
            </w:pPr>
            <w:r>
              <w:rPr>
                <w:rFonts w:ascii="Arial" w:cs="Arial" w:eastAsia="Arial" w:hAnsi="Arial"/>
                <w:sz w:val="16"/>
                <w:szCs w:val="16"/>
                <w:color w:val="auto"/>
              </w:rPr>
              <w:t>Dividend yield</w:t>
            </w:r>
          </w:p>
        </w:tc>
        <w:tc>
          <w:tcPr>
            <w:tcW w:w="1540" w:type="dxa"/>
            <w:vAlign w:val="bottom"/>
            <w:gridSpan w:val="2"/>
          </w:tcPr>
          <w:p>
            <w:pPr>
              <w:jc w:val="center"/>
              <w:ind w:left="122"/>
              <w:spacing w:after="0"/>
              <w:rPr>
                <w:sz w:val="20"/>
                <w:szCs w:val="20"/>
                <w:color w:val="auto"/>
              </w:rPr>
            </w:pPr>
            <w:r>
              <w:rPr>
                <w:rFonts w:ascii="Arial" w:cs="Arial" w:eastAsia="Arial" w:hAnsi="Arial"/>
                <w:sz w:val="16"/>
                <w:szCs w:val="16"/>
                <w:color w:val="auto"/>
                <w:w w:val="99"/>
              </w:rPr>
              <w:t>—%</w:t>
            </w:r>
          </w:p>
        </w:tc>
        <w:tc>
          <w:tcPr>
            <w:tcW w:w="1420" w:type="dxa"/>
            <w:vAlign w:val="bottom"/>
          </w:tcPr>
          <w:p>
            <w:pPr>
              <w:jc w:val="center"/>
              <w:ind w:left="242"/>
              <w:spacing w:after="0"/>
              <w:rPr>
                <w:sz w:val="20"/>
                <w:szCs w:val="20"/>
                <w:color w:val="auto"/>
              </w:rPr>
            </w:pPr>
            <w:r>
              <w:rPr>
                <w:rFonts w:ascii="Arial" w:cs="Arial" w:eastAsia="Arial" w:hAnsi="Arial"/>
                <w:sz w:val="16"/>
                <w:szCs w:val="16"/>
                <w:color w:val="auto"/>
                <w:w w:val="92"/>
              </w:rPr>
              <w:t>1.08%</w:t>
            </w:r>
          </w:p>
        </w:tc>
        <w:tc>
          <w:tcPr>
            <w:tcW w:w="120" w:type="dxa"/>
            <w:vAlign w:val="bottom"/>
          </w:tcPr>
          <w:p>
            <w:pPr>
              <w:spacing w:after="0"/>
              <w:rPr>
                <w:sz w:val="18"/>
                <w:szCs w:val="18"/>
                <w:color w:val="auto"/>
              </w:rPr>
            </w:pPr>
          </w:p>
        </w:tc>
        <w:tc>
          <w:tcPr>
            <w:tcW w:w="1420" w:type="dxa"/>
            <w:vAlign w:val="bottom"/>
          </w:tcPr>
          <w:p>
            <w:pPr>
              <w:jc w:val="center"/>
              <w:ind w:left="242"/>
              <w:spacing w:after="0"/>
              <w:rPr>
                <w:sz w:val="20"/>
                <w:szCs w:val="20"/>
                <w:color w:val="auto"/>
              </w:rPr>
            </w:pPr>
            <w:r>
              <w:rPr>
                <w:rFonts w:ascii="Arial" w:cs="Arial" w:eastAsia="Arial" w:hAnsi="Arial"/>
                <w:sz w:val="16"/>
                <w:szCs w:val="16"/>
                <w:color w:val="auto"/>
                <w:w w:val="92"/>
              </w:rPr>
              <w:t>2.42%</w:t>
            </w:r>
          </w:p>
        </w:tc>
      </w:tr>
      <w:tr>
        <w:trPr>
          <w:trHeight w:val="214"/>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w:t>
            </w:r>
          </w:p>
        </w:tc>
        <w:tc>
          <w:tcPr>
            <w:tcW w:w="1420" w:type="dxa"/>
            <w:vAlign w:val="bottom"/>
            <w:shd w:val="clear" w:color="auto" w:fill="CCEEFF"/>
          </w:tcPr>
          <w:p>
            <w:pPr>
              <w:jc w:val="center"/>
              <w:ind w:left="262"/>
              <w:spacing w:after="0"/>
              <w:rPr>
                <w:sz w:val="20"/>
                <w:szCs w:val="20"/>
                <w:color w:val="auto"/>
              </w:rPr>
            </w:pPr>
            <w:r>
              <w:rPr>
                <w:rFonts w:ascii="Arial" w:cs="Arial" w:eastAsia="Arial" w:hAnsi="Arial"/>
                <w:sz w:val="16"/>
                <w:szCs w:val="16"/>
                <w:color w:val="auto"/>
                <w:w w:val="89"/>
              </w:rPr>
              <w:t>$21.59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222"/>
              <w:spacing w:after="0"/>
              <w:rPr>
                <w:sz w:val="20"/>
                <w:szCs w:val="20"/>
                <w:color w:val="auto"/>
              </w:rPr>
            </w:pPr>
            <w:r>
              <w:rPr>
                <w:rFonts w:ascii="Arial" w:cs="Arial" w:eastAsia="Arial" w:hAnsi="Arial"/>
                <w:sz w:val="16"/>
                <w:szCs w:val="16"/>
                <w:color w:val="auto"/>
                <w:w w:val="89"/>
              </w:rPr>
              <w:t>$12.76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222"/>
              <w:spacing w:after="0"/>
              <w:rPr>
                <w:sz w:val="20"/>
                <w:szCs w:val="20"/>
                <w:color w:val="auto"/>
              </w:rPr>
            </w:pPr>
            <w:r>
              <w:rPr>
                <w:rFonts w:ascii="Arial" w:cs="Arial" w:eastAsia="Arial" w:hAnsi="Arial"/>
                <w:sz w:val="16"/>
                <w:szCs w:val="16"/>
                <w:color w:val="auto"/>
                <w:w w:val="89"/>
              </w:rPr>
              <w:t>$16.89</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50" w:lineRule="exact"/>
        <w:rPr>
          <w:sz w:val="20"/>
          <w:szCs w:val="20"/>
          <w:color w:val="auto"/>
        </w:rPr>
      </w:pPr>
    </w:p>
    <w:p>
      <w:pPr>
        <w:ind w:right="180" w:firstLine="318"/>
        <w:spacing w:after="0" w:line="309" w:lineRule="auto"/>
        <w:rPr>
          <w:sz w:val="20"/>
          <w:szCs w:val="20"/>
          <w:color w:val="auto"/>
        </w:rPr>
      </w:pPr>
      <w:r>
        <w:rPr>
          <w:rFonts w:ascii="Arial" w:cs="Arial" w:eastAsia="Arial" w:hAnsi="Arial"/>
          <w:sz w:val="15"/>
          <w:szCs w:val="15"/>
          <w:color w:val="auto"/>
        </w:rPr>
        <w:t>The Company’s Board of Directors has authorized a stock repurchase program for the repurchase of up to $5.0 billion of the Company’s common stock, which authorization is effective through July 25, 2023. For the year ended July 2, 2021, the Company did not make any stock repurchases and has not repurchased any shares of its common stock pursuant to its stock repurchase program since the first quarter of fiscal 2019. Although the Company will reevaluate the repurchasing of common stock when appropriate, there can be no assurance if, when or at what level the Company may resume such activity. The remaining amount available to be repurchased under the Company’s current stock repurchase program as of July 2, 2021 was $4.5 billion. Repurchases under the stock repurchase program may be made in the open market or in privately negotiated transactions and may be made under a Rule 10b5-1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Reserved for Issuance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all common stock reserved for issuance at July 2,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2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w:t>
            </w:r>
          </w:p>
        </w:tc>
      </w:tr>
      <w:tr>
        <w:trPr>
          <w:trHeight w:val="181"/>
        </w:trPr>
        <w:tc>
          <w:tcPr>
            <w:tcW w:w="9720" w:type="dxa"/>
            <w:vAlign w:val="bottom"/>
          </w:tcPr>
          <w:p>
            <w:pPr>
              <w:spacing w:after="0"/>
              <w:rPr>
                <w:sz w:val="15"/>
                <w:szCs w:val="15"/>
                <w:color w:val="auto"/>
              </w:rPr>
            </w:pPr>
          </w:p>
        </w:tc>
        <w:tc>
          <w:tcPr>
            <w:tcW w:w="1520" w:type="dxa"/>
            <w:vAlign w:val="bottom"/>
          </w:tcPr>
          <w:p>
            <w:pPr>
              <w:jc w:val="right"/>
              <w:ind w:right="184"/>
              <w:spacing w:after="0"/>
              <w:rPr>
                <w:sz w:val="20"/>
                <w:szCs w:val="20"/>
                <w:color w:val="auto"/>
              </w:rPr>
            </w:pPr>
            <w:r>
              <w:rPr>
                <w:rFonts w:ascii="Arial" w:cs="Arial" w:eastAsia="Arial" w:hAnsi="Arial"/>
                <w:sz w:val="14"/>
                <w:szCs w:val="14"/>
                <w:i w:val="1"/>
                <w:iCs w:val="1"/>
                <w:color w:val="auto"/>
              </w:rPr>
              <w:t>(in millions)</w:t>
            </w:r>
          </w:p>
        </w:tc>
      </w:tr>
      <w:tr>
        <w:trPr>
          <w:trHeight w:val="215"/>
        </w:trPr>
        <w:tc>
          <w:tcPr>
            <w:tcW w:w="9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 awards and shares available for award grants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9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ESPP</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9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5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The Company issued a quarterly cash dividend from the first quarter of fiscal 2013 up to the third quarter of fiscal 2020. In April 2020, the Company suspended its dividend to reinvest in the business and to support its ongoing deleveraging efforts.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Income Tax Expense</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(loss) Before Taxes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domestic and foreign components of Income (loss) before taxes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r>
      <w:tr>
        <w:trPr>
          <w:trHeight w:val="181"/>
        </w:trPr>
        <w:tc>
          <w:tcPr>
            <w:tcW w:w="6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w:t>
            </w:r>
          </w:p>
        </w:tc>
        <w:tc>
          <w:tcPr>
            <w:tcW w:w="126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583"/>
              <w:spacing w:after="0"/>
              <w:rPr>
                <w:sz w:val="20"/>
                <w:szCs w:val="20"/>
                <w:color w:val="auto"/>
              </w:rPr>
            </w:pPr>
            <w:r>
              <w:rPr>
                <w:rFonts w:ascii="Arial" w:cs="Arial" w:eastAsia="Arial" w:hAnsi="Arial"/>
                <w:sz w:val="16"/>
                <w:szCs w:val="16"/>
                <w:color w:val="auto"/>
                <w:w w:val="90"/>
              </w:rPr>
              <w:t>(642)</w:t>
            </w:r>
          </w:p>
        </w:tc>
      </w:tr>
      <w:tr>
        <w:trPr>
          <w:trHeight w:val="209"/>
        </w:trPr>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Domestic</w:t>
            </w: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603"/>
              <w:spacing w:after="0"/>
              <w:rPr>
                <w:sz w:val="20"/>
                <w:szCs w:val="20"/>
                <w:color w:val="auto"/>
              </w:rPr>
            </w:pPr>
            <w:r>
              <w:rPr>
                <w:rFonts w:ascii="Arial" w:cs="Arial" w:eastAsia="Arial" w:hAnsi="Arial"/>
                <w:sz w:val="16"/>
                <w:szCs w:val="16"/>
                <w:color w:val="auto"/>
                <w:w w:val="89"/>
              </w:rPr>
              <w:t>355</w:t>
            </w:r>
          </w:p>
        </w:tc>
      </w:tr>
      <w:tr>
        <w:trPr>
          <w:trHeight w:val="230"/>
        </w:trPr>
        <w:tc>
          <w:tcPr>
            <w:tcW w:w="6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Income (loss) before taxes</w:t>
            </w:r>
          </w:p>
        </w:tc>
        <w:tc>
          <w:tcPr>
            <w:tcW w:w="126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center"/>
              <w:ind w:left="583"/>
              <w:spacing w:after="0"/>
              <w:rPr>
                <w:sz w:val="20"/>
                <w:szCs w:val="20"/>
                <w:color w:val="auto"/>
              </w:rPr>
            </w:pPr>
            <w:r>
              <w:rPr>
                <w:rFonts w:ascii="Arial" w:cs="Arial" w:eastAsia="Arial" w:hAnsi="Arial"/>
                <w:sz w:val="16"/>
                <w:szCs w:val="16"/>
                <w:color w:val="auto"/>
                <w:w w:val="90"/>
              </w:rPr>
              <w:t>(287)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 (Benefit)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income tax expense (benefit)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181"/>
        </w:trPr>
        <w:tc>
          <w:tcPr>
            <w:tcW w:w="6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040" w:type="dxa"/>
            <w:vAlign w:val="bottom"/>
          </w:tcPr>
          <w:p>
            <w:pPr>
              <w:ind w:left="460"/>
              <w:spacing w:after="0"/>
              <w:rPr>
                <w:sz w:val="20"/>
                <w:szCs w:val="20"/>
                <w:color w:val="auto"/>
              </w:rPr>
            </w:pPr>
            <w:r>
              <w:rPr>
                <w:rFonts w:ascii="Arial" w:cs="Arial" w:eastAsia="Arial" w:hAnsi="Arial"/>
                <w:sz w:val="16"/>
                <w:szCs w:val="16"/>
                <w:color w:val="auto"/>
              </w:rPr>
              <w:t>Foreign</w:t>
            </w:r>
          </w:p>
        </w:tc>
        <w:tc>
          <w:tcPr>
            <w:tcW w:w="6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6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4"/>
        </w:trPr>
        <w:tc>
          <w:tcPr>
            <w:tcW w:w="6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Domestic - Federal</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6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Domestic - State</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60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190"/>
        </w:trPr>
        <w:tc>
          <w:tcPr>
            <w:tcW w:w="6040" w:type="dxa"/>
            <w:vAlign w:val="bottom"/>
          </w:tcPr>
          <w:p>
            <w:pPr>
              <w:ind w:left="340"/>
              <w:spacing w:after="0"/>
              <w:rPr>
                <w:sz w:val="20"/>
                <w:szCs w:val="20"/>
                <w:color w:val="auto"/>
              </w:rPr>
            </w:pPr>
            <w:r>
              <w:rPr>
                <w:rFonts w:ascii="Arial" w:cs="Arial" w:eastAsia="Arial" w:hAnsi="Arial"/>
                <w:sz w:val="16"/>
                <w:szCs w:val="16"/>
                <w:color w:val="auto"/>
              </w:rPr>
              <w:t>Deferred:</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5"/>
        </w:trPr>
        <w:tc>
          <w:tcPr>
            <w:tcW w:w="6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Foreign</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9"/>
        </w:trPr>
        <w:tc>
          <w:tcPr>
            <w:tcW w:w="6040" w:type="dxa"/>
            <w:vAlign w:val="bottom"/>
          </w:tcPr>
          <w:p>
            <w:pPr>
              <w:ind w:left="460"/>
              <w:spacing w:after="0"/>
              <w:rPr>
                <w:sz w:val="20"/>
                <w:szCs w:val="20"/>
                <w:color w:val="auto"/>
              </w:rPr>
            </w:pPr>
            <w:r>
              <w:rPr>
                <w:rFonts w:ascii="Arial" w:cs="Arial" w:eastAsia="Arial" w:hAnsi="Arial"/>
                <w:sz w:val="16"/>
                <w:szCs w:val="16"/>
                <w:color w:val="auto"/>
              </w:rPr>
              <w:t>Domestic - Federal</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2"/>
        </w:trPr>
        <w:tc>
          <w:tcPr>
            <w:tcW w:w="6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Domestic - State</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5"/>
        </w:trPr>
        <w:tc>
          <w:tcPr>
            <w:tcW w:w="604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23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6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06"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On March 27, 2020, the Coronavirus Aid, Relief, and Economic Security Act (the “CARES Act”) was enacted in response to the COVID-19 pandemic in the U.S. The CARES Act, among other things, allows net operating losses arising in tax years 2018, 2019, and 2020 to be carried back to each of the five preceding taxable years to generate a refund of previously paid income taxes and increases the business interest expense limitation from 30% to 50% of adjusted taxable income for tax years 2019 and 2020. Additionally, countries around the world implemented emergency tax measures to provide relief similar to the CARES Act. The Company at present does not expect that any of the provisions of the CARES Act or the emergency tax measures around the world would result in a material cash benefit.</w:t>
      </w:r>
    </w:p>
    <w:p>
      <w:pPr>
        <w:spacing w:after="0" w:line="222"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On December 27, 2020, the Consolidated Appropriations Act (the “Appropriations Act”) was enacted to fund the federal government through their fiscal year, extend certain expiring tax provisions and provide additional emergency relief to individuals and businesses related to the COVID-19 pandemic in the U.S. The Company at present does not expect any of the provisions of the Appropriations Act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On March 11, 2021, the American Rescue Plan Act of 2021 (the “Rescue Act”) was enacted to provide additional emergency relief to individuals and businesses related to the COVID-19 pandemic in the U.S. The Rescue Act includes certain business-related provisions, which the Company at present does not expect to have a material impact on its Consolidated Financial Statements. The Company continues to monitor and evaluate the regulatory and interpretive guidance related to the CARES Act, the Appropriations Act and the Rescue Act, as well as legislation in other jurisdictions.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Deferred Taxes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Temporary differences and carryforwards, which give rise to a significant portion of deferred tax assets and liabilities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402"/>
              <w:spacing w:after="0"/>
              <w:rPr>
                <w:sz w:val="20"/>
                <w:szCs w:val="20"/>
                <w:color w:val="auto"/>
              </w:rPr>
            </w:pPr>
            <w:r>
              <w:rPr>
                <w:rFonts w:ascii="Arial" w:cs="Arial" w:eastAsia="Arial" w:hAnsi="Arial"/>
                <w:sz w:val="14"/>
                <w:szCs w:val="14"/>
                <w:b w:val="1"/>
                <w:bCs w:val="1"/>
                <w:color w:val="auto"/>
              </w:rPr>
              <w:t>July 3,</w:t>
            </w:r>
          </w:p>
        </w:tc>
      </w:tr>
      <w:tr>
        <w:trPr>
          <w:trHeight w:val="185"/>
        </w:trPr>
        <w:tc>
          <w:tcPr>
            <w:tcW w:w="7740" w:type="dxa"/>
            <w:vAlign w:val="bottom"/>
          </w:tcPr>
          <w:p>
            <w:pPr>
              <w:spacing w:after="0"/>
              <w:rPr>
                <w:sz w:val="16"/>
                <w:szCs w:val="16"/>
                <w:color w:val="auto"/>
              </w:rPr>
            </w:pPr>
          </w:p>
        </w:tc>
        <w:tc>
          <w:tcPr>
            <w:tcW w:w="124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2020</w:t>
            </w:r>
          </w:p>
        </w:tc>
      </w:tr>
      <w:tr>
        <w:trPr>
          <w:trHeight w:val="177"/>
        </w:trPr>
        <w:tc>
          <w:tcPr>
            <w:tcW w:w="7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5"/>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 assets:</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7740" w:type="dxa"/>
            <w:vAlign w:val="bottom"/>
          </w:tcPr>
          <w:p>
            <w:pPr>
              <w:ind w:left="460"/>
              <w:spacing w:after="0"/>
              <w:rPr>
                <w:sz w:val="20"/>
                <w:szCs w:val="20"/>
                <w:color w:val="auto"/>
              </w:rPr>
            </w:pPr>
            <w:r>
              <w:rPr>
                <w:rFonts w:ascii="Arial" w:cs="Arial" w:eastAsia="Arial" w:hAnsi="Arial"/>
                <w:sz w:val="16"/>
                <w:szCs w:val="16"/>
                <w:color w:val="auto"/>
              </w:rPr>
              <w:t>Sales related reserves and accrued expenses not currently deductible</w:t>
            </w:r>
          </w:p>
        </w:tc>
        <w:tc>
          <w:tcPr>
            <w:tcW w:w="12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4"/>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compensation and benefits not currently deductible</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9"/>
        </w:trPr>
        <w:tc>
          <w:tcPr>
            <w:tcW w:w="774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operating loss carryforward</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0"/>
        </w:trPr>
        <w:tc>
          <w:tcPr>
            <w:tcW w:w="7740" w:type="dxa"/>
            <w:vAlign w:val="bottom"/>
          </w:tcPr>
          <w:p>
            <w:pPr>
              <w:ind w:left="460"/>
              <w:spacing w:after="0"/>
              <w:rPr>
                <w:sz w:val="20"/>
                <w:szCs w:val="20"/>
                <w:color w:val="auto"/>
              </w:rPr>
            </w:pPr>
            <w:r>
              <w:rPr>
                <w:rFonts w:ascii="Arial" w:cs="Arial" w:eastAsia="Arial" w:hAnsi="Arial"/>
                <w:sz w:val="16"/>
                <w:szCs w:val="16"/>
                <w:color w:val="auto"/>
              </w:rPr>
              <w:t>Business credit carryforward</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4"/>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Long-lived assets</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0"/>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08"/>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deferred tax assets</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1,248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r>
      <w:tr>
        <w:trPr>
          <w:trHeight w:val="210"/>
        </w:trPr>
        <w:tc>
          <w:tcPr>
            <w:tcW w:w="7740" w:type="dxa"/>
            <w:vAlign w:val="bottom"/>
          </w:tcPr>
          <w:p>
            <w:pPr>
              <w:ind w:left="340"/>
              <w:spacing w:after="0"/>
              <w:rPr>
                <w:sz w:val="20"/>
                <w:szCs w:val="20"/>
                <w:color w:val="auto"/>
              </w:rPr>
            </w:pPr>
            <w:r>
              <w:rPr>
                <w:rFonts w:ascii="Arial" w:cs="Arial" w:eastAsia="Arial" w:hAnsi="Arial"/>
                <w:sz w:val="16"/>
                <w:szCs w:val="16"/>
                <w:color w:val="auto"/>
              </w:rPr>
              <w:t>Deferred tax liabilities:</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Long-lived assets</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0"/>
        </w:trPr>
        <w:tc>
          <w:tcPr>
            <w:tcW w:w="7740" w:type="dxa"/>
            <w:vAlign w:val="bottom"/>
          </w:tcPr>
          <w:p>
            <w:pPr>
              <w:ind w:left="460"/>
              <w:spacing w:after="0"/>
              <w:rPr>
                <w:sz w:val="20"/>
                <w:szCs w:val="20"/>
                <w:color w:val="auto"/>
              </w:rPr>
            </w:pPr>
            <w:r>
              <w:rPr>
                <w:rFonts w:ascii="Arial" w:cs="Arial" w:eastAsia="Arial" w:hAnsi="Arial"/>
                <w:sz w:val="16"/>
                <w:szCs w:val="16"/>
                <w:color w:val="auto"/>
              </w:rPr>
              <w:t>Unremitted earnings of certain non-U.S. entities</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4"/>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deferred tax liabilities</w:t>
            </w:r>
          </w:p>
        </w:tc>
        <w:tc>
          <w:tcPr>
            <w:tcW w:w="1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Valuation allowances</w:t>
            </w:r>
          </w:p>
        </w:tc>
        <w:tc>
          <w:tcPr>
            <w:tcW w:w="1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208"/>
        </w:trPr>
        <w:tc>
          <w:tcPr>
            <w:tcW w:w="7740" w:type="dxa"/>
            <w:vAlign w:val="bottom"/>
          </w:tcPr>
          <w:p>
            <w:pPr>
              <w:ind w:left="340"/>
              <w:spacing w:after="0"/>
              <w:rPr>
                <w:sz w:val="20"/>
                <w:szCs w:val="20"/>
                <w:color w:val="auto"/>
              </w:rPr>
            </w:pPr>
            <w:r>
              <w:rPr>
                <w:rFonts w:ascii="Arial" w:cs="Arial" w:eastAsia="Arial" w:hAnsi="Arial"/>
                <w:sz w:val="16"/>
                <w:szCs w:val="16"/>
                <w:color w:val="auto"/>
              </w:rPr>
              <w:t>Deferred tax assets (liabilities), net</w:t>
            </w:r>
          </w:p>
        </w:tc>
        <w:tc>
          <w:tcPr>
            <w:tcW w:w="124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0"/>
        </w:trPr>
        <w:tc>
          <w:tcPr>
            <w:tcW w:w="7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The net deferred tax asset valuation allowance decreased by $66 million primarily due to an increase in the deferred tax liability for state taxes on the unremitted earnings of certain non-U.S. entities that would be offset by existing business tax credits carryforwards. 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most of its deferred tax assets with the exception of certain loss and credit carryforwards.</w:t>
      </w:r>
    </w:p>
    <w:p>
      <w:pPr>
        <w:spacing w:after="0" w:line="206" w:lineRule="exact"/>
        <w:rPr>
          <w:sz w:val="20"/>
          <w:szCs w:val="20"/>
          <w:color w:val="auto"/>
        </w:rPr>
      </w:pPr>
    </w:p>
    <w:p>
      <w:pPr>
        <w:ind w:right="500" w:firstLine="318"/>
        <w:spacing w:after="0" w:line="294" w:lineRule="auto"/>
        <w:rPr>
          <w:sz w:val="20"/>
          <w:szCs w:val="20"/>
          <w:color w:val="auto"/>
        </w:rPr>
      </w:pPr>
      <w:r>
        <w:rPr>
          <w:rFonts w:ascii="Arial" w:cs="Arial" w:eastAsia="Arial" w:hAnsi="Arial"/>
          <w:sz w:val="17"/>
          <w:szCs w:val="17"/>
          <w:color w:val="auto"/>
        </w:rPr>
        <w:t>The Company is permanently reinvested with respect to certain foreign earnings. There is no unrecognized deferred tax liability associated with the repatriation of these foreign undistributed earnings as it can be achieved without additional federal tax consequences.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Effective Tax Rate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Reconciliation of the U.S. Federal statutory rate to the Company’s effective tax rate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r>
      <w:tr>
        <w:trPr>
          <w:trHeight w:val="211"/>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Federal statutory rate</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740" w:type="dxa"/>
            <w:vAlign w:val="bottom"/>
          </w:tcPr>
          <w:p>
            <w:pPr>
              <w:ind w:left="340"/>
              <w:spacing w:after="0"/>
              <w:rPr>
                <w:sz w:val="20"/>
                <w:szCs w:val="20"/>
                <w:color w:val="auto"/>
              </w:rPr>
            </w:pPr>
            <w:r>
              <w:rPr>
                <w:rFonts w:ascii="Arial" w:cs="Arial" w:eastAsia="Arial" w:hAnsi="Arial"/>
                <w:sz w:val="16"/>
                <w:szCs w:val="16"/>
                <w:color w:val="auto"/>
              </w:rPr>
              <w:t>Tax rate differential on international income</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(443)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(75)</w:t>
            </w:r>
          </w:p>
        </w:tc>
        <w:tc>
          <w:tcPr>
            <w:tcW w:w="320" w:type="dxa"/>
            <w:vAlign w:val="bottom"/>
          </w:tcPr>
          <w:p>
            <w:pPr>
              <w:spacing w:after="0"/>
              <w:rPr>
                <w:sz w:val="18"/>
                <w:szCs w:val="18"/>
                <w:color w:val="auto"/>
              </w:rPr>
            </w:pPr>
          </w:p>
        </w:tc>
      </w:tr>
      <w:tr>
        <w:trPr>
          <w:trHeight w:val="214"/>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effect of U.S. foreign income inclusion</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320" w:type="dxa"/>
            <w:vAlign w:val="bottom"/>
            <w:shd w:val="clear" w:color="auto" w:fill="CCEEFF"/>
          </w:tcPr>
          <w:p>
            <w:pPr>
              <w:spacing w:after="0"/>
              <w:rPr>
                <w:sz w:val="18"/>
                <w:szCs w:val="18"/>
                <w:color w:val="auto"/>
              </w:rPr>
            </w:pPr>
          </w:p>
        </w:tc>
      </w:tr>
      <w:tr>
        <w:trPr>
          <w:trHeight w:val="210"/>
        </w:trPr>
        <w:tc>
          <w:tcPr>
            <w:tcW w:w="5740" w:type="dxa"/>
            <w:vAlign w:val="bottom"/>
          </w:tcPr>
          <w:p>
            <w:pPr>
              <w:ind w:left="340"/>
              <w:spacing w:after="0"/>
              <w:rPr>
                <w:sz w:val="20"/>
                <w:szCs w:val="20"/>
                <w:color w:val="auto"/>
              </w:rPr>
            </w:pPr>
            <w:r>
              <w:rPr>
                <w:rFonts w:ascii="Arial" w:cs="Arial" w:eastAsia="Arial" w:hAnsi="Arial"/>
                <w:sz w:val="16"/>
                <w:szCs w:val="16"/>
                <w:color w:val="auto"/>
              </w:rPr>
              <w:t>Tax effect of U.S. foreign minimum tax</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(235)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8"/>
                <w:szCs w:val="18"/>
                <w:color w:val="auto"/>
              </w:rPr>
            </w:pPr>
          </w:p>
        </w:tc>
      </w:tr>
      <w:tr>
        <w:trPr>
          <w:trHeight w:val="214"/>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effect of U.S. foreign derived intangible income</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18"/>
                <w:szCs w:val="18"/>
                <w:color w:val="auto"/>
              </w:rPr>
            </w:pPr>
          </w:p>
        </w:tc>
      </w:tr>
      <w:tr>
        <w:trPr>
          <w:trHeight w:val="210"/>
        </w:trPr>
        <w:tc>
          <w:tcPr>
            <w:tcW w:w="5740" w:type="dxa"/>
            <w:vAlign w:val="bottom"/>
          </w:tcPr>
          <w:p>
            <w:pPr>
              <w:ind w:left="340"/>
              <w:spacing w:after="0"/>
              <w:rPr>
                <w:sz w:val="20"/>
                <w:szCs w:val="20"/>
                <w:color w:val="auto"/>
              </w:rPr>
            </w:pPr>
            <w:r>
              <w:rPr>
                <w:rFonts w:ascii="Arial" w:cs="Arial" w:eastAsia="Arial" w:hAnsi="Arial"/>
                <w:sz w:val="16"/>
                <w:szCs w:val="16"/>
                <w:color w:val="auto"/>
              </w:rPr>
              <w:t>Tax effect of U.S. non-deductible stock-based compensation</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r>
      <w:tr>
        <w:trPr>
          <w:trHeight w:val="214"/>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effect of U.S. permanent differences</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320" w:type="dxa"/>
            <w:vAlign w:val="bottom"/>
            <w:shd w:val="clear" w:color="auto" w:fill="CCEEFF"/>
          </w:tcPr>
          <w:p>
            <w:pPr>
              <w:spacing w:after="0"/>
              <w:rPr>
                <w:sz w:val="18"/>
                <w:szCs w:val="18"/>
                <w:color w:val="auto"/>
              </w:rPr>
            </w:pPr>
          </w:p>
        </w:tc>
      </w:tr>
      <w:tr>
        <w:trPr>
          <w:trHeight w:val="210"/>
        </w:trPr>
        <w:tc>
          <w:tcPr>
            <w:tcW w:w="5740" w:type="dxa"/>
            <w:vAlign w:val="bottom"/>
          </w:tcPr>
          <w:p>
            <w:pPr>
              <w:ind w:left="340"/>
              <w:spacing w:after="0"/>
              <w:rPr>
                <w:sz w:val="20"/>
                <w:szCs w:val="20"/>
                <w:color w:val="auto"/>
              </w:rPr>
            </w:pPr>
            <w:r>
              <w:rPr>
                <w:rFonts w:ascii="Arial" w:cs="Arial" w:eastAsia="Arial" w:hAnsi="Arial"/>
                <w:sz w:val="16"/>
                <w:szCs w:val="16"/>
                <w:color w:val="auto"/>
              </w:rPr>
              <w:t>Impact of 2017 Act: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One-time mandatory deemed repatriation tax</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(41)</w:t>
            </w:r>
          </w:p>
        </w:tc>
        <w:tc>
          <w:tcPr>
            <w:tcW w:w="320" w:type="dxa"/>
            <w:vAlign w:val="bottom"/>
            <w:shd w:val="clear" w:color="auto" w:fill="CCEEFF"/>
          </w:tcPr>
          <w:p>
            <w:pPr>
              <w:spacing w:after="0"/>
              <w:rPr>
                <w:sz w:val="18"/>
                <w:szCs w:val="18"/>
                <w:color w:val="auto"/>
              </w:rPr>
            </w:pPr>
          </w:p>
        </w:tc>
      </w:tr>
      <w:tr>
        <w:trPr>
          <w:trHeight w:val="209"/>
        </w:trPr>
        <w:tc>
          <w:tcPr>
            <w:tcW w:w="5740" w:type="dxa"/>
            <w:vAlign w:val="bottom"/>
          </w:tcPr>
          <w:p>
            <w:pPr>
              <w:ind w:left="460"/>
              <w:spacing w:after="0"/>
              <w:rPr>
                <w:sz w:val="20"/>
                <w:szCs w:val="20"/>
                <w:color w:val="auto"/>
              </w:rPr>
            </w:pPr>
            <w:r>
              <w:rPr>
                <w:rFonts w:ascii="Arial" w:cs="Arial" w:eastAsia="Arial" w:hAnsi="Arial"/>
                <w:sz w:val="16"/>
                <w:szCs w:val="16"/>
                <w:color w:val="auto"/>
              </w:rPr>
              <w:t>Re-measurement of deferred taxes</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r>
      <w:tr>
        <w:trPr>
          <w:trHeight w:val="215"/>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valuation allowance</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8"/>
                <w:szCs w:val="18"/>
                <w:color w:val="auto"/>
              </w:rPr>
            </w:pPr>
          </w:p>
        </w:tc>
      </w:tr>
      <w:tr>
        <w:trPr>
          <w:trHeight w:val="209"/>
        </w:trPr>
        <w:tc>
          <w:tcPr>
            <w:tcW w:w="5740" w:type="dxa"/>
            <w:vAlign w:val="bottom"/>
          </w:tcPr>
          <w:p>
            <w:pPr>
              <w:ind w:left="340"/>
              <w:spacing w:after="0"/>
              <w:rPr>
                <w:sz w:val="20"/>
                <w:szCs w:val="20"/>
                <w:color w:val="auto"/>
              </w:rPr>
            </w:pPr>
            <w:r>
              <w:rPr>
                <w:rFonts w:ascii="Arial" w:cs="Arial" w:eastAsia="Arial" w:hAnsi="Arial"/>
                <w:sz w:val="16"/>
                <w:szCs w:val="16"/>
                <w:color w:val="auto"/>
              </w:rPr>
              <w:t>Unremitted earnings of certain non-U.S. entities</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(114)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(79)</w:t>
            </w:r>
          </w:p>
        </w:tc>
        <w:tc>
          <w:tcPr>
            <w:tcW w:w="320" w:type="dxa"/>
            <w:vAlign w:val="bottom"/>
          </w:tcPr>
          <w:p>
            <w:pPr>
              <w:spacing w:after="0"/>
              <w:rPr>
                <w:sz w:val="18"/>
                <w:szCs w:val="18"/>
                <w:color w:val="auto"/>
              </w:rPr>
            </w:pPr>
          </w:p>
        </w:tc>
      </w:tr>
      <w:tr>
        <w:trPr>
          <w:trHeight w:val="214"/>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income tax credits</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320" w:type="dxa"/>
            <w:vAlign w:val="bottom"/>
            <w:shd w:val="clear" w:color="auto" w:fill="CCEEFF"/>
          </w:tcPr>
          <w:p>
            <w:pPr>
              <w:spacing w:after="0"/>
              <w:rPr>
                <w:sz w:val="18"/>
                <w:szCs w:val="18"/>
                <w:color w:val="auto"/>
              </w:rPr>
            </w:pPr>
          </w:p>
        </w:tc>
      </w:tr>
      <w:tr>
        <w:trPr>
          <w:trHeight w:val="210"/>
        </w:trPr>
        <w:tc>
          <w:tcPr>
            <w:tcW w:w="5740" w:type="dxa"/>
            <w:vAlign w:val="bottom"/>
          </w:tcPr>
          <w:p>
            <w:pPr>
              <w:ind w:left="340"/>
              <w:spacing w:after="0"/>
              <w:rPr>
                <w:sz w:val="20"/>
                <w:szCs w:val="20"/>
                <w:color w:val="auto"/>
              </w:rPr>
            </w:pPr>
            <w:r>
              <w:rPr>
                <w:rFonts w:ascii="Arial" w:cs="Arial" w:eastAsia="Arial" w:hAnsi="Arial"/>
                <w:sz w:val="16"/>
                <w:szCs w:val="16"/>
                <w:color w:val="auto"/>
              </w:rPr>
              <w:t>R&amp;D tax credits</w:t>
            </w: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147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r>
      <w:tr>
        <w:trPr>
          <w:trHeight w:val="212"/>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4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shd w:val="clear" w:color="auto" w:fill="CCEEFF"/>
          </w:tcPr>
          <w:p>
            <w:pPr>
              <w:spacing w:after="0"/>
              <w:rPr>
                <w:sz w:val="18"/>
                <w:szCs w:val="18"/>
                <w:color w:val="auto"/>
              </w:rPr>
            </w:pPr>
          </w:p>
        </w:tc>
      </w:tr>
      <w:tr>
        <w:trPr>
          <w:trHeight w:val="208"/>
        </w:trPr>
        <w:tc>
          <w:tcPr>
            <w:tcW w:w="5740" w:type="dxa"/>
            <w:vAlign w:val="bottom"/>
          </w:tcPr>
          <w:p>
            <w:pPr>
              <w:ind w:left="340"/>
              <w:spacing w:after="0"/>
              <w:rPr>
                <w:sz w:val="20"/>
                <w:szCs w:val="20"/>
                <w:color w:val="auto"/>
              </w:rPr>
            </w:pPr>
            <w:r>
              <w:rPr>
                <w:rFonts w:ascii="Arial" w:cs="Arial" w:eastAsia="Arial" w:hAnsi="Arial"/>
                <w:sz w:val="16"/>
                <w:szCs w:val="16"/>
                <w:color w:val="auto"/>
              </w:rPr>
              <w:t>Effective tax rate</w:t>
            </w:r>
          </w:p>
        </w:tc>
        <w:tc>
          <w:tcPr>
            <w:tcW w:w="14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 Holidays and Carryforwards</w:t>
      </w:r>
    </w:p>
    <w:p>
      <w:pPr>
        <w:spacing w:after="0" w:line="244" w:lineRule="exact"/>
        <w:rPr>
          <w:sz w:val="20"/>
          <w:szCs w:val="20"/>
          <w:color w:val="auto"/>
        </w:rPr>
      </w:pPr>
    </w:p>
    <w:p>
      <w:pPr>
        <w:jc w:val="both"/>
        <w:ind w:right="260" w:firstLine="318"/>
        <w:spacing w:after="0" w:line="300" w:lineRule="auto"/>
        <w:rPr>
          <w:sz w:val="20"/>
          <w:szCs w:val="20"/>
          <w:color w:val="auto"/>
        </w:rPr>
      </w:pPr>
      <w:r>
        <w:rPr>
          <w:rFonts w:ascii="Arial" w:cs="Arial" w:eastAsia="Arial" w:hAnsi="Arial"/>
          <w:sz w:val="15"/>
          <w:szCs w:val="15"/>
          <w:color w:val="auto"/>
        </w:rPr>
        <w:t>A substantial portion of the Company’s manufacturing operations in Malaysia, the Philippines and Thailand operate under various tax holidays and tax incentive programs which expired or will expire in whole or in part at various dates during fiscal years 2021 through 2031. Certain of the holidays may be extended if specific conditions are met. The net impact of these tax holidays and tax incentives was an increase to the Company’s net earnings by</w:t>
      </w:r>
    </w:p>
    <w:p>
      <w:pPr>
        <w:spacing w:after="0" w:line="1"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$390 million, or $1.26 per diluted share, $464 million, or $1.54 per diluted share, and $393 million, or $1.33 per diluted share, in 2021, 2020, and 2019, respectively.</w:t>
      </w:r>
    </w:p>
    <w:p>
      <w:pPr>
        <w:spacing w:after="0" w:line="218"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As of July 2, 2021, the Company had varying amounts of federal and state NOL/tax credit carryforwards that do not expire or, if not used, expire in various years. Following is a summary of the Company’s federal and state NOL/tax credit carryforwards and the related expiration dates of these NOL/tax credit carryforwards:</w:t>
      </w:r>
    </w:p>
    <w:tbl>
      <w:tblPr>
        <w:tblLayout w:type="fixed"/>
        <w:tblInd w:w="0" w:type="dxa"/>
        <w:tblCellMar>
          <w:top w:w="0" w:type="dxa"/>
          <w:left w:w="0" w:type="dxa"/>
          <w:bottom w:w="0" w:type="dxa"/>
          <w:right w:w="0" w:type="dxa"/>
        </w:tblCellMar>
      </w:tblPr>
      <w:tr>
        <w:trPr>
          <w:trHeight w:val="174"/>
        </w:trPr>
        <w:tc>
          <w:tcPr>
            <w:tcW w:w="550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Jurisdiction</w:t>
            </w:r>
          </w:p>
        </w:tc>
        <w:tc>
          <w:tcPr>
            <w:tcW w:w="2940" w:type="dxa"/>
            <w:vAlign w:val="bottom"/>
          </w:tcPr>
          <w:p>
            <w:pPr>
              <w:spacing w:after="0"/>
              <w:rPr>
                <w:sz w:val="15"/>
                <w:szCs w:val="15"/>
                <w:color w:val="auto"/>
              </w:rPr>
            </w:pPr>
          </w:p>
        </w:tc>
        <w:tc>
          <w:tcPr>
            <w:tcW w:w="138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6"/>
              </w:rPr>
              <w:t>NOL/Tax Credit</w:t>
            </w:r>
          </w:p>
        </w:tc>
        <w:tc>
          <w:tcPr>
            <w:tcW w:w="1420" w:type="dxa"/>
            <w:vAlign w:val="bottom"/>
            <w:vMerge w:val="restart"/>
          </w:tcPr>
          <w:p>
            <w:pPr>
              <w:jc w:val="center"/>
              <w:ind w:left="241"/>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auto"/>
            </w:tcBorders>
            <w:vMerge w:val="continue"/>
          </w:tcPr>
          <w:p>
            <w:pPr>
              <w:spacing w:after="0"/>
              <w:rPr>
                <w:sz w:val="18"/>
                <w:szCs w:val="18"/>
                <w:color w:val="auto"/>
              </w:rPr>
            </w:pPr>
          </w:p>
        </w:tc>
        <w:tc>
          <w:tcPr>
            <w:tcW w:w="42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Carryforward Amount</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w w:val="96"/>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Federal NOL (Pre 2017 Act Generation)</w:t>
            </w:r>
          </w:p>
        </w:tc>
        <w:tc>
          <w:tcPr>
            <w:tcW w:w="2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261"/>
              <w:spacing w:after="0"/>
              <w:rPr>
                <w:sz w:val="20"/>
                <w:szCs w:val="20"/>
                <w:color w:val="auto"/>
              </w:rPr>
            </w:pPr>
            <w:r>
              <w:rPr>
                <w:rFonts w:ascii="Arial" w:cs="Arial" w:eastAsia="Arial" w:hAnsi="Arial"/>
                <w:sz w:val="16"/>
                <w:szCs w:val="16"/>
                <w:color w:val="auto"/>
                <w:w w:val="89"/>
              </w:rPr>
              <w:t>2022 to 2038</w:t>
            </w:r>
          </w:p>
        </w:tc>
        <w:tc>
          <w:tcPr>
            <w:tcW w:w="0" w:type="dxa"/>
            <w:vAlign w:val="bottom"/>
          </w:tcPr>
          <w:p>
            <w:pPr>
              <w:spacing w:after="0"/>
              <w:rPr>
                <w:sz w:val="1"/>
                <w:szCs w:val="1"/>
                <w:color w:val="auto"/>
              </w:rPr>
            </w:pPr>
          </w:p>
        </w:tc>
      </w:tr>
      <w:tr>
        <w:trPr>
          <w:trHeight w:val="209"/>
        </w:trPr>
        <w:tc>
          <w:tcPr>
            <w:tcW w:w="5500" w:type="dxa"/>
            <w:vAlign w:val="bottom"/>
          </w:tcPr>
          <w:p>
            <w:pPr>
              <w:ind w:left="340"/>
              <w:spacing w:after="0"/>
              <w:rPr>
                <w:sz w:val="20"/>
                <w:szCs w:val="20"/>
                <w:color w:val="auto"/>
              </w:rPr>
            </w:pPr>
            <w:r>
              <w:rPr>
                <w:rFonts w:ascii="Arial" w:cs="Arial" w:eastAsia="Arial" w:hAnsi="Arial"/>
                <w:sz w:val="16"/>
                <w:szCs w:val="16"/>
                <w:color w:val="auto"/>
              </w:rPr>
              <w:t>State NOL</w:t>
            </w:r>
          </w:p>
        </w:tc>
        <w:tc>
          <w:tcPr>
            <w:tcW w:w="2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1420" w:type="dxa"/>
            <w:vAlign w:val="bottom"/>
          </w:tcPr>
          <w:p>
            <w:pPr>
              <w:jc w:val="center"/>
              <w:ind w:left="261"/>
              <w:spacing w:after="0"/>
              <w:rPr>
                <w:sz w:val="20"/>
                <w:szCs w:val="20"/>
                <w:color w:val="auto"/>
              </w:rPr>
            </w:pPr>
            <w:r>
              <w:rPr>
                <w:rFonts w:ascii="Arial" w:cs="Arial" w:eastAsia="Arial" w:hAnsi="Arial"/>
                <w:sz w:val="16"/>
                <w:szCs w:val="16"/>
                <w:color w:val="auto"/>
                <w:w w:val="89"/>
              </w:rPr>
              <w:t>2022 to 2038</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Federal tax credits</w:t>
            </w:r>
          </w:p>
        </w:tc>
        <w:tc>
          <w:tcPr>
            <w:tcW w:w="2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261"/>
              <w:spacing w:after="0"/>
              <w:rPr>
                <w:sz w:val="20"/>
                <w:szCs w:val="20"/>
                <w:color w:val="auto"/>
              </w:rPr>
            </w:pPr>
            <w:r>
              <w:rPr>
                <w:rFonts w:ascii="Arial" w:cs="Arial" w:eastAsia="Arial" w:hAnsi="Arial"/>
                <w:sz w:val="16"/>
                <w:szCs w:val="16"/>
                <w:color w:val="auto"/>
                <w:w w:val="89"/>
              </w:rPr>
              <w:t>2022 to 2034</w:t>
            </w:r>
          </w:p>
        </w:tc>
        <w:tc>
          <w:tcPr>
            <w:tcW w:w="0" w:type="dxa"/>
            <w:vAlign w:val="bottom"/>
          </w:tcPr>
          <w:p>
            <w:pPr>
              <w:spacing w:after="0"/>
              <w:rPr>
                <w:sz w:val="1"/>
                <w:szCs w:val="1"/>
                <w:color w:val="auto"/>
              </w:rPr>
            </w:pPr>
          </w:p>
        </w:tc>
      </w:tr>
      <w:tr>
        <w:trPr>
          <w:trHeight w:val="207"/>
        </w:trPr>
        <w:tc>
          <w:tcPr>
            <w:tcW w:w="5500" w:type="dxa"/>
            <w:vAlign w:val="bottom"/>
          </w:tcPr>
          <w:p>
            <w:pPr>
              <w:ind w:left="340"/>
              <w:spacing w:after="0"/>
              <w:rPr>
                <w:sz w:val="20"/>
                <w:szCs w:val="20"/>
                <w:color w:val="auto"/>
              </w:rPr>
            </w:pPr>
            <w:r>
              <w:rPr>
                <w:rFonts w:ascii="Arial" w:cs="Arial" w:eastAsia="Arial" w:hAnsi="Arial"/>
                <w:sz w:val="16"/>
                <w:szCs w:val="16"/>
                <w:color w:val="auto"/>
              </w:rPr>
              <w:t>State tax credits</w:t>
            </w:r>
          </w:p>
        </w:tc>
        <w:tc>
          <w:tcPr>
            <w:tcW w:w="2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1420" w:type="dxa"/>
            <w:vAlign w:val="bottom"/>
          </w:tcPr>
          <w:p>
            <w:pPr>
              <w:jc w:val="center"/>
              <w:ind w:left="261"/>
              <w:spacing w:after="0"/>
              <w:rPr>
                <w:sz w:val="20"/>
                <w:szCs w:val="20"/>
                <w:color w:val="auto"/>
              </w:rPr>
            </w:pPr>
            <w:r>
              <w:rPr>
                <w:rFonts w:ascii="Arial" w:cs="Arial" w:eastAsia="Arial" w:hAnsi="Arial"/>
                <w:sz w:val="16"/>
                <w:szCs w:val="16"/>
                <w:color w:val="auto"/>
                <w:w w:val="93"/>
              </w:rPr>
              <w:t>No expiration</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federal and state NOLs and credits relating to various acquisitions are subject to limitations under Sections 382 and 383 of the Internal Revenue Code. The Company expects the total amount of federal and state NOLs ultimately realized will be reduced as a result of these provisions by $134 million and $245 million, respectively. The Company expects the total amount of federal and state credits ultimately realized will be reduced as a result of these provisions by $27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As of July 2, 2021, the Company had varying amounts of foreign NOL carryforwards that do not expire or, if not used, expire in various years, depending on the country. The major jurisdictions that the Company receives foreign NOL carryforwards and the related amounts and expiration dates of these NOL carryforwards are as follows:</w:t>
      </w:r>
    </w:p>
    <w:tbl>
      <w:tblPr>
        <w:tblLayout w:type="fixed"/>
        <w:tblInd w:w="320" w:type="dxa"/>
        <w:tblCellMar>
          <w:top w:w="0" w:type="dxa"/>
          <w:left w:w="0" w:type="dxa"/>
          <w:bottom w:w="0" w:type="dxa"/>
          <w:right w:w="0" w:type="dxa"/>
        </w:tblCellMar>
      </w:tblPr>
      <w:tr>
        <w:trPr>
          <w:trHeight w:val="148"/>
        </w:trPr>
        <w:tc>
          <w:tcPr>
            <w:tcW w:w="80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Jurisdiction</w:t>
            </w:r>
          </w:p>
        </w:tc>
        <w:tc>
          <w:tcPr>
            <w:tcW w:w="42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NOL Carryforward</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80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Belgium</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 expiratio</w:t>
            </w:r>
          </w:p>
        </w:tc>
        <w:tc>
          <w:tcPr>
            <w:tcW w:w="0" w:type="dxa"/>
            <w:vAlign w:val="bottom"/>
          </w:tcPr>
          <w:p>
            <w:pPr>
              <w:spacing w:after="0"/>
              <w:rPr>
                <w:sz w:val="1"/>
                <w:szCs w:val="1"/>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6"/>
                <w:szCs w:val="16"/>
                <w:color w:val="auto"/>
              </w:rPr>
              <w:t>Japan</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2024 to 203</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Malaysia</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 to 202</w:t>
            </w:r>
          </w:p>
        </w:tc>
        <w:tc>
          <w:tcPr>
            <w:tcW w:w="0" w:type="dxa"/>
            <w:vAlign w:val="bottom"/>
          </w:tcPr>
          <w:p>
            <w:pPr>
              <w:spacing w:after="0"/>
              <w:rPr>
                <w:sz w:val="1"/>
                <w:szCs w:val="1"/>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6"/>
                <w:szCs w:val="16"/>
                <w:color w:val="auto"/>
              </w:rPr>
              <w:t>Spain</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No expiratio</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Netherlands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 to 202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Uncertain Tax Positions</w:t>
      </w:r>
    </w:p>
    <w:p>
      <w:pPr>
        <w:spacing w:after="0" w:line="244"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Consolidated Balance Sheets.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w:t>
      </w:r>
    </w:p>
    <w:p>
      <w:pPr>
        <w:spacing w:after="0" w:line="35"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2019</w:t>
            </w:r>
          </w:p>
        </w:tc>
      </w:tr>
      <w:tr>
        <w:trPr>
          <w:trHeight w:val="181"/>
        </w:trPr>
        <w:tc>
          <w:tcPr>
            <w:tcW w:w="6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5"/>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Unrecognized tax benefit, beginning balance</w:t>
            </w:r>
          </w:p>
        </w:tc>
        <w:tc>
          <w:tcPr>
            <w:tcW w:w="124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w w:val="89"/>
              </w:rPr>
              <w:t>5</w:t>
            </w:r>
          </w:p>
        </w:tc>
      </w:tr>
      <w:tr>
        <w:trPr>
          <w:trHeight w:val="209"/>
        </w:trPr>
        <w:tc>
          <w:tcPr>
            <w:tcW w:w="6060" w:type="dxa"/>
            <w:vAlign w:val="bottom"/>
          </w:tcPr>
          <w:p>
            <w:pPr>
              <w:ind w:left="540"/>
              <w:spacing w:after="0"/>
              <w:rPr>
                <w:sz w:val="20"/>
                <w:szCs w:val="20"/>
                <w:color w:val="auto"/>
              </w:rPr>
            </w:pPr>
            <w:r>
              <w:rPr>
                <w:rFonts w:ascii="Arial" w:cs="Arial" w:eastAsia="Arial" w:hAnsi="Arial"/>
                <w:sz w:val="16"/>
                <w:szCs w:val="16"/>
                <w:color w:val="auto"/>
              </w:rPr>
              <w:t>Gross increases related to current year tax positions</w:t>
            </w:r>
          </w:p>
        </w:tc>
        <w:tc>
          <w:tcPr>
            <w:tcW w:w="12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center"/>
              <w:ind w:left="642"/>
              <w:spacing w:after="0"/>
              <w:rPr>
                <w:sz w:val="20"/>
                <w:szCs w:val="20"/>
                <w:color w:val="auto"/>
              </w:rPr>
            </w:pPr>
            <w:r>
              <w:rPr>
                <w:rFonts w:ascii="Arial" w:cs="Arial" w:eastAsia="Arial" w:hAnsi="Arial"/>
                <w:sz w:val="16"/>
                <w:szCs w:val="16"/>
                <w:color w:val="auto"/>
                <w:w w:val="89"/>
              </w:rPr>
              <w:t>1</w:t>
            </w:r>
          </w:p>
        </w:tc>
      </w:tr>
      <w:tr>
        <w:trPr>
          <w:trHeight w:val="215"/>
        </w:trPr>
        <w:tc>
          <w:tcPr>
            <w:tcW w:w="6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Gross increases related to prior year tax positions</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060" w:type="dxa"/>
            <w:vAlign w:val="bottom"/>
          </w:tcPr>
          <w:p>
            <w:pPr>
              <w:ind w:left="540"/>
              <w:spacing w:after="0"/>
              <w:rPr>
                <w:sz w:val="20"/>
                <w:szCs w:val="20"/>
                <w:color w:val="auto"/>
              </w:rPr>
            </w:pPr>
            <w:r>
              <w:rPr>
                <w:rFonts w:ascii="Arial" w:cs="Arial" w:eastAsia="Arial" w:hAnsi="Arial"/>
                <w:sz w:val="16"/>
                <w:szCs w:val="16"/>
                <w:color w:val="auto"/>
              </w:rPr>
              <w:t>Gross decreases related to prior year tax positions</w:t>
            </w: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center"/>
              <w:ind w:left="622"/>
              <w:spacing w:after="0"/>
              <w:rPr>
                <w:sz w:val="20"/>
                <w:szCs w:val="20"/>
                <w:color w:val="auto"/>
              </w:rPr>
            </w:pPr>
            <w:r>
              <w:rPr>
                <w:rFonts w:ascii="Arial" w:cs="Arial" w:eastAsia="Arial" w:hAnsi="Arial"/>
                <w:sz w:val="16"/>
                <w:szCs w:val="16"/>
                <w:color w:val="auto"/>
              </w:rPr>
              <w:t>(</w:t>
            </w:r>
          </w:p>
        </w:tc>
      </w:tr>
      <w:tr>
        <w:trPr>
          <w:trHeight w:val="214"/>
        </w:trPr>
        <w:tc>
          <w:tcPr>
            <w:tcW w:w="6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Settlements</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060" w:type="dxa"/>
            <w:vAlign w:val="bottom"/>
          </w:tcPr>
          <w:p>
            <w:pPr>
              <w:ind w:left="540"/>
              <w:spacing w:after="0"/>
              <w:rPr>
                <w:sz w:val="20"/>
                <w:szCs w:val="20"/>
                <w:color w:val="auto"/>
              </w:rPr>
            </w:pPr>
            <w:r>
              <w:rPr>
                <w:rFonts w:ascii="Arial" w:cs="Arial" w:eastAsia="Arial" w:hAnsi="Arial"/>
                <w:sz w:val="16"/>
                <w:szCs w:val="16"/>
                <w:color w:val="auto"/>
              </w:rPr>
              <w:t>Lapse of statute of limitations</w:t>
            </w: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center"/>
              <w:ind w:left="642"/>
              <w:spacing w:after="0"/>
              <w:rPr>
                <w:sz w:val="20"/>
                <w:szCs w:val="20"/>
                <w:color w:val="auto"/>
              </w:rPr>
            </w:pPr>
            <w:r>
              <w:rPr>
                <w:rFonts w:ascii="Arial" w:cs="Arial" w:eastAsia="Arial" w:hAnsi="Arial"/>
                <w:sz w:val="16"/>
                <w:szCs w:val="16"/>
                <w:color w:val="auto"/>
                <w:w w:val="74"/>
              </w:rPr>
              <w:t>(</w:t>
            </w:r>
          </w:p>
        </w:tc>
      </w:tr>
      <w:tr>
        <w:trPr>
          <w:trHeight w:val="215"/>
        </w:trPr>
        <w:tc>
          <w:tcPr>
            <w:tcW w:w="6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Acquisitions</w:t>
            </w:r>
          </w:p>
        </w:tc>
        <w:tc>
          <w:tcPr>
            <w:tcW w:w="1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3"/>
        </w:trPr>
        <w:tc>
          <w:tcPr>
            <w:tcW w:w="6060" w:type="dxa"/>
            <w:vAlign w:val="bottom"/>
          </w:tcPr>
          <w:p>
            <w:pPr>
              <w:ind w:left="340"/>
              <w:spacing w:after="0"/>
              <w:rPr>
                <w:sz w:val="20"/>
                <w:szCs w:val="20"/>
                <w:color w:val="auto"/>
              </w:rPr>
            </w:pPr>
            <w:r>
              <w:rPr>
                <w:rFonts w:ascii="Arial" w:cs="Arial" w:eastAsia="Arial" w:hAnsi="Arial"/>
                <w:sz w:val="16"/>
                <w:szCs w:val="16"/>
                <w:color w:val="auto"/>
              </w:rPr>
              <w:t>Unrecognized tax benefit, ending balance</w:t>
            </w:r>
          </w:p>
        </w:tc>
        <w:tc>
          <w:tcPr>
            <w:tcW w:w="124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845"/>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717</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center"/>
              <w:ind w:left="642"/>
              <w:spacing w:after="0"/>
              <w:rPr>
                <w:sz w:val="20"/>
                <w:szCs w:val="20"/>
                <w:color w:val="auto"/>
              </w:rPr>
            </w:pPr>
            <w:r>
              <w:rPr>
                <w:rFonts w:ascii="Arial" w:cs="Arial" w:eastAsia="Arial" w:hAnsi="Arial"/>
                <w:sz w:val="16"/>
                <w:szCs w:val="16"/>
                <w:color w:val="auto"/>
                <w:w w:val="89"/>
              </w:rPr>
              <w:t>6</w:t>
            </w:r>
          </w:p>
        </w:tc>
      </w:tr>
      <w:tr>
        <w:trPr>
          <w:trHeight w:val="22"/>
        </w:trPr>
        <w:tc>
          <w:tcPr>
            <w:tcW w:w="6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60" w:firstLine="318"/>
        <w:spacing w:after="0" w:line="267" w:lineRule="auto"/>
        <w:rPr>
          <w:sz w:val="20"/>
          <w:szCs w:val="20"/>
          <w:color w:val="auto"/>
        </w:rPr>
      </w:pPr>
      <w:r>
        <w:rPr>
          <w:rFonts w:ascii="Arial" w:cs="Arial" w:eastAsia="Arial" w:hAnsi="Arial"/>
          <w:sz w:val="17"/>
          <w:szCs w:val="17"/>
          <w:color w:val="auto"/>
        </w:rPr>
        <w:t>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July 2, 2021, July 3, 2020 and June 28, 2019 was $138 million, $137 million and $123 million, respectively. Included within long-term liabilities in the Consolidated Balance Sheets are the Company’s payables related to unrecognized tax benefits, including accrued interest and penalties, of $750 million, $720 million, and $699 million as of July 2, 2021, July 3, 2020 and June 28, 2019, respectively. The entire balance of the gross unrecognized tax benefits as of July 2, 2021, July 3, 2020 and June 28, 2019, if recognized, would affect the effective tax rate.</w:t>
      </w:r>
    </w:p>
    <w:p>
      <w:pPr>
        <w:spacing w:after="0" w:line="206"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The Company files U.S. Federal, U.S. state and foreign tax returns. For both federal and state tax returns, with few exceptions, the Company is subject to examination for fiscal years 2013 through 2020. The Company is no longer subject to examination by the IRS for periods prior to 2012, although carry forwards generated prior to those periods may still be adjusted upon examination by the IRS or state taxing authority if they either have been or will be used in a subsequent period. In the major foreign jurisdictions where there is no tax holiday, the Company could be subject to examination in China for calendar years 2011 through 2020, in Ireland for calendar year 2015 through fiscal year 2020, in India for fiscal years 2008 through 2020, in Israel for calendar year 2016 through fiscal year 2020 and in Japan for fiscal years 2013 through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6"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right="60" w:firstLine="318"/>
        <w:spacing w:after="0" w:line="304" w:lineRule="auto"/>
        <w:rPr>
          <w:sz w:val="20"/>
          <w:szCs w:val="20"/>
          <w:color w:val="auto"/>
        </w:rPr>
      </w:pPr>
      <w:r>
        <w:rPr>
          <w:rFonts w:ascii="Arial" w:cs="Arial" w:eastAsia="Arial" w:hAnsi="Arial"/>
          <w:sz w:val="15"/>
          <w:szCs w:val="15"/>
          <w:color w:val="auto"/>
        </w:rPr>
        <w:t>As previously disclosed, the IRS issued statutory notices of deficiency with respect to adjustments relating to transfer pricing with the Company’s foreign subsidiaries and intercompany payable balances for fiscal years 2008 through 2009 and fiscal years 2010 through 2012. The Company filed petitions with the U.S. Tax Court with respect to the statutory notices of deficiency for fiscal years 2008 through 2009 and the fiscal years 2010 through 2012. The U.S. Tax Court consolidated the case for fiscal years 2008 through 2009 with the case for fiscal years 2010 through 2012. In May 2020, the IRS filed with the U.S. Tax Court Amendments to Answer to assert penalties totaling $340 million on the proposed adjustments relating to transfer pricing with respect to fiscal years 2008 through 2012. In June 2021, the IRS filed with the U.S. Tax Court Second Amendments to Answer to assert additional adjustments relating to transfer</w:t>
      </w:r>
    </w:p>
    <w:p>
      <w:pPr>
        <w:spacing w:after="0" w:line="1"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pricing with the Company’s foreign subsidiaries for fiscal years 2008 through 2009 and fiscal years 2010 through 2012. The Second Amendments to Answer replace the amounts asserted in the statutory notices of deficiency. With its Second Amendments to Answer, the IRS seeks to increase the Company’s U.S. taxable income by amounts that would result in additional federal income tax liabilities totaling approximately $335 million for fiscal years 2008 through</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2009 and approximately $922 million for fiscal years 2010 through 2012, subject to interest and the IRS’s claim for penalties. In September 2020 and December 2020, the IRS proposed adjustments relating to transfer pricing with the Company’s foreign subsidiaries and intercompany payable balances for fiscal years 2013 through 2015 that, if sustained, would result in additional federal income tax liabilities totaling approximately $343 million for those fiscal years. In March 2021, the IRS asserted penalties totaling $109 million on the proposed adjustments relating to transfer pricing with respect to fiscal years 2013 through 2015. The Company disagrees with the proposed adjustments relating to transfer pricing and related penalties, and continues to believe that its tax positions are properly supported and will vigorously contest the position taken by the IRS. Also in March 2021, the Company and the IRS tentatively reached a basis for resolving the intercompany payable balances matter for all fiscal years at issue and the impact was not material to the Consolidated Financial Statements.</w:t>
      </w:r>
    </w:p>
    <w:p>
      <w:pPr>
        <w:spacing w:after="0" w:line="223"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July 2, 2021,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Net Income (Loss) Per Common Share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0"/>
              </w:rPr>
              <w:t>Year Ended</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20" w:type="dxa"/>
            <w:vAlign w:val="bottom"/>
          </w:tcPr>
          <w:p>
            <w:pPr>
              <w:spacing w:after="0"/>
              <w:rPr>
                <w:sz w:val="15"/>
                <w:szCs w:val="15"/>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6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2"/>
              </w:rPr>
              <w:t>(in millions, except per share data)</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w:t>
            </w:r>
          </w:p>
        </w:tc>
        <w:tc>
          <w:tcPr>
            <w:tcW w:w="124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Weighted average shares outstanding:</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9"/>
        </w:trPr>
        <w:tc>
          <w:tcPr>
            <w:tcW w:w="6020" w:type="dxa"/>
            <w:vAlign w:val="bottom"/>
          </w:tcPr>
          <w:p>
            <w:pPr>
              <w:ind w:left="460"/>
              <w:spacing w:after="0"/>
              <w:rPr>
                <w:sz w:val="20"/>
                <w:szCs w:val="20"/>
                <w:color w:val="auto"/>
              </w:rPr>
            </w:pPr>
            <w:r>
              <w:rPr>
                <w:rFonts w:ascii="Arial" w:cs="Arial" w:eastAsia="Arial" w:hAnsi="Arial"/>
                <w:sz w:val="16"/>
                <w:szCs w:val="16"/>
                <w:color w:val="auto"/>
              </w:rPr>
              <w:t>Employee stock options, RSUs, PSUs and ESPP</w:t>
            </w:r>
          </w:p>
        </w:tc>
        <w:tc>
          <w:tcPr>
            <w:tcW w:w="124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0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Diluted</w:t>
            </w: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Income (loss) per common share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24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20" w:type="dxa"/>
            <w:vAlign w:val="bottom"/>
          </w:tcPr>
          <w:p>
            <w:pPr>
              <w:ind w:left="460"/>
              <w:spacing w:after="0"/>
              <w:rPr>
                <w:sz w:val="20"/>
                <w:szCs w:val="20"/>
                <w:color w:val="auto"/>
              </w:rPr>
            </w:pPr>
            <w:r>
              <w:rPr>
                <w:rFonts w:ascii="Arial" w:cs="Arial" w:eastAsia="Arial" w:hAnsi="Arial"/>
                <w:sz w:val="16"/>
                <w:szCs w:val="16"/>
                <w:color w:val="auto"/>
              </w:rPr>
              <w:t>Diluted</w:t>
            </w:r>
          </w:p>
        </w:tc>
        <w:tc>
          <w:tcPr>
            <w:tcW w:w="124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Anti-dilutive potential common shares excluded</w:t>
            </w:r>
          </w:p>
        </w:tc>
        <w:tc>
          <w:tcPr>
            <w:tcW w:w="1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2021, the Company excluded common shares subject to outstanding equity awards from the calculation of diluted shares because their impact would have been anti-dilutive based on the Company’s average stock price during the period. For 2020 and 2019, the Company recorded net loss, and all shares subject to outstanding equity awards have been excluded for those periods because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Employee Termination, Asset Impairment and Other Charges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recorded the following charges related to employee termination benefits, asset impairment, and other charges: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r>
      <w:tr>
        <w:trPr>
          <w:trHeight w:val="181"/>
        </w:trPr>
        <w:tc>
          <w:tcPr>
            <w:tcW w:w="6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5"/>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Employee termination and other charges:</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6040" w:type="dxa"/>
            <w:vAlign w:val="bottom"/>
          </w:tcPr>
          <w:p>
            <w:pPr>
              <w:ind w:left="460"/>
              <w:spacing w:after="0"/>
              <w:rPr>
                <w:sz w:val="20"/>
                <w:szCs w:val="20"/>
                <w:color w:val="auto"/>
              </w:rPr>
            </w:pPr>
            <w:r>
              <w:rPr>
                <w:rFonts w:ascii="Arial" w:cs="Arial" w:eastAsia="Arial" w:hAnsi="Arial"/>
                <w:sz w:val="16"/>
                <w:szCs w:val="16"/>
                <w:color w:val="auto"/>
              </w:rPr>
              <w:t>Closure of Foreign Manufacturing Facilities</w:t>
            </w:r>
          </w:p>
        </w:tc>
        <w:tc>
          <w:tcPr>
            <w:tcW w:w="1260" w:type="dxa"/>
            <w:vAlign w:val="bottom"/>
          </w:tcPr>
          <w:p>
            <w:pPr>
              <w:jc w:val="right"/>
              <w:ind w:right="763"/>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6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4"/>
        </w:trPr>
        <w:tc>
          <w:tcPr>
            <w:tcW w:w="6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Business Realignment</w:t>
            </w:r>
          </w:p>
        </w:tc>
        <w:tc>
          <w:tcPr>
            <w:tcW w:w="1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ind w:left="41"/>
              <w:spacing w:after="0"/>
              <w:rPr>
                <w:sz w:val="20"/>
                <w:szCs w:val="20"/>
                <w:color w:val="auto"/>
              </w:rPr>
            </w:pPr>
            <w:r>
              <w:rPr>
                <w:rFonts w:ascii="Arial" w:cs="Arial" w:eastAsia="Arial" w:hAnsi="Arial"/>
                <w:sz w:val="16"/>
                <w:szCs w:val="16"/>
                <w:color w:val="auto"/>
                <w:w w:val="89"/>
              </w:rPr>
              <w:t>28</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3"/>
        </w:trPr>
        <w:tc>
          <w:tcPr>
            <w:tcW w:w="6040" w:type="dxa"/>
            <w:vAlign w:val="bottom"/>
          </w:tcPr>
          <w:p>
            <w:pPr>
              <w:ind w:left="540"/>
              <w:spacing w:after="0"/>
              <w:rPr>
                <w:sz w:val="20"/>
                <w:szCs w:val="20"/>
                <w:color w:val="auto"/>
              </w:rPr>
            </w:pPr>
            <w:r>
              <w:rPr>
                <w:rFonts w:ascii="Arial" w:cs="Arial" w:eastAsia="Arial" w:hAnsi="Arial"/>
                <w:sz w:val="16"/>
                <w:szCs w:val="16"/>
                <w:color w:val="auto"/>
              </w:rPr>
              <w:t>Total employee termination and other charges</w:t>
            </w:r>
          </w:p>
        </w:tc>
        <w:tc>
          <w:tcPr>
            <w:tcW w:w="1260" w:type="dxa"/>
            <w:vAlign w:val="bottom"/>
          </w:tcPr>
          <w:p>
            <w:pPr>
              <w:spacing w:after="0"/>
              <w:rPr>
                <w:sz w:val="17"/>
                <w:szCs w:val="17"/>
                <w:color w:val="auto"/>
              </w:rPr>
            </w:pPr>
          </w:p>
        </w:tc>
        <w:tc>
          <w:tcPr>
            <w:tcW w:w="400" w:type="dxa"/>
            <w:vAlign w:val="bottom"/>
          </w:tcPr>
          <w:p>
            <w:pPr>
              <w:jc w:val="center"/>
              <w:ind w:left="41"/>
              <w:spacing w:after="0"/>
              <w:rPr>
                <w:sz w:val="20"/>
                <w:szCs w:val="20"/>
                <w:color w:val="auto"/>
              </w:rPr>
            </w:pPr>
            <w:r>
              <w:rPr>
                <w:rFonts w:ascii="Arial" w:cs="Arial" w:eastAsia="Arial" w:hAnsi="Arial"/>
                <w:sz w:val="16"/>
                <w:szCs w:val="16"/>
                <w:color w:val="auto"/>
                <w:w w:val="89"/>
              </w:rPr>
              <w:t>28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5"/>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disposition of assets:</w:t>
            </w: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6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Business Realignment</w:t>
            </w:r>
          </w:p>
        </w:tc>
        <w:tc>
          <w:tcPr>
            <w:tcW w:w="1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91"/>
              </w:rPr>
              <w:t>(75)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gain on disposition of assets</w:t>
            </w:r>
          </w:p>
        </w:tc>
        <w:tc>
          <w:tcPr>
            <w:tcW w:w="12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ind w:left="21"/>
              <w:spacing w:after="0"/>
              <w:rPr>
                <w:sz w:val="20"/>
                <w:szCs w:val="20"/>
                <w:color w:val="auto"/>
              </w:rPr>
            </w:pPr>
            <w:r>
              <w:rPr>
                <w:rFonts w:ascii="Arial" w:cs="Arial" w:eastAsia="Arial" w:hAnsi="Arial"/>
                <w:sz w:val="16"/>
                <w:szCs w:val="16"/>
                <w:color w:val="auto"/>
                <w:w w:val="91"/>
              </w:rPr>
              <w:t>(75)</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040" w:type="dxa"/>
            <w:vAlign w:val="bottom"/>
          </w:tcPr>
          <w:p>
            <w:pPr>
              <w:ind w:left="660"/>
              <w:spacing w:after="0"/>
              <w:rPr>
                <w:sz w:val="20"/>
                <w:szCs w:val="20"/>
                <w:color w:val="auto"/>
              </w:rPr>
            </w:pPr>
            <w:r>
              <w:rPr>
                <w:rFonts w:ascii="Arial" w:cs="Arial" w:eastAsia="Arial" w:hAnsi="Arial"/>
                <w:sz w:val="16"/>
                <w:szCs w:val="16"/>
                <w:color w:val="auto"/>
              </w:rPr>
              <w:t>Total employee termination, asset impairment, and other charges</w:t>
            </w:r>
          </w:p>
        </w:tc>
        <w:tc>
          <w:tcPr>
            <w:tcW w:w="126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91"/>
              </w:rPr>
              <w:t>(47)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0"/>
        </w:trPr>
        <w:tc>
          <w:tcPr>
            <w:tcW w:w="6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44" w:lineRule="exact"/>
        <w:rPr>
          <w:sz w:val="20"/>
          <w:szCs w:val="20"/>
          <w:color w:val="auto"/>
        </w:rPr>
      </w:pPr>
    </w:p>
    <w:p>
      <w:pPr>
        <w:ind w:right="320" w:firstLine="318"/>
        <w:spacing w:after="0" w:line="294" w:lineRule="auto"/>
        <w:rPr>
          <w:sz w:val="20"/>
          <w:szCs w:val="20"/>
          <w:color w:val="auto"/>
        </w:rPr>
      </w:pPr>
      <w:r>
        <w:rPr>
          <w:rFonts w:ascii="Arial" w:cs="Arial" w:eastAsia="Arial" w:hAnsi="Arial"/>
          <w:sz w:val="17"/>
          <w:szCs w:val="17"/>
          <w:color w:val="auto"/>
        </w:rPr>
        <w:t>In July 2018, the Company announced the closing of its HDD manufacturing facility in Kuala Lumpur, Malaysia, in order to reduce its manufacturing costs and consolidate HDD operations into Thailand. The Company substantially completed the closure in fiscal year 2019.</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Realignment</w:t>
      </w:r>
    </w:p>
    <w:p>
      <w:pPr>
        <w:spacing w:after="0" w:line="24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The Company may also record credits related to gains upon sale of property in connection with these activities. The Company recognized gains related to the disposition of assets associated with these activities $75 million and $17 million for 2021 and 2020, respectively.</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an analysis of the components of the activity against the reserve during the year ended July 2,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Employee Termination</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Contract Termination</w:t>
            </w:r>
          </w:p>
        </w:tc>
        <w:tc>
          <w:tcPr>
            <w:tcW w:w="320" w:type="dxa"/>
            <w:vAlign w:val="bottom"/>
          </w:tcPr>
          <w:p>
            <w:pPr>
              <w:spacing w:after="0"/>
              <w:rPr>
                <w:sz w:val="14"/>
                <w:szCs w:val="14"/>
                <w:color w:val="auto"/>
              </w:rPr>
            </w:pPr>
          </w:p>
        </w:tc>
        <w:tc>
          <w:tcPr>
            <w:tcW w:w="110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3, 2020</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6700" w:type="dxa"/>
            <w:vAlign w:val="bottom"/>
          </w:tcPr>
          <w:p>
            <w:pPr>
              <w:ind w:left="140"/>
              <w:spacing w:after="0"/>
              <w:rPr>
                <w:sz w:val="20"/>
                <w:szCs w:val="20"/>
                <w:color w:val="auto"/>
              </w:rPr>
            </w:pPr>
            <w:r>
              <w:rPr>
                <w:rFonts w:ascii="Arial" w:cs="Arial" w:eastAsia="Arial" w:hAnsi="Arial"/>
                <w:sz w:val="16"/>
                <w:szCs w:val="16"/>
                <w:color w:val="auto"/>
              </w:rPr>
              <w:t>Charges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8"/>
        </w:trPr>
        <w:tc>
          <w:tcPr>
            <w:tcW w:w="6700" w:type="dxa"/>
            <w:vAlign w:val="bottom"/>
          </w:tcPr>
          <w:p>
            <w:pPr>
              <w:ind w:left="20"/>
              <w:spacing w:after="0"/>
              <w:rPr>
                <w:sz w:val="20"/>
                <w:szCs w:val="20"/>
                <w:color w:val="auto"/>
              </w:rPr>
            </w:pPr>
            <w:r>
              <w:rPr>
                <w:rFonts w:ascii="Arial" w:cs="Arial" w:eastAsia="Arial" w:hAnsi="Arial"/>
                <w:sz w:val="16"/>
                <w:szCs w:val="16"/>
                <w:color w:val="auto"/>
              </w:rPr>
              <w:t>Accrual balance at July 2, 2021</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Legal Proceedings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w:t>
      </w:r>
    </w:p>
    <w:p>
      <w:pPr>
        <w:spacing w:after="0" w:line="24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petitions filed by the Company with the U.S. Tax Court in September 2018 and March 2019, additional penalties asserted by the IRS in March 2021 and a tentative resolution with respect to certain matters, see Note 14, </w:t>
      </w:r>
      <w:r>
        <w:rPr>
          <w:rFonts w:ascii="Arial" w:cs="Arial" w:eastAsia="Arial" w:hAnsi="Arial"/>
          <w:sz w:val="18"/>
          <w:szCs w:val="18"/>
          <w:i w:val="1"/>
          <w:iCs w:val="1"/>
          <w:color w:val="auto"/>
        </w:rPr>
        <w:t>Income Tax Expense.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Matters</w:t>
      </w:r>
    </w:p>
    <w:p>
      <w:pPr>
        <w:spacing w:after="0" w:line="24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4" w:lineRule="exact"/>
        <w:rPr>
          <w:sz w:val="20"/>
          <w:szCs w:val="20"/>
          <w:color w:val="auto"/>
        </w:rPr>
      </w:pPr>
    </w:p>
    <w:p>
      <w:pPr>
        <w:ind w:right="60" w:firstLine="318"/>
        <w:spacing w:after="0" w:line="215" w:lineRule="exact"/>
        <w:rPr>
          <w:sz w:val="20"/>
          <w:szCs w:val="20"/>
          <w:color w:val="auto"/>
        </w:rPr>
      </w:pPr>
      <w:r>
        <w:rPr>
          <w:rFonts w:ascii="Arial" w:cs="Arial" w:eastAsia="Arial" w:hAnsi="Arial"/>
          <w:sz w:val="18"/>
          <w:szCs w:val="18"/>
          <w:color w:val="auto"/>
        </w:rPr>
        <w:t>As required by Rule 13a</w:t>
      </w:r>
      <w:r>
        <w:rPr>
          <w:rFonts w:ascii="MS PGothic" w:cs="MS PGothic" w:eastAsia="MS PGothic" w:hAnsi="MS PGothic"/>
          <w:sz w:val="18"/>
          <w:szCs w:val="18"/>
          <w:color w:val="auto"/>
        </w:rPr>
        <w:t>‑</w:t>
      </w:r>
      <w:r>
        <w:rPr>
          <w:rFonts w:ascii="Arial" w:cs="Arial" w:eastAsia="Arial" w:hAnsi="Arial"/>
          <w:sz w:val="18"/>
          <w:szCs w:val="18"/>
          <w:color w:val="auto"/>
        </w:rPr>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8" w:lineRule="exact"/>
        <w:rPr>
          <w:sz w:val="20"/>
          <w:szCs w:val="20"/>
          <w:color w:val="auto"/>
        </w:rPr>
      </w:pPr>
    </w:p>
    <w:p>
      <w:pPr>
        <w:ind w:right="380" w:firstLine="318"/>
        <w:spacing w:after="0" w:line="218" w:lineRule="exact"/>
        <w:rPr>
          <w:sz w:val="20"/>
          <w:szCs w:val="20"/>
          <w:color w:val="auto"/>
        </w:rPr>
      </w:pPr>
      <w:r>
        <w:rPr>
          <w:rFonts w:ascii="Arial" w:cs="Arial" w:eastAsia="Arial" w:hAnsi="Arial"/>
          <w:sz w:val="18"/>
          <w:szCs w:val="18"/>
          <w:color w:val="auto"/>
        </w:rPr>
        <w:t>Based on that evaluation, our Chief Executive Officer and Chief Financial Officer concluded that,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disclosure controls and procedures were effective.</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44" w:lineRule="exact"/>
        <w:rPr>
          <w:sz w:val="20"/>
          <w:szCs w:val="20"/>
          <w:color w:val="auto"/>
        </w:rPr>
      </w:pPr>
    </w:p>
    <w:p>
      <w:pPr>
        <w:ind w:right="80" w:firstLine="318"/>
        <w:spacing w:after="0" w:line="215" w:lineRule="exact"/>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w:t>
      </w:r>
      <w:r>
        <w:rPr>
          <w:rFonts w:ascii="MS PGothic" w:cs="MS PGothic" w:eastAsia="MS PGothic" w:hAnsi="MS PGothic"/>
          <w:sz w:val="15"/>
          <w:szCs w:val="15"/>
          <w:color w:val="auto"/>
        </w:rPr>
        <w:t>‑</w:t>
      </w:r>
      <w:r>
        <w:rPr>
          <w:rFonts w:ascii="Arial" w:cs="Arial" w:eastAsia="Arial" w:hAnsi="Arial"/>
          <w:sz w:val="15"/>
          <w:szCs w:val="15"/>
          <w:color w:val="auto"/>
        </w:rPr>
        <w:t>15(f) and 15d</w:t>
      </w:r>
      <w:r>
        <w:rPr>
          <w:rFonts w:ascii="MS PGothic" w:cs="MS PGothic" w:eastAsia="MS PGothic" w:hAnsi="MS PGothic"/>
          <w:sz w:val="15"/>
          <w:szCs w:val="15"/>
          <w:color w:val="auto"/>
        </w:rPr>
        <w:t>‑</w:t>
      </w:r>
      <w:r>
        <w:rPr>
          <w:rFonts w:ascii="Arial" w:cs="Arial" w:eastAsia="Arial" w:hAnsi="Arial"/>
          <w:sz w:val="15"/>
          <w:szCs w:val="15"/>
          <w:color w:val="auto"/>
        </w:rPr>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w:t>
      </w:r>
    </w:p>
    <w:p>
      <w:pPr>
        <w:spacing w:after="0" w:line="3" w:lineRule="exact"/>
        <w:rPr>
          <w:sz w:val="20"/>
          <w:szCs w:val="20"/>
          <w:color w:val="auto"/>
        </w:rPr>
      </w:pPr>
    </w:p>
    <w:p>
      <w:pPr>
        <w:jc w:val="both"/>
        <w:ind w:right="300" w:firstLine="6"/>
        <w:spacing w:after="0" w:line="24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223" w:lineRule="exact"/>
        <w:rPr>
          <w:sz w:val="20"/>
          <w:szCs w:val="20"/>
          <w:color w:val="auto"/>
        </w:rPr>
      </w:pPr>
    </w:p>
    <w:p>
      <w:pPr>
        <w:ind w:right="120" w:firstLine="318"/>
        <w:spacing w:after="0" w:line="215" w:lineRule="exact"/>
        <w:rPr>
          <w:sz w:val="20"/>
          <w:szCs w:val="20"/>
          <w:color w:val="auto"/>
        </w:rPr>
      </w:pPr>
      <w:r>
        <w:rPr>
          <w:rFonts w:ascii="Arial" w:cs="Arial" w:eastAsia="Arial" w:hAnsi="Arial"/>
          <w:sz w:val="15"/>
          <w:szCs w:val="15"/>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Based on this evaluation, our management concluded that our internal control over financial reporting was effective as of the end of the period covered by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4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during the fourth fiscal quarter ended July 2, 2021, that has materially affected, or is reasonably likely to materially affect, our internal control over financial reporting.</w:t>
      </w:r>
    </w:p>
    <w:p>
      <w:pPr>
        <w:spacing w:after="0" w:line="20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the third quarter of fiscal 2021, we substantially completed the initial implementation of our enterprise resource planning system on a worldwide basis. These system changes resulted in the modification of certain processes and controls, but no changes materially affected, or are reasonably likely to materially affect, our internal control over financial reporting. Going forward, we expect to make routine enhancements and modifications in the normal course of business. In addition, as noted previously, we are implementing new reporting modules and processes to provide more discrete information to support our new organizational structure. As we implement these enhancements and modifications in future periods, we will continue to assess the impact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Inherent Limitations of Effectiveness of Controls</w:t>
      </w:r>
    </w:p>
    <w:p>
      <w:pPr>
        <w:spacing w:after="0" w:line="24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25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On August 23, 2021, we entered into a Separation and General Release Agreement with Lori Sundberg, Executive Vice President and Chief Human Resources Officer (the “Separation Agreement”). Ms. Sundberg has agreed to continue in an advisory capacity through October 1, 2021 to assist with the transition of her duties and responsibilities. Pursuant to the Separation Agreement, Ms. Sundberg will receive the Tier I severance benefits to which she is entitled pursuant to the terms and conditions of our Amended and Restated Executive Severance Plan, the material terms of which have been previously disclosed and a copy of which is filed as Exhibit 10.7 to this Annual Report on Form 10-K (the “Separation Benefits”). Ms. Sundberg’s receipt of the Separation Benefits is subject to her non-revocation of a general release of claims included in the Separation Agreement and compliance with the terms of the Separation Agreement, including certain non-solicitation and cooperation provisions.</w:t>
      </w:r>
    </w:p>
    <w:p>
      <w:pPr>
        <w:spacing w:after="0" w:line="2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There is incorporated herein by reference the information required by this Item included in the Company’s Proxy Statement for the 2021 Annual Meeting of Stockholders, which will be filed with the SEC no later than 120 days after the close of the fiscal year ended July 2, 2021.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2021 Annual Meeting of Stockholders, which will be filed with the SEC no later than 120 days after the close of the fiscal year ended July 2, 2021.</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2021 Annual Meeting of Stockholders, which will be filed with the SEC no later than 120 days after the close of the fiscal year ended July 2, 2021.</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2021 Annual Meeting of Stockholders, which will be filed with the SEC no later than 120 days after the close of the fiscal year ended July 2, 2021.</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2021 Annual Meeting of Stockholders, which will be filed with the SEC no later than 120 days after the close of the fiscal year ended July 2,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0" w:lineRule="exact"/>
        <w:rPr>
          <w:sz w:val="20"/>
          <w:szCs w:val="20"/>
          <w:color w:val="auto"/>
        </w:rPr>
      </w:pPr>
    </w:p>
    <w:p>
      <w:pPr>
        <w:ind w:left="320"/>
        <w:spacing w:after="0" w:line="207" w:lineRule="exact"/>
        <w:rPr>
          <w:sz w:val="20"/>
          <w:szCs w:val="20"/>
          <w:color w:val="auto"/>
        </w:rPr>
      </w:pPr>
      <w:r>
        <w:rPr>
          <w:rFonts w:ascii="Arial" w:cs="Arial" w:eastAsia="Arial" w:hAnsi="Arial"/>
          <w:sz w:val="18"/>
          <w:szCs w:val="18"/>
          <w:color w:val="auto"/>
        </w:rPr>
        <w:t>The following documents are filed as a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44" w:lineRule="exact"/>
        <w:rPr>
          <w:sz w:val="20"/>
          <w:szCs w:val="20"/>
          <w:color w:val="auto"/>
        </w:rPr>
      </w:pPr>
    </w:p>
    <w:p>
      <w:pPr>
        <w:ind w:left="640" w:hanging="316"/>
        <w:spacing w:after="0" w:line="173" w:lineRule="exact"/>
        <w:tabs>
          <w:tab w:leader="none" w:pos="64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Statements. </w:t>
      </w:r>
      <w:r>
        <w:rPr>
          <w:rFonts w:ascii="Arial" w:cs="Arial" w:eastAsia="Arial" w:hAnsi="Arial"/>
          <w:sz w:val="15"/>
          <w:szCs w:val="15"/>
          <w:color w:val="auto"/>
        </w:rPr>
        <w:t>The financial statements included in Part II, Item 8 of this document are filed as part of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w:t>
      </w:r>
    </w:p>
    <w:p>
      <w:pPr>
        <w:spacing w:after="0" w:line="278" w:lineRule="exact"/>
        <w:rPr>
          <w:rFonts w:ascii="Arial" w:cs="Arial" w:eastAsia="Arial" w:hAnsi="Arial"/>
          <w:sz w:val="15"/>
          <w:szCs w:val="15"/>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43" w:lineRule="exact"/>
        <w:rPr>
          <w:rFonts w:ascii="Arial" w:cs="Arial" w:eastAsia="Arial" w:hAnsi="Arial"/>
          <w:sz w:val="18"/>
          <w:szCs w:val="18"/>
          <w:color w:val="auto"/>
        </w:rPr>
      </w:pPr>
    </w:p>
    <w:p>
      <w:pPr>
        <w:ind w:left="640" w:right="540"/>
        <w:spacing w:after="0" w:line="264" w:lineRule="auto"/>
        <w:rPr>
          <w:rFonts w:ascii="Arial" w:cs="Arial" w:eastAsia="Arial" w:hAnsi="Arial"/>
          <w:sz w:val="18"/>
          <w:szCs w:val="18"/>
          <w:color w:val="auto"/>
        </w:rPr>
      </w:pPr>
      <w:r>
        <w:rPr>
          <w:rFonts w:ascii="Arial" w:cs="Arial" w:eastAsia="Arial" w:hAnsi="Arial"/>
          <w:sz w:val="18"/>
          <w:szCs w:val="18"/>
          <w:color w:val="auto"/>
        </w:rPr>
        <w:t>All schedules are omitted as the required information is immaterial, inapplicable or the information is presented in the Consolidated Financial Statements or related Notes.</w:t>
      </w:r>
    </w:p>
    <w:p>
      <w:pPr>
        <w:spacing w:after="0" w:line="207" w:lineRule="exact"/>
        <w:rPr>
          <w:rFonts w:ascii="Arial" w:cs="Arial" w:eastAsia="Arial" w:hAnsi="Arial"/>
          <w:sz w:val="18"/>
          <w:szCs w:val="18"/>
          <w:color w:val="auto"/>
        </w:rPr>
      </w:pPr>
    </w:p>
    <w:p>
      <w:pPr>
        <w:ind w:left="640" w:hanging="316"/>
        <w:spacing w:after="0" w:line="213" w:lineRule="exact"/>
        <w:tabs>
          <w:tab w:leader="none" w:pos="634"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Exhibits. </w:t>
      </w:r>
      <w:r>
        <w:rPr>
          <w:rFonts w:ascii="Arial" w:cs="Arial" w:eastAsia="Arial" w:hAnsi="Arial"/>
          <w:sz w:val="15"/>
          <w:szCs w:val="15"/>
          <w:color w:val="auto"/>
        </w:rPr>
        <w:t>The exhibits listed in the Exhibit Index below are filed with, or incorporated by reference in,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as specified</w:t>
      </w:r>
      <w:r>
        <w:rPr>
          <w:rFonts w:ascii="Arial" w:cs="Arial" w:eastAsia="Arial" w:hAnsi="Arial"/>
          <w:sz w:val="15"/>
          <w:szCs w:val="15"/>
          <w:i w:val="1"/>
          <w:iCs w:val="1"/>
          <w:color w:val="auto"/>
        </w:rPr>
        <w:t xml:space="preserve"> </w:t>
      </w:r>
      <w:r>
        <w:rPr>
          <w:rFonts w:ascii="Arial" w:cs="Arial" w:eastAsia="Arial" w:hAnsi="Arial"/>
          <w:sz w:val="15"/>
          <w:szCs w:val="15"/>
          <w:color w:val="auto"/>
        </w:rPr>
        <w:t>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9980" w:type="dxa"/>
            <w:vAlign w:val="bottom"/>
            <w:gridSpan w:val="2"/>
          </w:tcPr>
          <w:p>
            <w:pPr>
              <w:ind w:left="3620"/>
              <w:spacing w:after="0"/>
              <w:rPr>
                <w:sz w:val="20"/>
                <w:szCs w:val="20"/>
                <w:color w:val="auto"/>
              </w:rPr>
            </w:pPr>
            <w:r>
              <w:rPr>
                <w:rFonts w:ascii="Arial" w:cs="Arial" w:eastAsia="Arial" w:hAnsi="Arial"/>
                <w:sz w:val="19"/>
                <w:szCs w:val="19"/>
                <w:b w:val="1"/>
                <w:bCs w:val="1"/>
                <w:color w:val="auto"/>
              </w:rPr>
              <w:t>EXHIBIT INDEX</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5"/>
            <w:vMerge w:val="continue"/>
          </w:tcPr>
          <w:p>
            <w:pPr>
              <w:spacing w:after="0"/>
              <w:rPr>
                <w:sz w:val="11"/>
                <w:szCs w:val="11"/>
                <w:color w:val="auto"/>
              </w:rPr>
            </w:pPr>
          </w:p>
        </w:tc>
        <w:tc>
          <w:tcPr>
            <w:tcW w:w="9980" w:type="dxa"/>
            <w:vAlign w:val="bottom"/>
            <w:gridSpan w:val="2"/>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780" w:type="dxa"/>
            <w:vAlign w:val="bottom"/>
            <w:tcBorders>
              <w:top w:val="single" w:sz="8" w:color="auto"/>
              <w:right w:val="single" w:sz="8" w:color="CCEEFF"/>
            </w:tcBorders>
            <w:gridSpan w:val="4"/>
            <w:shd w:val="clear" w:color="auto" w:fill="CCEEFF"/>
          </w:tcPr>
          <w:p>
            <w:pPr>
              <w:jc w:val="center"/>
              <w:ind w:left="221"/>
              <w:spacing w:after="0" w:line="166" w:lineRule="exact"/>
              <w:rPr>
                <w:rFonts w:ascii="Arial" w:cs="Arial" w:eastAsia="Arial" w:hAnsi="Arial"/>
                <w:sz w:val="16"/>
                <w:szCs w:val="16"/>
                <w:color w:val="0000FF"/>
                <w:w w:val="89"/>
              </w:rPr>
            </w:pPr>
            <w:hyperlink r:id="rId120">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6"/>
                <w:szCs w:val="16"/>
                <w:color w:val="auto"/>
                <w:w w:val="92"/>
              </w:rPr>
              <w:t>Amended and Restated Certificate of Incorporation of Western Digital Corporation, as amended to date (Filed as Exhibit 3.1 to the Company’s Quarterly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0000FF"/>
              <w:righ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Report on Form 10-Q (File No. 1-08703) with the Securities and Exchange Commission on February 8, 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20" w:type="dxa"/>
            <w:vAlign w:val="bottom"/>
            <w:gridSpan w:val="5"/>
          </w:tcPr>
          <w:p>
            <w:pPr>
              <w:jc w:val="center"/>
              <w:ind w:left="261"/>
              <w:spacing w:after="0" w:line="172" w:lineRule="exact"/>
              <w:rPr>
                <w:rFonts w:ascii="Arial" w:cs="Arial" w:eastAsia="Arial" w:hAnsi="Arial"/>
                <w:sz w:val="16"/>
                <w:szCs w:val="16"/>
                <w:color w:val="0000FF"/>
                <w:w w:val="89"/>
              </w:rPr>
            </w:pPr>
            <w:hyperlink r:id="rId12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72" w:lineRule="exact"/>
              <w:rPr>
                <w:sz w:val="20"/>
                <w:szCs w:val="20"/>
                <w:color w:val="auto"/>
              </w:rPr>
            </w:pPr>
            <w:r>
              <w:rPr>
                <w:rFonts w:ascii="Arial" w:cs="Arial" w:eastAsia="Arial" w:hAnsi="Arial"/>
                <w:sz w:val="16"/>
                <w:szCs w:val="16"/>
                <w:color w:val="auto"/>
                <w:w w:val="93"/>
              </w:rPr>
              <w:t>Amended and Restated By-Laws of Western Digital Corporation, as amended effective as of February 10, 2021 (Filed as Exhibit 3.1 to the Company’s</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9" w:lineRule="exact"/>
              <w:rPr>
                <w:sz w:val="20"/>
                <w:szCs w:val="20"/>
                <w:color w:val="auto"/>
              </w:rPr>
            </w:pPr>
            <w:r>
              <w:rPr>
                <w:rFonts w:ascii="Arial" w:cs="Arial" w:eastAsia="Arial" w:hAnsi="Arial"/>
                <w:sz w:val="16"/>
                <w:szCs w:val="16"/>
                <w:color w:val="auto"/>
              </w:rPr>
              <w:t>Current Report on Form 8-K (File No. 1-08703) with the Securities and Exchange Commission on February 12, 2021)</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40" w:type="dxa"/>
            <w:vAlign w:val="bottom"/>
            <w:tcBorders>
              <w:right w:val="single" w:sz="8" w:color="CCEEFF"/>
            </w:tcBorders>
            <w:gridSpan w:val="3"/>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jc w:val="center"/>
              <w:ind w:right="61"/>
              <w:spacing w:after="0" w:line="172" w:lineRule="exact"/>
              <w:rPr>
                <w:rFonts w:ascii="Arial" w:cs="Arial" w:eastAsia="Arial" w:hAnsi="Arial"/>
                <w:sz w:val="16"/>
                <w:szCs w:val="16"/>
                <w:color w:val="0000FF"/>
                <w:w w:val="89"/>
              </w:rPr>
            </w:pPr>
            <w:hyperlink w:anchor="page110">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Description of Western Digital Corporation’s Capital Stock†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9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440" w:type="dxa"/>
            <w:vAlign w:val="bottom"/>
            <w:gridSpan w:val="3"/>
          </w:tcPr>
          <w:p>
            <w:pPr>
              <w:spacing w:after="0"/>
              <w:rPr>
                <w:sz w:val="14"/>
                <w:szCs w:val="14"/>
                <w:color w:val="auto"/>
              </w:rPr>
            </w:pPr>
          </w:p>
        </w:tc>
        <w:tc>
          <w:tcPr>
            <w:tcW w:w="340" w:type="dxa"/>
            <w:vAlign w:val="bottom"/>
          </w:tcPr>
          <w:p>
            <w:pPr>
              <w:jc w:val="center"/>
              <w:ind w:right="61"/>
              <w:spacing w:after="0" w:line="172" w:lineRule="exact"/>
              <w:rPr>
                <w:rFonts w:ascii="Arial" w:cs="Arial" w:eastAsia="Arial" w:hAnsi="Arial"/>
                <w:sz w:val="16"/>
                <w:szCs w:val="16"/>
                <w:color w:val="0000FF"/>
                <w:w w:val="89"/>
              </w:rPr>
            </w:pPr>
            <w:hyperlink r:id="rId12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2</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72" w:lineRule="exact"/>
              <w:rPr>
                <w:sz w:val="20"/>
                <w:szCs w:val="20"/>
                <w:color w:val="auto"/>
              </w:rPr>
            </w:pPr>
            <w:r>
              <w:rPr>
                <w:rFonts w:ascii="Arial" w:cs="Arial" w:eastAsia="Arial" w:hAnsi="Arial"/>
                <w:sz w:val="16"/>
                <w:szCs w:val="16"/>
                <w:color w:val="auto"/>
                <w:w w:val="91"/>
              </w:rPr>
              <w:t>Indenture (including Form of 4.750% Senior Notes due 2026), dated as of February 13, 2018, among Western Digital Corporation; HGST, Inc., WD Media,</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LLC, Western Digital (Fremont), LLC and Western Digital Technologies, Inc., as guarantors; and U.S. Bank National Association, as trustee (Filed as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w w:val="93"/>
              </w:rPr>
              <w:t>Exhibit 4.1 to the Company’s Current Report on Form 8-K (File No. 333-222762) with the Securities and Exchange Commission on February 13, 2018)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Borders>
              <w:right w:val="single" w:sz="8" w:color="CCEEFF"/>
            </w:tcBorders>
            <w:gridSpan w:val="4"/>
            <w:shd w:val="clear" w:color="auto" w:fill="CCEEFF"/>
          </w:tcPr>
          <w:p>
            <w:pPr>
              <w:jc w:val="center"/>
              <w:ind w:left="221"/>
              <w:spacing w:after="0" w:line="175" w:lineRule="exact"/>
              <w:rPr>
                <w:rFonts w:ascii="Arial" w:cs="Arial" w:eastAsia="Arial" w:hAnsi="Arial"/>
                <w:sz w:val="16"/>
                <w:szCs w:val="16"/>
                <w:color w:val="0000FF"/>
                <w:w w:val="89"/>
              </w:rPr>
            </w:pPr>
            <w:hyperlink r:id="rId123">
              <w:r>
                <w:rPr>
                  <w:rFonts w:ascii="Arial" w:cs="Arial" w:eastAsia="Arial" w:hAnsi="Arial"/>
                  <w:sz w:val="16"/>
                  <w:szCs w:val="16"/>
                  <w:color w:val="0000FF"/>
                  <w:w w:val="89"/>
                </w:rPr>
                <w:t>4.</w:t>
              </w:r>
              <w:r>
                <w:rPr>
                  <w:rFonts w:ascii="Arial" w:cs="Arial" w:eastAsia="Arial" w:hAnsi="Arial"/>
                  <w:sz w:val="16"/>
                  <w:szCs w:val="16"/>
                  <w:u w:val="single" w:color="auto"/>
                  <w:color w:val="0000FF"/>
                  <w:w w:val="89"/>
                </w:rPr>
                <w:t>3</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1"/>
              </w:rPr>
              <w:t>Indenture (including Form of 1.50% Convertible Senior Notes due 2024), dated as of February 13, 2018, among Western Digital Corporation; HGST, Inc.,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WD Media, LLC, Western Digital (Fremont), LLC and Western Digital Technologies, Inc., as guarantors; and U.S. Bank National Association, as trustee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1"/>
              </w:rPr>
              <w:t>(Filed as Exhibit 4.2 to the Company’s Current Report on Form 8-K (File No. 333-222762) with the Securities and Exchange Commission on February 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20" w:type="dxa"/>
            <w:vAlign w:val="bottom"/>
            <w:gridSpan w:val="5"/>
          </w:tcPr>
          <w:p>
            <w:pPr>
              <w:jc w:val="center"/>
              <w:ind w:left="261"/>
              <w:spacing w:after="0" w:line="172" w:lineRule="exact"/>
              <w:rPr>
                <w:rFonts w:ascii="Arial" w:cs="Arial" w:eastAsia="Arial" w:hAnsi="Arial"/>
                <w:sz w:val="16"/>
                <w:szCs w:val="16"/>
                <w:color w:val="0000FF"/>
                <w:w w:val="89"/>
              </w:rPr>
            </w:pPr>
            <w:hyperlink r:id="rId12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72" w:lineRule="exact"/>
              <w:rPr>
                <w:sz w:val="20"/>
                <w:szCs w:val="20"/>
                <w:color w:val="auto"/>
              </w:rPr>
            </w:pPr>
            <w:r>
              <w:rPr>
                <w:rFonts w:ascii="Arial" w:cs="Arial" w:eastAsia="Arial" w:hAnsi="Arial"/>
                <w:sz w:val="16"/>
                <w:szCs w:val="16"/>
                <w:color w:val="auto"/>
                <w:w w:val="90"/>
              </w:rPr>
              <w:t>Western Digital Corporation Amended and Restated 2017 Performance Incentive Plan, amended and restated as of August 11, 2020 (Filed as Exhibit 10.1</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79" w:lineRule="exact"/>
              <w:rPr>
                <w:sz w:val="20"/>
                <w:szCs w:val="20"/>
                <w:color w:val="auto"/>
              </w:rPr>
            </w:pPr>
            <w:r>
              <w:rPr>
                <w:rFonts w:ascii="Arial" w:cs="Arial" w:eastAsia="Arial" w:hAnsi="Arial"/>
                <w:sz w:val="16"/>
                <w:szCs w:val="16"/>
                <w:color w:val="auto"/>
              </w:rPr>
              <w:t>to the Company’s Quarterly Report on Form 10-Q (File No. 1-08703) with the Securities and Exchange Commission on February 9, 2021)*</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780" w:type="dxa"/>
            <w:vAlign w:val="bottom"/>
            <w:tcBorders>
              <w:right w:val="single" w:sz="8" w:color="CCEEFF"/>
            </w:tcBorders>
            <w:gridSpan w:val="4"/>
            <w:shd w:val="clear" w:color="auto" w:fill="CCEEFF"/>
          </w:tcPr>
          <w:p>
            <w:pPr>
              <w:jc w:val="center"/>
              <w:ind w:left="241"/>
              <w:spacing w:after="0" w:line="172" w:lineRule="exact"/>
              <w:rPr>
                <w:rFonts w:ascii="Arial" w:cs="Arial" w:eastAsia="Arial" w:hAnsi="Arial"/>
                <w:sz w:val="16"/>
                <w:szCs w:val="16"/>
                <w:color w:val="0000FF"/>
                <w:w w:val="85"/>
              </w:rPr>
            </w:pPr>
            <w:hyperlink r:id="rId125">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1.1</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w w:val="96"/>
              </w:rPr>
              <w:t>Form of Notice of Grant of Stock Option and Option Agreement - Executives, under the Western Digital Corporation Amended and Restated 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right w:val="single" w:sz="8" w:color="CCEEFF"/>
            </w:tcBorders>
            <w:shd w:val="clear" w:color="auto" w:fill="CCEEFF"/>
          </w:tcPr>
          <w:p>
            <w:pPr>
              <w:spacing w:after="0"/>
              <w:rPr>
                <w:sz w:val="13"/>
                <w:szCs w:val="13"/>
                <w:color w:val="auto"/>
              </w:rPr>
            </w:pPr>
          </w:p>
        </w:tc>
        <w:tc>
          <w:tcPr>
            <w:tcW w:w="340" w:type="dxa"/>
            <w:vAlign w:val="bottom"/>
            <w:tcBorders>
              <w:top w:val="single" w:sz="8" w:color="0000FF"/>
              <w:right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w w:val="94"/>
              </w:rPr>
              <w:t>Performance Incentive Plan (now named the Western Digital Corporation 2017 Performance Incentive Plan) (Filed as Exhibit 10.2 to the Company’s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Quarterly Report on Form 10-Q (File No. 1-08703) with the Securities and Exchange Commission on October 28, 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0" w:type="dxa"/>
            <w:vAlign w:val="bottom"/>
            <w:gridSpan w:val="5"/>
          </w:tcPr>
          <w:p>
            <w:pPr>
              <w:jc w:val="center"/>
              <w:ind w:left="281"/>
              <w:spacing w:after="0" w:line="172" w:lineRule="exact"/>
              <w:rPr>
                <w:rFonts w:ascii="Arial" w:cs="Arial" w:eastAsia="Arial" w:hAnsi="Arial"/>
                <w:sz w:val="16"/>
                <w:szCs w:val="16"/>
                <w:color w:val="0000FF"/>
                <w:w w:val="85"/>
              </w:rPr>
            </w:pPr>
            <w:hyperlink r:id="rId126">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1.2</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72" w:lineRule="exact"/>
              <w:rPr>
                <w:sz w:val="20"/>
                <w:szCs w:val="20"/>
                <w:color w:val="auto"/>
              </w:rPr>
            </w:pPr>
            <w:r>
              <w:rPr>
                <w:rFonts w:ascii="Arial" w:cs="Arial" w:eastAsia="Arial" w:hAnsi="Arial"/>
                <w:sz w:val="16"/>
                <w:szCs w:val="16"/>
                <w:color w:val="auto"/>
                <w:w w:val="91"/>
              </w:rPr>
              <w:t>Form of Notice of Grant of Stock Units and Stock Unit Award Agreement - Executives, under the Western Digital Corporation 2017 Performance Incentive</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Plan (Filed as Exhibit 10.1.3 to the Company’s Quarterly Report on Form 10-Q (File No. 1-08703) with the Securities and Exchange Commission on</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February 6, 2018)*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Borders>
              <w:right w:val="single" w:sz="8" w:color="CCEEFF"/>
            </w:tcBorders>
            <w:gridSpan w:val="4"/>
            <w:shd w:val="clear" w:color="auto" w:fill="CCEEFF"/>
          </w:tcPr>
          <w:p>
            <w:pPr>
              <w:jc w:val="center"/>
              <w:ind w:left="241"/>
              <w:spacing w:after="0" w:line="175" w:lineRule="exact"/>
              <w:rPr>
                <w:rFonts w:ascii="Arial" w:cs="Arial" w:eastAsia="Arial" w:hAnsi="Arial"/>
                <w:sz w:val="16"/>
                <w:szCs w:val="16"/>
                <w:color w:val="0000FF"/>
                <w:w w:val="85"/>
              </w:rPr>
            </w:pPr>
            <w:hyperlink r:id="rId127">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1.3</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2"/>
              </w:rPr>
              <w:t>Form of Notice of Grant of Stock Units and Stock Unit Award Agreement, under the Western Digital Corporation 2017 Performance Incentive Plan (Filed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as Exhibit 10.1.4 to the Company’s Quarterly Report on Form 10-Q (File No. 1-08703) with the Securities and Exchange Commission on February 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20" w:type="dxa"/>
            <w:vAlign w:val="bottom"/>
            <w:gridSpan w:val="5"/>
          </w:tcPr>
          <w:p>
            <w:pPr>
              <w:jc w:val="center"/>
              <w:ind w:left="281"/>
              <w:spacing w:after="0" w:line="172" w:lineRule="exact"/>
              <w:rPr>
                <w:rFonts w:ascii="Arial" w:cs="Arial" w:eastAsia="Arial" w:hAnsi="Arial"/>
                <w:sz w:val="16"/>
                <w:szCs w:val="16"/>
                <w:color w:val="0000FF"/>
                <w:w w:val="85"/>
              </w:rPr>
            </w:pPr>
            <w:hyperlink r:id="rId128">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1.4</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72" w:lineRule="exact"/>
              <w:rPr>
                <w:sz w:val="20"/>
                <w:szCs w:val="20"/>
                <w:color w:val="auto"/>
              </w:rPr>
            </w:pPr>
            <w:r>
              <w:rPr>
                <w:rFonts w:ascii="Arial" w:cs="Arial" w:eastAsia="Arial" w:hAnsi="Arial"/>
                <w:sz w:val="16"/>
                <w:szCs w:val="16"/>
                <w:color w:val="auto"/>
                <w:w w:val="95"/>
              </w:rPr>
              <w:t>Form of Notice of Grant of Performance Stock Units and Performance Stock Unit Award Agreement - Financial Measures, under the Western Digital</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80" w:type="dxa"/>
            <w:vAlign w:val="bottom"/>
            <w:gridSpan w:val="2"/>
          </w:tcPr>
          <w:p>
            <w:pPr>
              <w:ind w:left="20"/>
              <w:spacing w:after="0" w:line="155" w:lineRule="exact"/>
              <w:rPr>
                <w:sz w:val="20"/>
                <w:szCs w:val="20"/>
                <w:color w:val="auto"/>
              </w:rPr>
            </w:pPr>
            <w:r>
              <w:rPr>
                <w:rFonts w:ascii="Arial" w:cs="Arial" w:eastAsia="Arial" w:hAnsi="Arial"/>
                <w:sz w:val="16"/>
                <w:szCs w:val="16"/>
                <w:color w:val="auto"/>
                <w:w w:val="96"/>
              </w:rPr>
              <w:t>Corporation 2017 Performance Incentive Plan (Filed as Exhibit 10.1 to the Company’s Quarterly Report on Form 10-Q (File No. 1-08703) with the</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Securities and Exchange Commission on November 6, 2018)*</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80" w:type="dxa"/>
            <w:vAlign w:val="bottom"/>
            <w:tcBorders>
              <w:right w:val="single" w:sz="8" w:color="CCEEFF"/>
            </w:tcBorders>
            <w:gridSpan w:val="4"/>
            <w:shd w:val="clear" w:color="auto" w:fill="CCEEFF"/>
          </w:tcPr>
          <w:p>
            <w:pPr>
              <w:jc w:val="center"/>
              <w:ind w:left="241"/>
              <w:spacing w:after="0" w:line="181" w:lineRule="exact"/>
              <w:rPr>
                <w:rFonts w:ascii="Arial" w:cs="Arial" w:eastAsia="Arial" w:hAnsi="Arial"/>
                <w:sz w:val="16"/>
                <w:szCs w:val="16"/>
                <w:color w:val="0000FF"/>
                <w:w w:val="85"/>
              </w:rPr>
            </w:pPr>
            <w:hyperlink r:id="rId129">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1.5</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w w:val="98"/>
              </w:rPr>
              <w:t>Form of Notice of Grant of Performance Stock Units and Performance Stock Unit Award Agreement - TSR Measure, under the Western Digital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Corporation 2017 Performance Incentive Plan (Filed as Exhibit 10.2 to the Company’s Quarterly Report on Form 10-Q (File No. 1-08703) with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November 6,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20" w:type="dxa"/>
            <w:vAlign w:val="bottom"/>
            <w:gridSpan w:val="5"/>
          </w:tcPr>
          <w:p>
            <w:pPr>
              <w:jc w:val="center"/>
              <w:ind w:left="281"/>
              <w:spacing w:after="0" w:line="172" w:lineRule="exact"/>
              <w:rPr>
                <w:rFonts w:ascii="Arial" w:cs="Arial" w:eastAsia="Arial" w:hAnsi="Arial"/>
                <w:sz w:val="16"/>
                <w:szCs w:val="16"/>
                <w:color w:val="0000FF"/>
                <w:w w:val="85"/>
              </w:rPr>
            </w:pPr>
            <w:hyperlink r:id="rId130">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1.6</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72" w:lineRule="exact"/>
              <w:rPr>
                <w:sz w:val="20"/>
                <w:szCs w:val="20"/>
                <w:color w:val="auto"/>
              </w:rPr>
            </w:pPr>
            <w:r>
              <w:rPr>
                <w:rFonts w:ascii="Arial" w:cs="Arial" w:eastAsia="Arial" w:hAnsi="Arial"/>
                <w:sz w:val="16"/>
                <w:szCs w:val="16"/>
                <w:color w:val="auto"/>
                <w:w w:val="95"/>
              </w:rPr>
              <w:t>Form of Notice of Grant of Performance Stock Units and Performance Stock Unit Award Agreement - Financial Measures, under the Western Digital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Corporation 2017 Performance Incentive Plan (Filed as Exhibit 10.1 to the Company’s Quarterly Report on Form 10-Q (File No. 1-08703) with the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Securities and Exchange Commission on November 12, 2019)*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Borders>
              <w:right w:val="single" w:sz="8" w:color="CCEEFF"/>
            </w:tcBorders>
            <w:gridSpan w:val="4"/>
            <w:shd w:val="clear" w:color="auto" w:fill="CCEEFF"/>
          </w:tcPr>
          <w:p>
            <w:pPr>
              <w:jc w:val="center"/>
              <w:ind w:left="241"/>
              <w:spacing w:after="0" w:line="175" w:lineRule="exact"/>
              <w:rPr>
                <w:rFonts w:ascii="Arial" w:cs="Arial" w:eastAsia="Arial" w:hAnsi="Arial"/>
                <w:sz w:val="16"/>
                <w:szCs w:val="16"/>
                <w:color w:val="0000FF"/>
                <w:w w:val="85"/>
              </w:rPr>
            </w:pPr>
            <w:hyperlink r:id="rId131">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1.7</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8"/>
              </w:rPr>
              <w:t>Form of Notice of Grant of Performance Stock Units and Performance Stock Unit Award Agreement - TSR Measure, under the Western Digital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Corporation 2017 Performance Incentive Plan (Filed as Exhibit 10.2 to the Company’s Quarterly Report on Form 10-Q (File No. 1-08703) with the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November 12,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20" w:type="dxa"/>
            <w:vAlign w:val="bottom"/>
            <w:gridSpan w:val="5"/>
          </w:tcPr>
          <w:p>
            <w:pPr>
              <w:jc w:val="center"/>
              <w:ind w:left="281"/>
              <w:spacing w:after="0" w:line="172" w:lineRule="exact"/>
              <w:rPr>
                <w:rFonts w:ascii="Arial" w:cs="Arial" w:eastAsia="Arial" w:hAnsi="Arial"/>
                <w:sz w:val="16"/>
                <w:szCs w:val="16"/>
                <w:color w:val="0000FF"/>
                <w:w w:val="85"/>
              </w:rPr>
            </w:pPr>
            <w:hyperlink r:id="rId132">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1.8</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72" w:lineRule="exact"/>
              <w:rPr>
                <w:sz w:val="20"/>
                <w:szCs w:val="20"/>
                <w:color w:val="auto"/>
              </w:rPr>
            </w:pPr>
            <w:r>
              <w:rPr>
                <w:rFonts w:ascii="Arial" w:cs="Arial" w:eastAsia="Arial" w:hAnsi="Arial"/>
                <w:sz w:val="16"/>
                <w:szCs w:val="16"/>
                <w:color w:val="auto"/>
                <w:w w:val="96"/>
              </w:rPr>
              <w:t>Form of Notice of Grant of Performance Stock Units and Performance Stock Unit Award Agreement – Financial Measure, under the Amended and</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Restated Western Digital Corporation 2017 Performance Incentive Plan (Filed as Exhibit 10.2 to the Company’s Quarterly Report on Form 10-Q (File No.</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rPr>
              <w:t>1-08703) with the Securities and Exchange Commission on February 9, 2021)*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Borders>
              <w:right w:val="single" w:sz="8" w:color="CCEEFF"/>
            </w:tcBorders>
            <w:gridSpan w:val="4"/>
            <w:shd w:val="clear" w:color="auto" w:fill="CCEEFF"/>
          </w:tcPr>
          <w:p>
            <w:pPr>
              <w:jc w:val="center"/>
              <w:ind w:left="241"/>
              <w:spacing w:after="0" w:line="175" w:lineRule="exact"/>
              <w:rPr>
                <w:rFonts w:ascii="Arial" w:cs="Arial" w:eastAsia="Arial" w:hAnsi="Arial"/>
                <w:sz w:val="16"/>
                <w:szCs w:val="16"/>
                <w:color w:val="0000FF"/>
                <w:w w:val="85"/>
              </w:rPr>
            </w:pPr>
            <w:hyperlink r:id="rId132">
              <w:r>
                <w:rPr>
                  <w:rFonts w:ascii="Arial" w:cs="Arial" w:eastAsia="Arial" w:hAnsi="Arial"/>
                  <w:sz w:val="16"/>
                  <w:szCs w:val="16"/>
                  <w:color w:val="0000FF"/>
                  <w:w w:val="85"/>
                </w:rPr>
                <w:t>10.</w:t>
              </w:r>
              <w:r>
                <w:rPr>
                  <w:rFonts w:ascii="Arial" w:cs="Arial" w:eastAsia="Arial" w:hAnsi="Arial"/>
                  <w:sz w:val="16"/>
                  <w:szCs w:val="16"/>
                  <w:u w:val="single" w:color="auto"/>
                  <w:color w:val="0000FF"/>
                  <w:w w:val="85"/>
                </w:rPr>
                <w:t>1.9</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2"/>
              </w:rPr>
              <w:t>Form of Notice of Grant of Performance Stock Units and Performance Stock Unit Award Agreement – TSR Measure, under the Amended and 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Western Digital Corporation 2017 Performance Incentive Plan (Filed as Exhibit 10.2 to the Company’s Quarterly Report on Form 10-Q (File No. 1-08703)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the Securities and Exchange Commission on February 9,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20" w:type="dxa"/>
            <w:vAlign w:val="bottom"/>
            <w:gridSpan w:val="5"/>
          </w:tcPr>
          <w:p>
            <w:pPr>
              <w:jc w:val="center"/>
              <w:ind w:left="281"/>
              <w:spacing w:after="0" w:line="172" w:lineRule="exact"/>
              <w:rPr>
                <w:rFonts w:ascii="Arial" w:cs="Arial" w:eastAsia="Arial" w:hAnsi="Arial"/>
                <w:sz w:val="16"/>
                <w:szCs w:val="16"/>
                <w:color w:val="0000FF"/>
                <w:w w:val="86"/>
              </w:rPr>
            </w:pPr>
            <w:hyperlink r:id="rId133">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1.10</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72" w:lineRule="exact"/>
              <w:rPr>
                <w:sz w:val="20"/>
                <w:szCs w:val="20"/>
                <w:color w:val="auto"/>
              </w:rPr>
            </w:pPr>
            <w:r>
              <w:rPr>
                <w:rFonts w:ascii="Arial" w:cs="Arial" w:eastAsia="Arial" w:hAnsi="Arial"/>
                <w:sz w:val="16"/>
                <w:szCs w:val="16"/>
                <w:color w:val="auto"/>
                <w:w w:val="92"/>
              </w:rPr>
              <w:t>Form of Notice of Grant of Stock Option and Option Agreement - Executives, as amended on November 3, 2015, under the Western Digital Corporation</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Amended and Restated 2004 Performance Incentive Plan (now named the Western Digital Corporation 2017 Performance Incentive Plan) (Filed as Exhibit</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
          </w:tcPr>
          <w:p>
            <w:pPr>
              <w:ind w:left="20"/>
              <w:spacing w:after="0"/>
              <w:rPr>
                <w:sz w:val="20"/>
                <w:szCs w:val="20"/>
                <w:color w:val="auto"/>
              </w:rPr>
            </w:pPr>
            <w:r>
              <w:rPr>
                <w:rFonts w:ascii="Arial" w:cs="Arial" w:eastAsia="Arial" w:hAnsi="Arial"/>
                <w:sz w:val="16"/>
                <w:szCs w:val="16"/>
                <w:color w:val="auto"/>
                <w:w w:val="95"/>
              </w:rPr>
              <w:t>10.1.1 to the Company’s Quarterly Report on Form 10-Q (File No. 1-08703) with the Securities and Exchange Commission on February 10, 2016)*</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Borders>
              <w:right w:val="single" w:sz="8" w:color="CCEEFF"/>
            </w:tcBorders>
            <w:gridSpan w:val="4"/>
            <w:shd w:val="clear" w:color="auto" w:fill="CCEEFF"/>
          </w:tcPr>
          <w:p>
            <w:pPr>
              <w:jc w:val="center"/>
              <w:ind w:left="241"/>
              <w:spacing w:after="0" w:line="175" w:lineRule="exact"/>
              <w:rPr>
                <w:rFonts w:ascii="Arial" w:cs="Arial" w:eastAsia="Arial" w:hAnsi="Arial"/>
                <w:sz w:val="16"/>
                <w:szCs w:val="16"/>
                <w:color w:val="0000FF"/>
                <w:w w:val="86"/>
              </w:rPr>
            </w:pPr>
            <w:hyperlink r:id="rId134">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1.11</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5"/>
              </w:rPr>
              <w:t>Form of Notice of Grant of Stock Units and Stock Unit Award Agreement, as amended on November 3, 2015, under the Western Digital Corporation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0000FF"/>
              <w:righ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Amended and Restated 2004 Performance Incentive Plan (now named the Western Digital Corporation 2017 Performance Incentive Plan) (Filed as Exhibit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10.1.4 to the Company’s Quarterly Report on Form 10-Q (File No. 1-08703) with the Securities and Exchange Commission on February 10,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7"/>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60" w:type="dxa"/>
            <w:vAlign w:val="bottom"/>
          </w:tcPr>
          <w:p>
            <w:pPr>
              <w:ind w:left="424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9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 w:type="dxa"/>
            <w:vAlign w:val="bottom"/>
            <w:tcBorders>
              <w:top w:val="single" w:sz="8" w:color="auto"/>
            </w:tcBorders>
            <w:gridSpan w:val="4"/>
          </w:tcPr>
          <w:p>
            <w:pPr>
              <w:jc w:val="center"/>
              <w:ind w:left="241"/>
              <w:spacing w:after="0" w:line="166" w:lineRule="exact"/>
              <w:rPr>
                <w:rFonts w:ascii="Arial" w:cs="Arial" w:eastAsia="Arial" w:hAnsi="Arial"/>
                <w:sz w:val="16"/>
                <w:szCs w:val="16"/>
                <w:color w:val="0000FF"/>
                <w:w w:val="86"/>
              </w:rPr>
            </w:pPr>
            <w:hyperlink r:id="rId137">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1.12</w:t>
              </w:r>
            </w:hyperlink>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Borders>
              <w:top w:val="single" w:sz="8" w:color="auto"/>
            </w:tcBorders>
          </w:tcPr>
          <w:p>
            <w:pPr>
              <w:ind w:left="20"/>
              <w:spacing w:after="0" w:line="166" w:lineRule="exact"/>
              <w:rPr>
                <w:sz w:val="20"/>
                <w:szCs w:val="20"/>
                <w:color w:val="auto"/>
              </w:rPr>
            </w:pPr>
            <w:r>
              <w:rPr>
                <w:rFonts w:ascii="Arial" w:cs="Arial" w:eastAsia="Arial" w:hAnsi="Arial"/>
                <w:sz w:val="16"/>
                <w:szCs w:val="16"/>
                <w:color w:val="auto"/>
                <w:w w:val="93"/>
              </w:rPr>
              <w:t>Western Digital Corporation 2017 Performance Incentive Plan Non-Employee Director Restricted Stock Unit Grant Program, as amended November 1,</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2017 (Filed as Exhibit 10.2 to the Company’s Quarterly Report on Form 10-Q (File No. 1-08703) with the Securities and Exchange Commission on</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February 6, 2018)*</w:t>
            </w:r>
          </w:p>
        </w:tc>
        <w:tc>
          <w:tcPr>
            <w:tcW w:w="0" w:type="dxa"/>
            <w:vAlign w:val="bottom"/>
          </w:tcPr>
          <w:p>
            <w:pPr>
              <w:spacing w:after="0"/>
              <w:rPr>
                <w:sz w:val="1"/>
                <w:szCs w:val="1"/>
                <w:color w:val="auto"/>
              </w:rPr>
            </w:pPr>
          </w:p>
        </w:tc>
      </w:tr>
      <w:tr>
        <w:trPr>
          <w:trHeight w:val="175"/>
        </w:trPr>
        <w:tc>
          <w:tcPr>
            <w:tcW w:w="780" w:type="dxa"/>
            <w:vAlign w:val="bottom"/>
            <w:gridSpan w:val="4"/>
            <w:shd w:val="clear" w:color="auto" w:fill="CCEEFF"/>
          </w:tcPr>
          <w:p>
            <w:pPr>
              <w:jc w:val="center"/>
              <w:ind w:left="241"/>
              <w:spacing w:after="0" w:line="175" w:lineRule="exact"/>
              <w:rPr>
                <w:rFonts w:ascii="Arial" w:cs="Arial" w:eastAsia="Arial" w:hAnsi="Arial"/>
                <w:sz w:val="16"/>
                <w:szCs w:val="16"/>
                <w:color w:val="0000FF"/>
                <w:w w:val="86"/>
              </w:rPr>
            </w:pPr>
            <w:hyperlink r:id="rId138">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1.13</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4"/>
              </w:rPr>
              <w:t>Form of Notice of Grant of Restricted Stock Units and Restricted Stock Unit Award Agreement - Vice President and Above under the Western Digital</w:t>
            </w:r>
          </w:p>
        </w:tc>
        <w:tc>
          <w:tcPr>
            <w:tcW w:w="0" w:type="dxa"/>
            <w:vAlign w:val="bottom"/>
          </w:tcPr>
          <w:p>
            <w:pPr>
              <w:spacing w:after="0"/>
              <w:rPr>
                <w:sz w:val="1"/>
                <w:szCs w:val="1"/>
                <w:color w:val="auto"/>
              </w:rPr>
            </w:pPr>
          </w:p>
        </w:tc>
      </w:tr>
      <w:tr>
        <w:trPr>
          <w:trHeight w:val="129"/>
        </w:trPr>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lef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Corporation 2017 Performance Incentive Plan (Filed as Exhibit 10.3 to the Company’s Quarterly Report on Form 10-Q (File No. 1-08703) with the</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November 6, 2018)*</w:t>
            </w:r>
          </w:p>
        </w:tc>
        <w:tc>
          <w:tcPr>
            <w:tcW w:w="0" w:type="dxa"/>
            <w:vAlign w:val="bottom"/>
          </w:tcPr>
          <w:p>
            <w:pPr>
              <w:spacing w:after="0"/>
              <w:rPr>
                <w:sz w:val="1"/>
                <w:szCs w:val="1"/>
                <w:color w:val="auto"/>
              </w:rPr>
            </w:pPr>
          </w:p>
        </w:tc>
      </w:tr>
      <w:tr>
        <w:trPr>
          <w:trHeight w:val="172"/>
        </w:trPr>
        <w:tc>
          <w:tcPr>
            <w:tcW w:w="780" w:type="dxa"/>
            <w:vAlign w:val="bottom"/>
            <w:gridSpan w:val="4"/>
          </w:tcPr>
          <w:p>
            <w:pPr>
              <w:jc w:val="center"/>
              <w:ind w:left="241"/>
              <w:spacing w:after="0" w:line="172" w:lineRule="exact"/>
              <w:rPr>
                <w:rFonts w:ascii="Arial" w:cs="Arial" w:eastAsia="Arial" w:hAnsi="Arial"/>
                <w:sz w:val="16"/>
                <w:szCs w:val="16"/>
                <w:color w:val="0000FF"/>
                <w:w w:val="86"/>
              </w:rPr>
            </w:pPr>
            <w:hyperlink r:id="rId139">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1.14</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4"/>
              </w:rPr>
              <w:t>Form of Notice of Grant of Restricted Stock Units and Restricted Stock Unit Award Agreement - Vice President and Above under the Western Digital</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tcPr>
          <w:p>
            <w:pPr>
              <w:ind w:left="20"/>
              <w:spacing w:after="0" w:line="155" w:lineRule="exact"/>
              <w:rPr>
                <w:sz w:val="20"/>
                <w:szCs w:val="20"/>
                <w:color w:val="auto"/>
              </w:rPr>
            </w:pPr>
            <w:r>
              <w:rPr>
                <w:rFonts w:ascii="Arial" w:cs="Arial" w:eastAsia="Arial" w:hAnsi="Arial"/>
                <w:sz w:val="16"/>
                <w:szCs w:val="16"/>
                <w:color w:val="auto"/>
                <w:w w:val="96"/>
              </w:rPr>
              <w:t>Corporation 2017 Performance Incentive Plan (Filed as Exhibit 10.3 to the Company’s Quarterly Report on Form 10-Q (File No. 1-08703) with the</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Securities and Exchange Commission on November 12, 2019)*</w:t>
            </w:r>
          </w:p>
        </w:tc>
        <w:tc>
          <w:tcPr>
            <w:tcW w:w="0" w:type="dxa"/>
            <w:vAlign w:val="bottom"/>
          </w:tcPr>
          <w:p>
            <w:pPr>
              <w:spacing w:after="0"/>
              <w:rPr>
                <w:sz w:val="1"/>
                <w:szCs w:val="1"/>
                <w:color w:val="auto"/>
              </w:rPr>
            </w:pPr>
          </w:p>
        </w:tc>
      </w:tr>
      <w:tr>
        <w:trPr>
          <w:trHeight w:val="181"/>
        </w:trPr>
        <w:tc>
          <w:tcPr>
            <w:tcW w:w="780" w:type="dxa"/>
            <w:vAlign w:val="bottom"/>
            <w:gridSpan w:val="4"/>
            <w:shd w:val="clear" w:color="auto" w:fill="CCEEFF"/>
          </w:tcPr>
          <w:p>
            <w:pPr>
              <w:jc w:val="center"/>
              <w:ind w:left="241"/>
              <w:spacing w:after="0" w:line="181" w:lineRule="exact"/>
              <w:rPr>
                <w:rFonts w:ascii="Arial" w:cs="Arial" w:eastAsia="Arial" w:hAnsi="Arial"/>
                <w:sz w:val="16"/>
                <w:szCs w:val="16"/>
                <w:color w:val="0000FF"/>
                <w:w w:val="86"/>
              </w:rPr>
            </w:pPr>
            <w:hyperlink r:id="rId140">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1.15</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w w:val="94"/>
              </w:rPr>
              <w:t>Form of Notice of Grant of Restricted Stock Units and Restricted Stock Unit Award Agreement – Vice President and Above, under the Amended and</w:t>
            </w:r>
          </w:p>
        </w:tc>
        <w:tc>
          <w:tcPr>
            <w:tcW w:w="0" w:type="dxa"/>
            <w:vAlign w:val="bottom"/>
          </w:tcPr>
          <w:p>
            <w:pPr>
              <w:spacing w:after="0"/>
              <w:rPr>
                <w:sz w:val="1"/>
                <w:szCs w:val="1"/>
                <w:color w:val="auto"/>
              </w:rPr>
            </w:pPr>
          </w:p>
        </w:tc>
      </w:tr>
      <w:tr>
        <w:trPr>
          <w:trHeight w:val="129"/>
        </w:trPr>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lef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Restated Western Digital Corporation 2017 Performance Incentive Plan (Filed as Exhibit 10.4 to the Company’s Quarterly Report on Form 10-Q (Filed No.</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1-08703) with the Securities and Exchange Commission on February 9, 2021)*</w:t>
            </w:r>
          </w:p>
        </w:tc>
        <w:tc>
          <w:tcPr>
            <w:tcW w:w="0" w:type="dxa"/>
            <w:vAlign w:val="bottom"/>
          </w:tcPr>
          <w:p>
            <w:pPr>
              <w:spacing w:after="0"/>
              <w:rPr>
                <w:sz w:val="1"/>
                <w:szCs w:val="1"/>
                <w:color w:val="auto"/>
              </w:rPr>
            </w:pPr>
          </w:p>
        </w:tc>
      </w:tr>
      <w:tr>
        <w:trPr>
          <w:trHeight w:val="172"/>
        </w:trPr>
        <w:tc>
          <w:tcPr>
            <w:tcW w:w="780" w:type="dxa"/>
            <w:vAlign w:val="bottom"/>
            <w:gridSpan w:val="4"/>
          </w:tcPr>
          <w:p>
            <w:pPr>
              <w:jc w:val="center"/>
              <w:ind w:left="241"/>
              <w:spacing w:after="0" w:line="172" w:lineRule="exact"/>
              <w:rPr>
                <w:rFonts w:ascii="Arial" w:cs="Arial" w:eastAsia="Arial" w:hAnsi="Arial"/>
                <w:sz w:val="16"/>
                <w:szCs w:val="16"/>
                <w:color w:val="0000FF"/>
                <w:w w:val="86"/>
              </w:rPr>
            </w:pPr>
            <w:hyperlink r:id="rId141">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1.16</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2"/>
              </w:rPr>
              <w:t>Form of Notice of Grant of Restricted Stock Units and Restricted Stock Unit Award Agreement under the Western Digital Corporation 2017 Performance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Incentive Plan (Filed as Exhibit 10.4 to the Company’s Quarterly Report on Form 10-Q (File No. 1-08703) with the Securities and Exchange Commission</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on November 6, 2018)*</w:t>
            </w:r>
          </w:p>
        </w:tc>
        <w:tc>
          <w:tcPr>
            <w:tcW w:w="0" w:type="dxa"/>
            <w:vAlign w:val="bottom"/>
          </w:tcPr>
          <w:p>
            <w:pPr>
              <w:spacing w:after="0"/>
              <w:rPr>
                <w:sz w:val="1"/>
                <w:szCs w:val="1"/>
                <w:color w:val="auto"/>
              </w:rPr>
            </w:pPr>
          </w:p>
        </w:tc>
      </w:tr>
      <w:tr>
        <w:trPr>
          <w:trHeight w:val="175"/>
        </w:trPr>
        <w:tc>
          <w:tcPr>
            <w:tcW w:w="780" w:type="dxa"/>
            <w:vAlign w:val="bottom"/>
            <w:gridSpan w:val="4"/>
            <w:shd w:val="clear" w:color="auto" w:fill="BFE4FF"/>
          </w:tcPr>
          <w:p>
            <w:pPr>
              <w:jc w:val="center"/>
              <w:ind w:left="241"/>
              <w:spacing w:after="0" w:line="175" w:lineRule="exact"/>
              <w:rPr>
                <w:rFonts w:ascii="Arial" w:cs="Arial" w:eastAsia="Arial" w:hAnsi="Arial"/>
                <w:sz w:val="16"/>
                <w:szCs w:val="16"/>
                <w:color w:val="0000FF"/>
                <w:w w:val="86"/>
              </w:rPr>
            </w:pPr>
            <w:hyperlink r:id="rId142">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1.17</w:t>
              </w:r>
            </w:hyperlink>
          </w:p>
        </w:tc>
        <w:tc>
          <w:tcPr>
            <w:tcW w:w="34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9960" w:type="dxa"/>
            <w:vAlign w:val="bottom"/>
            <w:shd w:val="clear" w:color="auto" w:fill="BFE4FF"/>
          </w:tcPr>
          <w:p>
            <w:pPr>
              <w:ind w:left="20"/>
              <w:spacing w:after="0" w:line="175" w:lineRule="exact"/>
              <w:rPr>
                <w:sz w:val="20"/>
                <w:szCs w:val="20"/>
                <w:color w:val="auto"/>
              </w:rPr>
            </w:pPr>
            <w:r>
              <w:rPr>
                <w:rFonts w:ascii="Arial" w:cs="Arial" w:eastAsia="Arial" w:hAnsi="Arial"/>
                <w:sz w:val="16"/>
                <w:szCs w:val="16"/>
                <w:color w:val="auto"/>
                <w:w w:val="94"/>
              </w:rPr>
              <w:t>Notice of Grant of Restricted Stock Units and Restricted Stock Unit Award Agreement – CEO Sign-On Award (Filed as Exhibit 10.2 to the Company’s</w:t>
            </w:r>
          </w:p>
        </w:tc>
        <w:tc>
          <w:tcPr>
            <w:tcW w:w="0" w:type="dxa"/>
            <w:vAlign w:val="bottom"/>
          </w:tcPr>
          <w:p>
            <w:pPr>
              <w:spacing w:after="0"/>
              <w:rPr>
                <w:sz w:val="1"/>
                <w:szCs w:val="1"/>
                <w:color w:val="auto"/>
              </w:rPr>
            </w:pPr>
          </w:p>
        </w:tc>
      </w:tr>
      <w:tr>
        <w:trPr>
          <w:trHeight w:val="179"/>
        </w:trPr>
        <w:tc>
          <w:tcPr>
            <w:tcW w:w="3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0000FF"/>
              <w:right w:val="single" w:sz="8" w:color="BFE4FF"/>
            </w:tcBorders>
            <w:shd w:val="clear" w:color="auto" w:fill="BFE4FF"/>
          </w:tcPr>
          <w:p>
            <w:pPr>
              <w:spacing w:after="0"/>
              <w:rPr>
                <w:sz w:val="15"/>
                <w:szCs w:val="15"/>
                <w:color w:val="auto"/>
              </w:rPr>
            </w:pPr>
          </w:p>
        </w:tc>
        <w:tc>
          <w:tcPr>
            <w:tcW w:w="280" w:type="dxa"/>
            <w:vAlign w:val="bottom"/>
            <w:tcBorders>
              <w:top w:val="single" w:sz="8" w:color="0000FF"/>
            </w:tcBorders>
            <w:shd w:val="clear" w:color="auto" w:fill="BFE4FF"/>
          </w:tcPr>
          <w:p>
            <w:pPr>
              <w:spacing w:after="0"/>
              <w:rPr>
                <w:sz w:val="15"/>
                <w:szCs w:val="15"/>
                <w:color w:val="auto"/>
              </w:rPr>
            </w:pPr>
          </w:p>
        </w:tc>
        <w:tc>
          <w:tcPr>
            <w:tcW w:w="100" w:type="dxa"/>
            <w:vAlign w:val="bottom"/>
            <w:tcBorders>
              <w:top w:val="single" w:sz="8" w:color="0000FF"/>
              <w:left w:val="single" w:sz="8" w:color="BFE4FF"/>
            </w:tcBorders>
            <w:shd w:val="clear" w:color="auto" w:fill="BFE4FF"/>
          </w:tcPr>
          <w:p>
            <w:pPr>
              <w:spacing w:after="0"/>
              <w:rPr>
                <w:sz w:val="15"/>
                <w:szCs w:val="15"/>
                <w:color w:val="auto"/>
              </w:rPr>
            </w:pPr>
          </w:p>
        </w:tc>
        <w:tc>
          <w:tcPr>
            <w:tcW w:w="34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BFE4FF"/>
            </w:tcBorders>
            <w:shd w:val="clear" w:color="auto" w:fill="BFE4FF"/>
          </w:tcPr>
          <w:p>
            <w:pPr>
              <w:spacing w:after="0"/>
              <w:rPr>
                <w:sz w:val="15"/>
                <w:szCs w:val="15"/>
                <w:color w:val="auto"/>
              </w:rPr>
            </w:pPr>
          </w:p>
        </w:tc>
        <w:tc>
          <w:tcPr>
            <w:tcW w:w="9960" w:type="dxa"/>
            <w:vAlign w:val="bottom"/>
            <w:tcBorders>
              <w:top w:val="single" w:sz="8" w:color="BFE4FF"/>
            </w:tcBorders>
            <w:shd w:val="clear" w:color="auto" w:fill="BFE4FF"/>
          </w:tcPr>
          <w:p>
            <w:pPr>
              <w:ind w:left="20"/>
              <w:spacing w:after="0" w:line="179" w:lineRule="exact"/>
              <w:rPr>
                <w:sz w:val="20"/>
                <w:szCs w:val="20"/>
                <w:color w:val="auto"/>
              </w:rPr>
            </w:pPr>
            <w:r>
              <w:rPr>
                <w:rFonts w:ascii="Arial" w:cs="Arial" w:eastAsia="Arial" w:hAnsi="Arial"/>
                <w:sz w:val="16"/>
                <w:szCs w:val="16"/>
                <w:color w:val="auto"/>
              </w:rPr>
              <w:t>Quarterly Report on Form 10-Q (File No. 1-08703) with the Securities and Exchange Commission on May 8, 2020)*</w:t>
            </w:r>
          </w:p>
        </w:tc>
        <w:tc>
          <w:tcPr>
            <w:tcW w:w="0" w:type="dxa"/>
            <w:vAlign w:val="bottom"/>
          </w:tcPr>
          <w:p>
            <w:pPr>
              <w:spacing w:after="0"/>
              <w:rPr>
                <w:sz w:val="1"/>
                <w:szCs w:val="1"/>
                <w:color w:val="auto"/>
              </w:rPr>
            </w:pPr>
          </w:p>
        </w:tc>
      </w:tr>
      <w:tr>
        <w:trPr>
          <w:trHeight w:val="172"/>
        </w:trPr>
        <w:tc>
          <w:tcPr>
            <w:tcW w:w="780" w:type="dxa"/>
            <w:vAlign w:val="bottom"/>
            <w:gridSpan w:val="4"/>
          </w:tcPr>
          <w:p>
            <w:pPr>
              <w:jc w:val="center"/>
              <w:ind w:left="241"/>
              <w:spacing w:after="0" w:line="172" w:lineRule="exact"/>
              <w:rPr>
                <w:rFonts w:ascii="Arial" w:cs="Arial" w:eastAsia="Arial" w:hAnsi="Arial"/>
                <w:sz w:val="16"/>
                <w:szCs w:val="16"/>
                <w:color w:val="0000FF"/>
                <w:w w:val="86"/>
              </w:rPr>
            </w:pPr>
            <w:hyperlink r:id="rId143">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1.18</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5"/>
              </w:rPr>
              <w:t>Notice of Grant of Performance Stock Units and Performance Stock Unit Award – TSR Measure (CEO Sign-On Award) (Filed as Exhibit 10.3 to the</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9" w:lineRule="exact"/>
              <w:rPr>
                <w:sz w:val="20"/>
                <w:szCs w:val="20"/>
                <w:color w:val="auto"/>
              </w:rPr>
            </w:pPr>
            <w:r>
              <w:rPr>
                <w:rFonts w:ascii="Arial" w:cs="Arial" w:eastAsia="Arial" w:hAnsi="Arial"/>
                <w:sz w:val="16"/>
                <w:szCs w:val="16"/>
                <w:color w:val="auto"/>
              </w:rPr>
              <w:t>Company’s Quarterly Report on Form 10-Q (File No. 1-08703) with the Securities and Exchange Commission on May 8, 2020)*</w:t>
            </w:r>
          </w:p>
        </w:tc>
        <w:tc>
          <w:tcPr>
            <w:tcW w:w="0" w:type="dxa"/>
            <w:vAlign w:val="bottom"/>
          </w:tcPr>
          <w:p>
            <w:pPr>
              <w:spacing w:after="0"/>
              <w:rPr>
                <w:sz w:val="1"/>
                <w:szCs w:val="1"/>
                <w:color w:val="auto"/>
              </w:rPr>
            </w:pPr>
          </w:p>
        </w:tc>
      </w:tr>
      <w:tr>
        <w:trPr>
          <w:trHeight w:val="172"/>
        </w:trPr>
        <w:tc>
          <w:tcPr>
            <w:tcW w:w="680" w:type="dxa"/>
            <w:vAlign w:val="bottom"/>
            <w:gridSpan w:val="3"/>
            <w:shd w:val="clear" w:color="auto" w:fill="CCEEFF"/>
          </w:tcPr>
          <w:p>
            <w:pPr>
              <w:jc w:val="center"/>
              <w:ind w:left="321"/>
              <w:spacing w:after="0" w:line="172" w:lineRule="exact"/>
              <w:rPr>
                <w:rFonts w:ascii="Arial" w:cs="Arial" w:eastAsia="Arial" w:hAnsi="Arial"/>
                <w:sz w:val="16"/>
                <w:szCs w:val="16"/>
                <w:color w:val="0000FF"/>
                <w:w w:val="89"/>
              </w:rPr>
            </w:pPr>
            <w:hyperlink r:id="rId14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w w:val="91"/>
              </w:rPr>
              <w:t>Western Digital Corporation Executive Short-Term Incentive Plan (supersedes the Western Digital Corporation Executive Short-Term Incentive Plan dated</w:t>
            </w:r>
          </w:p>
        </w:tc>
        <w:tc>
          <w:tcPr>
            <w:tcW w:w="0" w:type="dxa"/>
            <w:vAlign w:val="bottom"/>
          </w:tcPr>
          <w:p>
            <w:pPr>
              <w:spacing w:after="0"/>
              <w:rPr>
                <w:sz w:val="1"/>
                <w:szCs w:val="1"/>
                <w:color w:val="auto"/>
              </w:rPr>
            </w:pPr>
          </w:p>
        </w:tc>
      </w:tr>
      <w:tr>
        <w:trPr>
          <w:trHeight w:val="129"/>
        </w:trPr>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August 7, 2019), dated February 9, 2021 (Filed as Exhibit 10.1 to the Company’s Quarterly Report on Form 10</w:t>
            </w:r>
            <w:r>
              <w:rPr>
                <w:rFonts w:ascii="MS PGothic" w:cs="MS PGothic" w:eastAsia="MS PGothic" w:hAnsi="MS PGothic"/>
                <w:sz w:val="14"/>
                <w:szCs w:val="14"/>
                <w:color w:val="auto"/>
              </w:rPr>
              <w:t>‑</w:t>
            </w:r>
            <w:r>
              <w:rPr>
                <w:rFonts w:ascii="Arial" w:cs="Arial" w:eastAsia="Arial" w:hAnsi="Arial"/>
                <w:sz w:val="14"/>
                <w:szCs w:val="14"/>
                <w:color w:val="auto"/>
              </w:rPr>
              <w:t>Q (File No. 1-08703) with the Securities</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Exchange Commission on May 6, 2021)*</w:t>
            </w:r>
          </w:p>
        </w:tc>
        <w:tc>
          <w:tcPr>
            <w:tcW w:w="0" w:type="dxa"/>
            <w:vAlign w:val="bottom"/>
          </w:tcPr>
          <w:p>
            <w:pPr>
              <w:spacing w:after="0"/>
              <w:rPr>
                <w:sz w:val="1"/>
                <w:szCs w:val="1"/>
                <w:color w:val="auto"/>
              </w:rPr>
            </w:pPr>
          </w:p>
        </w:tc>
      </w:tr>
      <w:tr>
        <w:trPr>
          <w:trHeight w:val="172"/>
        </w:trPr>
        <w:tc>
          <w:tcPr>
            <w:tcW w:w="680" w:type="dxa"/>
            <w:vAlign w:val="bottom"/>
            <w:gridSpan w:val="3"/>
          </w:tcPr>
          <w:p>
            <w:pPr>
              <w:jc w:val="center"/>
              <w:ind w:left="321"/>
              <w:spacing w:after="0" w:line="172" w:lineRule="exact"/>
              <w:rPr>
                <w:rFonts w:ascii="Arial" w:cs="Arial" w:eastAsia="Arial" w:hAnsi="Arial"/>
                <w:sz w:val="16"/>
                <w:szCs w:val="16"/>
                <w:color w:val="0000FF"/>
                <w:w w:val="89"/>
              </w:rPr>
            </w:pPr>
            <w:hyperlink r:id="rId14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3</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4"/>
              </w:rPr>
              <w:t>Western Digital Corporation Amended and Restated 2005 Employee Stock Purchase Plan, as amended August 2, 2018 (Filed as Exhibit 10.2 to the</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9" w:lineRule="exact"/>
              <w:rPr>
                <w:sz w:val="20"/>
                <w:szCs w:val="20"/>
                <w:color w:val="auto"/>
              </w:rPr>
            </w:pPr>
            <w:r>
              <w:rPr>
                <w:rFonts w:ascii="Arial" w:cs="Arial" w:eastAsia="Arial" w:hAnsi="Arial"/>
                <w:sz w:val="16"/>
                <w:szCs w:val="16"/>
                <w:color w:val="auto"/>
              </w:rPr>
              <w:t>Company’s Current Report on Form 8-K (File No. 1-08703) with the Securities and Exchange Commission on November 7, 2018)*</w:t>
            </w:r>
          </w:p>
        </w:tc>
        <w:tc>
          <w:tcPr>
            <w:tcW w:w="0" w:type="dxa"/>
            <w:vAlign w:val="bottom"/>
          </w:tcPr>
          <w:p>
            <w:pPr>
              <w:spacing w:after="0"/>
              <w:rPr>
                <w:sz w:val="1"/>
                <w:szCs w:val="1"/>
                <w:color w:val="auto"/>
              </w:rPr>
            </w:pPr>
          </w:p>
        </w:tc>
      </w:tr>
      <w:tr>
        <w:trPr>
          <w:trHeight w:val="172"/>
        </w:trPr>
        <w:tc>
          <w:tcPr>
            <w:tcW w:w="680" w:type="dxa"/>
            <w:vAlign w:val="bottom"/>
            <w:gridSpan w:val="3"/>
            <w:shd w:val="clear" w:color="auto" w:fill="CCEEFF"/>
          </w:tcPr>
          <w:p>
            <w:pPr>
              <w:jc w:val="center"/>
              <w:ind w:left="321"/>
              <w:spacing w:after="0" w:line="172" w:lineRule="exact"/>
              <w:rPr>
                <w:rFonts w:ascii="Arial" w:cs="Arial" w:eastAsia="Arial" w:hAnsi="Arial"/>
                <w:sz w:val="16"/>
                <w:szCs w:val="16"/>
                <w:color w:val="0000FF"/>
                <w:w w:val="89"/>
              </w:rPr>
            </w:pPr>
            <w:hyperlink r:id="rId14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4</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w w:val="94"/>
              </w:rPr>
              <w:t>SanDisk Corporation 2013 Incentive Plan (Filed as Exhibit 4.1 to the Company’s Registration Statement on Form S-8 (File No. 333-211420) with the</w:t>
            </w:r>
          </w:p>
        </w:tc>
        <w:tc>
          <w:tcPr>
            <w:tcW w:w="0" w:type="dxa"/>
            <w:vAlign w:val="bottom"/>
          </w:tcPr>
          <w:p>
            <w:pPr>
              <w:spacing w:after="0"/>
              <w:rPr>
                <w:sz w:val="1"/>
                <w:szCs w:val="1"/>
                <w:color w:val="auto"/>
              </w:rPr>
            </w:pPr>
          </w:p>
        </w:tc>
      </w:tr>
      <w:tr>
        <w:trPr>
          <w:trHeight w:val="179"/>
        </w:trPr>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Securities and Exchange Commission on May 17, 2016)*</w:t>
            </w:r>
          </w:p>
        </w:tc>
        <w:tc>
          <w:tcPr>
            <w:tcW w:w="0" w:type="dxa"/>
            <w:vAlign w:val="bottom"/>
          </w:tcPr>
          <w:p>
            <w:pPr>
              <w:spacing w:after="0"/>
              <w:rPr>
                <w:sz w:val="1"/>
                <w:szCs w:val="1"/>
                <w:color w:val="auto"/>
              </w:rPr>
            </w:pPr>
          </w:p>
        </w:tc>
      </w:tr>
      <w:tr>
        <w:trPr>
          <w:trHeight w:val="172"/>
        </w:trPr>
        <w:tc>
          <w:tcPr>
            <w:tcW w:w="680" w:type="dxa"/>
            <w:vAlign w:val="bottom"/>
            <w:gridSpan w:val="3"/>
          </w:tcPr>
          <w:p>
            <w:pPr>
              <w:jc w:val="center"/>
              <w:ind w:left="321"/>
              <w:spacing w:after="0" w:line="172" w:lineRule="exact"/>
              <w:rPr>
                <w:rFonts w:ascii="Arial" w:cs="Arial" w:eastAsia="Arial" w:hAnsi="Arial"/>
                <w:sz w:val="16"/>
                <w:szCs w:val="16"/>
                <w:color w:val="0000FF"/>
                <w:w w:val="89"/>
              </w:rPr>
            </w:pPr>
            <w:hyperlink r:id="rId14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2"/>
              </w:rPr>
              <w:t>Amended and Restated Deferred Compensation Plan, amended and restated effective January 1, 2013 (Filed as Exhibit 10.4 to the Company’s Annual</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Report on Form 10-Q (File No. 1-08703) with the Securities and Exchange Commission on November 2, 2012)*</w:t>
            </w:r>
          </w:p>
        </w:tc>
        <w:tc>
          <w:tcPr>
            <w:tcW w:w="0" w:type="dxa"/>
            <w:vAlign w:val="bottom"/>
          </w:tcPr>
          <w:p>
            <w:pPr>
              <w:spacing w:after="0"/>
              <w:rPr>
                <w:sz w:val="1"/>
                <w:szCs w:val="1"/>
                <w:color w:val="auto"/>
              </w:rPr>
            </w:pPr>
          </w:p>
        </w:tc>
      </w:tr>
      <w:tr>
        <w:trPr>
          <w:trHeight w:val="181"/>
        </w:trPr>
        <w:tc>
          <w:tcPr>
            <w:tcW w:w="400" w:type="dxa"/>
            <w:vAlign w:val="bottom"/>
            <w:tcBorders>
              <w:right w:val="single" w:sz="8" w:color="CCEEFF"/>
            </w:tcBorders>
            <w:gridSpan w:val="2"/>
            <w:shd w:val="clear" w:color="auto" w:fill="CCEEFF"/>
          </w:tcPr>
          <w:p>
            <w:pPr>
              <w:spacing w:after="0"/>
              <w:rPr>
                <w:sz w:val="15"/>
                <w:szCs w:val="15"/>
                <w:color w:val="auto"/>
              </w:rPr>
            </w:pPr>
          </w:p>
        </w:tc>
        <w:tc>
          <w:tcPr>
            <w:tcW w:w="280" w:type="dxa"/>
            <w:vAlign w:val="bottom"/>
            <w:shd w:val="clear" w:color="auto" w:fill="CCEEFF"/>
          </w:tcPr>
          <w:p>
            <w:pPr>
              <w:jc w:val="center"/>
              <w:spacing w:after="0" w:line="181" w:lineRule="exact"/>
              <w:rPr>
                <w:rFonts w:ascii="Arial" w:cs="Arial" w:eastAsia="Arial" w:hAnsi="Arial"/>
                <w:sz w:val="16"/>
                <w:szCs w:val="16"/>
                <w:color w:val="0000FF"/>
                <w:w w:val="89"/>
              </w:rPr>
            </w:pPr>
            <w:hyperlink w:anchor="page11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6</w:t>
              </w:r>
            </w:hyperlink>
          </w:p>
        </w:tc>
        <w:tc>
          <w:tcPr>
            <w:tcW w:w="10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Western Digital Corporation Amended and Restated Change in Control Severance Plan, amended and restated as of May 24, 2021*†</w:t>
            </w:r>
          </w:p>
        </w:tc>
        <w:tc>
          <w:tcPr>
            <w:tcW w:w="0" w:type="dxa"/>
            <w:vAlign w:val="bottom"/>
          </w:tcPr>
          <w:p>
            <w:pPr>
              <w:spacing w:after="0"/>
              <w:rPr>
                <w:sz w:val="1"/>
                <w:szCs w:val="1"/>
                <w:color w:val="auto"/>
              </w:rPr>
            </w:pPr>
          </w:p>
        </w:tc>
      </w:tr>
      <w:tr>
        <w:trPr>
          <w:trHeight w:val="40"/>
        </w:trPr>
        <w:tc>
          <w:tcPr>
            <w:tcW w:w="3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0" w:type="dxa"/>
            <w:vAlign w:val="bottom"/>
            <w:gridSpan w:val="2"/>
          </w:tcPr>
          <w:p>
            <w:pPr>
              <w:spacing w:after="0"/>
              <w:rPr>
                <w:sz w:val="14"/>
                <w:szCs w:val="14"/>
                <w:color w:val="auto"/>
              </w:rPr>
            </w:pPr>
          </w:p>
        </w:tc>
        <w:tc>
          <w:tcPr>
            <w:tcW w:w="280" w:type="dxa"/>
            <w:vAlign w:val="bottom"/>
          </w:tcPr>
          <w:p>
            <w:pPr>
              <w:jc w:val="center"/>
              <w:spacing w:after="0" w:line="172" w:lineRule="exact"/>
              <w:rPr>
                <w:rFonts w:ascii="Arial" w:cs="Arial" w:eastAsia="Arial" w:hAnsi="Arial"/>
                <w:sz w:val="16"/>
                <w:szCs w:val="16"/>
                <w:color w:val="0000FF"/>
                <w:w w:val="89"/>
              </w:rPr>
            </w:pPr>
            <w:hyperlink w:anchor="page13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7</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rPr>
              <w:t>Western Digital Corporation Amended and Restated Executive Severance Plan, amended and restated as of May 24, 2021*†</w:t>
            </w: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00" w:type="dxa"/>
            <w:vAlign w:val="bottom"/>
            <w:tcBorders>
              <w:right w:val="single" w:sz="8" w:color="CCEEFF"/>
            </w:tcBorders>
            <w:gridSpan w:val="2"/>
            <w:shd w:val="clear" w:color="auto" w:fill="CCEEFF"/>
          </w:tcPr>
          <w:p>
            <w:pPr>
              <w:spacing w:after="0"/>
              <w:rPr>
                <w:sz w:val="15"/>
                <w:szCs w:val="15"/>
                <w:color w:val="auto"/>
              </w:rPr>
            </w:pPr>
          </w:p>
        </w:tc>
        <w:tc>
          <w:tcPr>
            <w:tcW w:w="280" w:type="dxa"/>
            <w:vAlign w:val="bottom"/>
            <w:shd w:val="clear" w:color="auto" w:fill="CCEEFF"/>
          </w:tcPr>
          <w:p>
            <w:pPr>
              <w:jc w:val="center"/>
              <w:spacing w:after="0" w:line="182" w:lineRule="exact"/>
              <w:rPr>
                <w:rFonts w:ascii="Arial" w:cs="Arial" w:eastAsia="Arial" w:hAnsi="Arial"/>
                <w:sz w:val="16"/>
                <w:szCs w:val="16"/>
                <w:color w:val="0000FF"/>
                <w:w w:val="89"/>
              </w:rPr>
            </w:pPr>
            <w:hyperlink r:id="rId14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8</w:t>
              </w:r>
            </w:hyperlink>
          </w:p>
        </w:tc>
        <w:tc>
          <w:tcPr>
            <w:tcW w:w="10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w w:val="92"/>
              </w:rPr>
              <w:t>Form of Indemnity Agreement for Directors of Western Digital Corporation (Filed as Exhibit 10.4 to the Company’s Quarterly Report on Form 10-Q (File</w:t>
            </w:r>
          </w:p>
        </w:tc>
        <w:tc>
          <w:tcPr>
            <w:tcW w:w="0" w:type="dxa"/>
            <w:vAlign w:val="bottom"/>
          </w:tcPr>
          <w:p>
            <w:pPr>
              <w:spacing w:after="0"/>
              <w:rPr>
                <w:sz w:val="1"/>
                <w:szCs w:val="1"/>
                <w:color w:val="auto"/>
              </w:rPr>
            </w:pPr>
          </w:p>
        </w:tc>
      </w:tr>
      <w:tr>
        <w:trPr>
          <w:trHeight w:val="179"/>
        </w:trPr>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No. 1-08703) with the Securities and Exchange Commission on November 8, 2002)*</w:t>
            </w:r>
          </w:p>
        </w:tc>
        <w:tc>
          <w:tcPr>
            <w:tcW w:w="0" w:type="dxa"/>
            <w:vAlign w:val="bottom"/>
          </w:tcPr>
          <w:p>
            <w:pPr>
              <w:spacing w:after="0"/>
              <w:rPr>
                <w:sz w:val="1"/>
                <w:szCs w:val="1"/>
                <w:color w:val="auto"/>
              </w:rPr>
            </w:pPr>
          </w:p>
        </w:tc>
      </w:tr>
      <w:tr>
        <w:trPr>
          <w:trHeight w:val="172"/>
        </w:trPr>
        <w:tc>
          <w:tcPr>
            <w:tcW w:w="680" w:type="dxa"/>
            <w:vAlign w:val="bottom"/>
            <w:gridSpan w:val="3"/>
          </w:tcPr>
          <w:p>
            <w:pPr>
              <w:jc w:val="center"/>
              <w:ind w:left="321"/>
              <w:spacing w:after="0" w:line="172" w:lineRule="exact"/>
              <w:rPr>
                <w:rFonts w:ascii="Arial" w:cs="Arial" w:eastAsia="Arial" w:hAnsi="Arial"/>
                <w:sz w:val="16"/>
                <w:szCs w:val="16"/>
                <w:color w:val="0000FF"/>
                <w:w w:val="89"/>
              </w:rPr>
            </w:pPr>
            <w:hyperlink r:id="rId14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9</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3"/>
              </w:rPr>
              <w:t>Form of Indemnity Agreement for Officers of Western Digital Corporation (Filed as Exhibit 10.5 to the Company’s Quarterly Report on Form 10-Q (File</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9" w:lineRule="exact"/>
              <w:rPr>
                <w:sz w:val="20"/>
                <w:szCs w:val="20"/>
                <w:color w:val="auto"/>
              </w:rPr>
            </w:pPr>
            <w:r>
              <w:rPr>
                <w:rFonts w:ascii="Arial" w:cs="Arial" w:eastAsia="Arial" w:hAnsi="Arial"/>
                <w:sz w:val="16"/>
                <w:szCs w:val="16"/>
                <w:color w:val="auto"/>
              </w:rPr>
              <w:t>No. 1-08703) with the Securities and Exchange Commission on November 8, 2002)*</w:t>
            </w:r>
          </w:p>
        </w:tc>
        <w:tc>
          <w:tcPr>
            <w:tcW w:w="0" w:type="dxa"/>
            <w:vAlign w:val="bottom"/>
          </w:tcPr>
          <w:p>
            <w:pPr>
              <w:spacing w:after="0"/>
              <w:rPr>
                <w:sz w:val="1"/>
                <w:szCs w:val="1"/>
                <w:color w:val="auto"/>
              </w:rPr>
            </w:pPr>
          </w:p>
        </w:tc>
      </w:tr>
      <w:tr>
        <w:trPr>
          <w:trHeight w:val="172"/>
        </w:trPr>
        <w:tc>
          <w:tcPr>
            <w:tcW w:w="680" w:type="dxa"/>
            <w:vAlign w:val="bottom"/>
            <w:gridSpan w:val="3"/>
            <w:shd w:val="clear" w:color="auto" w:fill="CCEEFF"/>
          </w:tcPr>
          <w:p>
            <w:pPr>
              <w:jc w:val="center"/>
              <w:ind w:left="261"/>
              <w:spacing w:after="0" w:line="172" w:lineRule="exact"/>
              <w:rPr>
                <w:rFonts w:ascii="Arial" w:cs="Arial" w:eastAsia="Arial" w:hAnsi="Arial"/>
                <w:sz w:val="16"/>
                <w:szCs w:val="16"/>
                <w:color w:val="0000FF"/>
                <w:w w:val="84"/>
              </w:rPr>
            </w:pPr>
            <w:hyperlink r:id="rId150">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10</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w w:val="94"/>
              </w:rPr>
              <w:t>Form of Indemnification Agreement entered into between SanDisk Corporation and its directors and officers (Filed as Exhibit 10.10 to the Company’s</w:t>
            </w:r>
          </w:p>
        </w:tc>
        <w:tc>
          <w:tcPr>
            <w:tcW w:w="0" w:type="dxa"/>
            <w:vAlign w:val="bottom"/>
          </w:tcPr>
          <w:p>
            <w:pPr>
              <w:spacing w:after="0"/>
              <w:rPr>
                <w:sz w:val="1"/>
                <w:szCs w:val="1"/>
                <w:color w:val="auto"/>
              </w:rPr>
            </w:pPr>
          </w:p>
        </w:tc>
      </w:tr>
      <w:tr>
        <w:trPr>
          <w:trHeight w:val="179"/>
        </w:trPr>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Annual Report on Form 10-K (File No. 1-08703) with the Securities and Exchange Commission on August 24, 2018)*</w:t>
            </w:r>
          </w:p>
        </w:tc>
        <w:tc>
          <w:tcPr>
            <w:tcW w:w="0" w:type="dxa"/>
            <w:vAlign w:val="bottom"/>
          </w:tcPr>
          <w:p>
            <w:pPr>
              <w:spacing w:after="0"/>
              <w:rPr>
                <w:sz w:val="1"/>
                <w:szCs w:val="1"/>
                <w:color w:val="auto"/>
              </w:rPr>
            </w:pPr>
          </w:p>
        </w:tc>
      </w:tr>
      <w:tr>
        <w:trPr>
          <w:trHeight w:val="172"/>
        </w:trPr>
        <w:tc>
          <w:tcPr>
            <w:tcW w:w="680" w:type="dxa"/>
            <w:vAlign w:val="bottom"/>
            <w:gridSpan w:val="3"/>
          </w:tcPr>
          <w:p>
            <w:pPr>
              <w:jc w:val="center"/>
              <w:ind w:left="261"/>
              <w:spacing w:after="0" w:line="172" w:lineRule="exact"/>
              <w:rPr>
                <w:rFonts w:ascii="Arial" w:cs="Arial" w:eastAsia="Arial" w:hAnsi="Arial"/>
                <w:sz w:val="16"/>
                <w:szCs w:val="16"/>
                <w:color w:val="0000FF"/>
                <w:w w:val="84"/>
              </w:rPr>
            </w:pPr>
            <w:hyperlink r:id="rId151">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11</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5"/>
              </w:rPr>
              <w:t>Offer Letter, dated as of February 18, 2020, to David Goeckeler (Filed as Exhibit 10.1 to the Company’s Quarterly Report on Form 10-Q (File No. 1-</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9" w:lineRule="exact"/>
              <w:rPr>
                <w:sz w:val="20"/>
                <w:szCs w:val="20"/>
                <w:color w:val="auto"/>
              </w:rPr>
            </w:pPr>
            <w:r>
              <w:rPr>
                <w:rFonts w:ascii="Arial" w:cs="Arial" w:eastAsia="Arial" w:hAnsi="Arial"/>
                <w:sz w:val="16"/>
                <w:szCs w:val="16"/>
                <w:color w:val="auto"/>
              </w:rPr>
              <w:t>08703) with the Securities and Exchange Commission on May 8, 2020)*</w:t>
            </w:r>
          </w:p>
        </w:tc>
        <w:tc>
          <w:tcPr>
            <w:tcW w:w="0" w:type="dxa"/>
            <w:vAlign w:val="bottom"/>
          </w:tcPr>
          <w:p>
            <w:pPr>
              <w:spacing w:after="0"/>
              <w:rPr>
                <w:sz w:val="1"/>
                <w:szCs w:val="1"/>
                <w:color w:val="auto"/>
              </w:rPr>
            </w:pPr>
          </w:p>
        </w:tc>
      </w:tr>
      <w:tr>
        <w:trPr>
          <w:trHeight w:val="172"/>
        </w:trPr>
        <w:tc>
          <w:tcPr>
            <w:tcW w:w="680" w:type="dxa"/>
            <w:vAlign w:val="bottom"/>
            <w:gridSpan w:val="3"/>
            <w:shd w:val="clear" w:color="auto" w:fill="CCEEFF"/>
          </w:tcPr>
          <w:p>
            <w:pPr>
              <w:jc w:val="center"/>
              <w:ind w:left="261"/>
              <w:spacing w:after="0" w:line="172" w:lineRule="exact"/>
              <w:rPr>
                <w:rFonts w:ascii="Arial" w:cs="Arial" w:eastAsia="Arial" w:hAnsi="Arial"/>
                <w:sz w:val="16"/>
                <w:szCs w:val="16"/>
                <w:color w:val="0000FF"/>
                <w:w w:val="84"/>
              </w:rPr>
            </w:pPr>
            <w:hyperlink r:id="rId152">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12</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w w:val="92"/>
              </w:rPr>
              <w:t>Special Retention Agreement, dated as of August 26, 2019, with Michael C. Ray (Filed as Exhibit 10.1 to the Company’s Quarterly Report on Form 10-Q</w:t>
            </w:r>
          </w:p>
        </w:tc>
        <w:tc>
          <w:tcPr>
            <w:tcW w:w="0" w:type="dxa"/>
            <w:vAlign w:val="bottom"/>
          </w:tcPr>
          <w:p>
            <w:pPr>
              <w:spacing w:after="0"/>
              <w:rPr>
                <w:sz w:val="1"/>
                <w:szCs w:val="1"/>
                <w:color w:val="auto"/>
              </w:rPr>
            </w:pPr>
          </w:p>
        </w:tc>
      </w:tr>
      <w:tr>
        <w:trPr>
          <w:trHeight w:val="179"/>
        </w:trPr>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color w:val="auto"/>
              </w:rPr>
              <w:t>(File No. 1-08703) with the Securities and Exchange Commission on November 6, 2020)*</w:t>
            </w:r>
          </w:p>
        </w:tc>
        <w:tc>
          <w:tcPr>
            <w:tcW w:w="0" w:type="dxa"/>
            <w:vAlign w:val="bottom"/>
          </w:tcPr>
          <w:p>
            <w:pPr>
              <w:spacing w:after="0"/>
              <w:rPr>
                <w:sz w:val="1"/>
                <w:szCs w:val="1"/>
                <w:color w:val="auto"/>
              </w:rPr>
            </w:pPr>
          </w:p>
        </w:tc>
      </w:tr>
      <w:tr>
        <w:trPr>
          <w:trHeight w:val="172"/>
        </w:trPr>
        <w:tc>
          <w:tcPr>
            <w:tcW w:w="680" w:type="dxa"/>
            <w:vAlign w:val="bottom"/>
            <w:gridSpan w:val="3"/>
          </w:tcPr>
          <w:p>
            <w:pPr>
              <w:jc w:val="center"/>
              <w:ind w:left="261"/>
              <w:spacing w:after="0" w:line="172" w:lineRule="exact"/>
              <w:rPr>
                <w:rFonts w:ascii="Arial" w:cs="Arial" w:eastAsia="Arial" w:hAnsi="Arial"/>
                <w:sz w:val="16"/>
                <w:szCs w:val="16"/>
                <w:color w:val="0000FF"/>
                <w:w w:val="84"/>
              </w:rPr>
            </w:pPr>
            <w:hyperlink r:id="rId153">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13</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5"/>
              </w:rPr>
              <w:t>Loan Agreement, dated as of April 29, 2016, by and among Western Digital Corporation, JPMorgan Chase Bank, N.A., as administrative agent and</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collateral agent, and the lenders and financial institutions from time to time party thereto (Filed as Exhibit 10.4 to the Company’s Quarterly Report on Form</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10-Q (File No. 1-08703) with the Securities and Exchange Commission on May 9, 2016)</w:t>
            </w:r>
          </w:p>
        </w:tc>
        <w:tc>
          <w:tcPr>
            <w:tcW w:w="0" w:type="dxa"/>
            <w:vAlign w:val="bottom"/>
          </w:tcPr>
          <w:p>
            <w:pPr>
              <w:spacing w:after="0"/>
              <w:rPr>
                <w:sz w:val="1"/>
                <w:szCs w:val="1"/>
                <w:color w:val="auto"/>
              </w:rPr>
            </w:pPr>
          </w:p>
        </w:tc>
      </w:tr>
      <w:tr>
        <w:trPr>
          <w:trHeight w:val="175"/>
        </w:trPr>
        <w:tc>
          <w:tcPr>
            <w:tcW w:w="780" w:type="dxa"/>
            <w:vAlign w:val="bottom"/>
            <w:gridSpan w:val="4"/>
            <w:shd w:val="clear" w:color="auto" w:fill="CCEEFF"/>
          </w:tcPr>
          <w:p>
            <w:pPr>
              <w:jc w:val="center"/>
              <w:ind w:left="241"/>
              <w:spacing w:after="0" w:line="175" w:lineRule="exact"/>
              <w:rPr>
                <w:rFonts w:ascii="Arial" w:cs="Arial" w:eastAsia="Arial" w:hAnsi="Arial"/>
                <w:sz w:val="16"/>
                <w:szCs w:val="16"/>
                <w:color w:val="0000FF"/>
                <w:w w:val="86"/>
              </w:rPr>
            </w:pPr>
            <w:hyperlink r:id="rId154">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13.1</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1"/>
              </w:rPr>
              <w:t>Amendment No. 1, dated as of August 17, 2016, to the Loan Agreement dated as of April 29, 2016, by and among Western Digital Corporation, JPMorgan</w:t>
            </w:r>
          </w:p>
        </w:tc>
        <w:tc>
          <w:tcPr>
            <w:tcW w:w="0" w:type="dxa"/>
            <w:vAlign w:val="bottom"/>
          </w:tcPr>
          <w:p>
            <w:pPr>
              <w:spacing w:after="0"/>
              <w:rPr>
                <w:sz w:val="1"/>
                <w:szCs w:val="1"/>
                <w:color w:val="auto"/>
              </w:rPr>
            </w:pPr>
          </w:p>
        </w:tc>
      </w:tr>
      <w:tr>
        <w:trPr>
          <w:trHeight w:val="129"/>
        </w:trPr>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left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Chase Bank, N.A., as administrative agent and collateral agent, the lenders party thereto and the other loan parties thereto (Filed as Exhibit 10.1 to the</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August 18,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9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 w:type="dxa"/>
            <w:vAlign w:val="bottom"/>
            <w:tcBorders>
              <w:top w:val="single" w:sz="8" w:color="auto"/>
            </w:tcBorders>
            <w:gridSpan w:val="5"/>
          </w:tcPr>
          <w:p>
            <w:pPr>
              <w:jc w:val="center"/>
              <w:ind w:left="241"/>
              <w:spacing w:after="0" w:line="166" w:lineRule="exact"/>
              <w:rPr>
                <w:rFonts w:ascii="Arial" w:cs="Arial" w:eastAsia="Arial" w:hAnsi="Arial"/>
                <w:sz w:val="16"/>
                <w:szCs w:val="16"/>
                <w:color w:val="0000FF"/>
                <w:w w:val="86"/>
              </w:rPr>
            </w:pPr>
            <w:hyperlink r:id="rId156">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13.2</w:t>
              </w:r>
            </w:hyperlink>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Borders>
              <w:top w:val="single" w:sz="8" w:color="auto"/>
            </w:tcBorders>
          </w:tcPr>
          <w:p>
            <w:pPr>
              <w:ind w:left="20"/>
              <w:spacing w:after="0" w:line="166" w:lineRule="exact"/>
              <w:rPr>
                <w:sz w:val="20"/>
                <w:szCs w:val="20"/>
                <w:color w:val="auto"/>
              </w:rPr>
            </w:pPr>
            <w:r>
              <w:rPr>
                <w:rFonts w:ascii="Arial" w:cs="Arial" w:eastAsia="Arial" w:hAnsi="Arial"/>
                <w:sz w:val="16"/>
                <w:szCs w:val="16"/>
                <w:color w:val="auto"/>
                <w:w w:val="95"/>
              </w:rPr>
              <w:t>Amendment No. 2, dated as of September 22, 2016, to the Loan Agreement dated as of April 29, 2016, by and among Western Digital Corporation,</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JPMorgan Chase Bank, N.A., as administrative agent and collateral agent, the lenders party thereto and the other loan parties thereto (Filed as Exhibit 10.1</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September 22, 2016)</w:t>
            </w:r>
          </w:p>
        </w:tc>
        <w:tc>
          <w:tcPr>
            <w:tcW w:w="0" w:type="dxa"/>
            <w:vAlign w:val="bottom"/>
          </w:tcPr>
          <w:p>
            <w:pPr>
              <w:spacing w:after="0"/>
              <w:rPr>
                <w:sz w:val="1"/>
                <w:szCs w:val="1"/>
                <w:color w:val="auto"/>
              </w:rPr>
            </w:pPr>
          </w:p>
        </w:tc>
      </w:tr>
      <w:tr>
        <w:trPr>
          <w:trHeight w:val="175"/>
        </w:trPr>
        <w:tc>
          <w:tcPr>
            <w:tcW w:w="780" w:type="dxa"/>
            <w:vAlign w:val="bottom"/>
            <w:gridSpan w:val="5"/>
            <w:shd w:val="clear" w:color="auto" w:fill="CCEEFF"/>
          </w:tcPr>
          <w:p>
            <w:pPr>
              <w:jc w:val="center"/>
              <w:ind w:left="241"/>
              <w:spacing w:after="0" w:line="175" w:lineRule="exact"/>
              <w:rPr>
                <w:rFonts w:ascii="Arial" w:cs="Arial" w:eastAsia="Arial" w:hAnsi="Arial"/>
                <w:sz w:val="16"/>
                <w:szCs w:val="16"/>
                <w:color w:val="0000FF"/>
                <w:w w:val="86"/>
              </w:rPr>
            </w:pPr>
            <w:hyperlink r:id="rId157">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13.3</w:t>
              </w:r>
            </w:hyperlink>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1"/>
              </w:rPr>
              <w:t>Amendment No. 3, dated as of March 14, 2017, to the Loan Agreement dated as of April 29, 2016, by and among Western Digital Corporation, JPMorgan</w:t>
            </w:r>
          </w:p>
        </w:tc>
        <w:tc>
          <w:tcPr>
            <w:tcW w:w="0" w:type="dxa"/>
            <w:vAlign w:val="bottom"/>
          </w:tcPr>
          <w:p>
            <w:pPr>
              <w:spacing w:after="0"/>
              <w:rPr>
                <w:sz w:val="1"/>
                <w:szCs w:val="1"/>
                <w:color w:val="auto"/>
              </w:rPr>
            </w:pPr>
          </w:p>
        </w:tc>
      </w:tr>
      <w:tr>
        <w:trPr>
          <w:trHeight w:val="129"/>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Chase Bank, N.A., as administrative agent and collateral agent, the lenders party thereto and the other loan parties thereto (Filed as Exhibit 10.1 to the</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March 14, 2017)</w:t>
            </w:r>
          </w:p>
        </w:tc>
        <w:tc>
          <w:tcPr>
            <w:tcW w:w="0" w:type="dxa"/>
            <w:vAlign w:val="bottom"/>
          </w:tcPr>
          <w:p>
            <w:pPr>
              <w:spacing w:after="0"/>
              <w:rPr>
                <w:sz w:val="1"/>
                <w:szCs w:val="1"/>
                <w:color w:val="auto"/>
              </w:rPr>
            </w:pPr>
          </w:p>
        </w:tc>
      </w:tr>
      <w:tr>
        <w:trPr>
          <w:trHeight w:val="172"/>
        </w:trPr>
        <w:tc>
          <w:tcPr>
            <w:tcW w:w="780" w:type="dxa"/>
            <w:vAlign w:val="bottom"/>
            <w:gridSpan w:val="5"/>
          </w:tcPr>
          <w:p>
            <w:pPr>
              <w:jc w:val="center"/>
              <w:ind w:left="241"/>
              <w:spacing w:after="0" w:line="172" w:lineRule="exact"/>
              <w:rPr>
                <w:rFonts w:ascii="Arial" w:cs="Arial" w:eastAsia="Arial" w:hAnsi="Arial"/>
                <w:sz w:val="16"/>
                <w:szCs w:val="16"/>
                <w:color w:val="0000FF"/>
                <w:w w:val="86"/>
              </w:rPr>
            </w:pPr>
            <w:hyperlink r:id="rId158">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13.4</w:t>
              </w:r>
            </w:hyperlink>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1"/>
              </w:rPr>
              <w:t>Amendment No. 4, dated as of March 23, 2017, to the Loan Agreement dated as of April 29, 2016, by and among Western Digital Corporation, JPMorgan</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Chase Bank, N.A., as administrative agent and collateral agent, the lenders party thereto and the other loan parties thereto (Filed as Exhibit 10.1 to the</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March 23, 2017)</w:t>
            </w:r>
          </w:p>
        </w:tc>
        <w:tc>
          <w:tcPr>
            <w:tcW w:w="0" w:type="dxa"/>
            <w:vAlign w:val="bottom"/>
          </w:tcPr>
          <w:p>
            <w:pPr>
              <w:spacing w:after="0"/>
              <w:rPr>
                <w:sz w:val="1"/>
                <w:szCs w:val="1"/>
                <w:color w:val="auto"/>
              </w:rPr>
            </w:pPr>
          </w:p>
        </w:tc>
      </w:tr>
      <w:tr>
        <w:trPr>
          <w:trHeight w:val="175"/>
        </w:trPr>
        <w:tc>
          <w:tcPr>
            <w:tcW w:w="780" w:type="dxa"/>
            <w:vAlign w:val="bottom"/>
            <w:gridSpan w:val="5"/>
            <w:shd w:val="clear" w:color="auto" w:fill="CCEEFF"/>
          </w:tcPr>
          <w:p>
            <w:pPr>
              <w:jc w:val="center"/>
              <w:ind w:left="241"/>
              <w:spacing w:after="0" w:line="175" w:lineRule="exact"/>
              <w:rPr>
                <w:rFonts w:ascii="Arial" w:cs="Arial" w:eastAsia="Arial" w:hAnsi="Arial"/>
                <w:sz w:val="16"/>
                <w:szCs w:val="16"/>
                <w:color w:val="0000FF"/>
                <w:w w:val="86"/>
              </w:rPr>
            </w:pPr>
            <w:hyperlink r:id="rId159">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13.5</w:t>
              </w:r>
            </w:hyperlink>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6"/>
              </w:rPr>
              <w:t>Amendment No. 5, dated as of November 8, 2017, to the Loan Agreement dated as of April 29, 2016, by and among Western Digital Corporation,</w:t>
            </w:r>
          </w:p>
        </w:tc>
        <w:tc>
          <w:tcPr>
            <w:tcW w:w="0" w:type="dxa"/>
            <w:vAlign w:val="bottom"/>
          </w:tcPr>
          <w:p>
            <w:pPr>
              <w:spacing w:after="0"/>
              <w:rPr>
                <w:sz w:val="1"/>
                <w:szCs w:val="1"/>
                <w:color w:val="auto"/>
              </w:rPr>
            </w:pPr>
          </w:p>
        </w:tc>
      </w:tr>
      <w:tr>
        <w:trPr>
          <w:trHeight w:val="129"/>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JPMorgan Chase Bank, N.A., as administrative agent and collateral agent, the lenders party thereto and the other loan parties thereto (Filed as Exhibit 10.1</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November 8, 2017)</w:t>
            </w:r>
          </w:p>
        </w:tc>
        <w:tc>
          <w:tcPr>
            <w:tcW w:w="0" w:type="dxa"/>
            <w:vAlign w:val="bottom"/>
          </w:tcPr>
          <w:p>
            <w:pPr>
              <w:spacing w:after="0"/>
              <w:rPr>
                <w:sz w:val="1"/>
                <w:szCs w:val="1"/>
                <w:color w:val="auto"/>
              </w:rPr>
            </w:pPr>
          </w:p>
        </w:tc>
      </w:tr>
      <w:tr>
        <w:trPr>
          <w:trHeight w:val="172"/>
        </w:trPr>
        <w:tc>
          <w:tcPr>
            <w:tcW w:w="780" w:type="dxa"/>
            <w:vAlign w:val="bottom"/>
            <w:gridSpan w:val="5"/>
          </w:tcPr>
          <w:p>
            <w:pPr>
              <w:jc w:val="center"/>
              <w:ind w:left="241"/>
              <w:spacing w:after="0" w:line="172" w:lineRule="exact"/>
              <w:rPr>
                <w:rFonts w:ascii="Arial" w:cs="Arial" w:eastAsia="Arial" w:hAnsi="Arial"/>
                <w:sz w:val="16"/>
                <w:szCs w:val="16"/>
                <w:color w:val="0000FF"/>
                <w:w w:val="86"/>
              </w:rPr>
            </w:pPr>
            <w:hyperlink r:id="rId160">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13.6</w:t>
              </w:r>
            </w:hyperlink>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5"/>
              </w:rPr>
              <w:t>Amendment No. 6, dated as of November 29, 2017, to the Loan Agreement dated as of April 29, 2016, by and among Western Digital Corporation,</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JPMorgan Chase Bank, N.A., as administrative agent and collateral agent, the lenders party thereto and the other loan parties thereto (Filed as Exhibit 10.1</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November 29, 2017)</w:t>
            </w:r>
          </w:p>
        </w:tc>
        <w:tc>
          <w:tcPr>
            <w:tcW w:w="0" w:type="dxa"/>
            <w:vAlign w:val="bottom"/>
          </w:tcPr>
          <w:p>
            <w:pPr>
              <w:spacing w:after="0"/>
              <w:rPr>
                <w:sz w:val="1"/>
                <w:szCs w:val="1"/>
                <w:color w:val="auto"/>
              </w:rPr>
            </w:pPr>
          </w:p>
        </w:tc>
      </w:tr>
      <w:tr>
        <w:trPr>
          <w:trHeight w:val="175"/>
        </w:trPr>
        <w:tc>
          <w:tcPr>
            <w:tcW w:w="780" w:type="dxa"/>
            <w:vAlign w:val="bottom"/>
            <w:gridSpan w:val="5"/>
            <w:shd w:val="clear" w:color="auto" w:fill="CCEEFF"/>
          </w:tcPr>
          <w:p>
            <w:pPr>
              <w:jc w:val="center"/>
              <w:ind w:left="241"/>
              <w:spacing w:after="0" w:line="175" w:lineRule="exact"/>
              <w:rPr>
                <w:rFonts w:ascii="Arial" w:cs="Arial" w:eastAsia="Arial" w:hAnsi="Arial"/>
                <w:sz w:val="16"/>
                <w:szCs w:val="16"/>
                <w:color w:val="0000FF"/>
                <w:w w:val="86"/>
              </w:rPr>
            </w:pPr>
            <w:hyperlink r:id="rId161">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13.7</w:t>
              </w:r>
            </w:hyperlink>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6"/>
              </w:rPr>
              <w:t>Amendment No. 7, dated as of February 27, 2018, to the Loan Agreement dated as of April 29, 2016, by and among Western Digital Corporation,</w:t>
            </w:r>
          </w:p>
        </w:tc>
        <w:tc>
          <w:tcPr>
            <w:tcW w:w="0" w:type="dxa"/>
            <w:vAlign w:val="bottom"/>
          </w:tcPr>
          <w:p>
            <w:pPr>
              <w:spacing w:after="0"/>
              <w:rPr>
                <w:sz w:val="1"/>
                <w:szCs w:val="1"/>
                <w:color w:val="auto"/>
              </w:rPr>
            </w:pPr>
          </w:p>
        </w:tc>
      </w:tr>
      <w:tr>
        <w:trPr>
          <w:trHeight w:val="129"/>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JPMorgan Chase Bank, N.A., as administrative agent and collateral agent, the lenders party thereto and the other loan parties thereto (Filed as Exhibit 10.1</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February 27, 2018)</w:t>
            </w:r>
          </w:p>
        </w:tc>
        <w:tc>
          <w:tcPr>
            <w:tcW w:w="0" w:type="dxa"/>
            <w:vAlign w:val="bottom"/>
          </w:tcPr>
          <w:p>
            <w:pPr>
              <w:spacing w:after="0"/>
              <w:rPr>
                <w:sz w:val="1"/>
                <w:szCs w:val="1"/>
                <w:color w:val="auto"/>
              </w:rPr>
            </w:pPr>
          </w:p>
        </w:tc>
      </w:tr>
      <w:tr>
        <w:trPr>
          <w:trHeight w:val="172"/>
        </w:trPr>
        <w:tc>
          <w:tcPr>
            <w:tcW w:w="780" w:type="dxa"/>
            <w:vAlign w:val="bottom"/>
            <w:gridSpan w:val="5"/>
          </w:tcPr>
          <w:p>
            <w:pPr>
              <w:jc w:val="center"/>
              <w:ind w:left="241"/>
              <w:spacing w:after="0" w:line="172" w:lineRule="exact"/>
              <w:rPr>
                <w:rFonts w:ascii="Arial" w:cs="Arial" w:eastAsia="Arial" w:hAnsi="Arial"/>
                <w:sz w:val="16"/>
                <w:szCs w:val="16"/>
                <w:color w:val="0000FF"/>
                <w:w w:val="86"/>
              </w:rPr>
            </w:pPr>
            <w:hyperlink r:id="rId162">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13.8</w:t>
              </w:r>
            </w:hyperlink>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2"/>
              </w:rPr>
              <w:t>Amendment No. 8, dated as of May 15, 2018, to the Loan Agreement dated as of April 29, 2016, by and among Western Digital Corporation, JPMorgan</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Chase Bank, N.A., as administrative agent and collateral agent, the lenders party thereto and the other loan parties thereto (Filed as Exhibit 10.1 to the</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May 15, 2018)</w:t>
            </w:r>
          </w:p>
        </w:tc>
        <w:tc>
          <w:tcPr>
            <w:tcW w:w="0" w:type="dxa"/>
            <w:vAlign w:val="bottom"/>
          </w:tcPr>
          <w:p>
            <w:pPr>
              <w:spacing w:after="0"/>
              <w:rPr>
                <w:sz w:val="1"/>
                <w:szCs w:val="1"/>
                <w:color w:val="auto"/>
              </w:rPr>
            </w:pPr>
          </w:p>
        </w:tc>
      </w:tr>
      <w:tr>
        <w:trPr>
          <w:trHeight w:val="175"/>
        </w:trPr>
        <w:tc>
          <w:tcPr>
            <w:tcW w:w="780" w:type="dxa"/>
            <w:vAlign w:val="bottom"/>
            <w:gridSpan w:val="5"/>
            <w:shd w:val="clear" w:color="auto" w:fill="CCEEFF"/>
          </w:tcPr>
          <w:p>
            <w:pPr>
              <w:jc w:val="center"/>
              <w:ind w:left="241"/>
              <w:spacing w:after="0" w:line="175" w:lineRule="exact"/>
              <w:rPr>
                <w:rFonts w:ascii="Arial" w:cs="Arial" w:eastAsia="Arial" w:hAnsi="Arial"/>
                <w:sz w:val="16"/>
                <w:szCs w:val="16"/>
                <w:color w:val="0000FF"/>
                <w:w w:val="86"/>
              </w:rPr>
            </w:pPr>
            <w:hyperlink r:id="rId163">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13.9</w:t>
              </w:r>
            </w:hyperlink>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2"/>
              </w:rPr>
              <w:t>Amendment No. 9, dated as of April 29, 2019, to the Loan Agreement dated as of April 29, 2016, by and among Western Digital Corporation, JPMorgan</w:t>
            </w:r>
          </w:p>
        </w:tc>
        <w:tc>
          <w:tcPr>
            <w:tcW w:w="0" w:type="dxa"/>
            <w:vAlign w:val="bottom"/>
          </w:tcPr>
          <w:p>
            <w:pPr>
              <w:spacing w:after="0"/>
              <w:rPr>
                <w:sz w:val="1"/>
                <w:szCs w:val="1"/>
                <w:color w:val="auto"/>
              </w:rPr>
            </w:pPr>
          </w:p>
        </w:tc>
      </w:tr>
      <w:tr>
        <w:trPr>
          <w:trHeight w:val="129"/>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Chase Bank, N.A., as administrative agent and collateral agent, the lenders party thereto and the other loan parties thereto (Filed as Exhibit 10.2 to the</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Company’s Quarterly Report on Form 10-Q (File No. 1-08703) with the Securities and Exchange Commission on May 7, 2019)</w:t>
            </w:r>
          </w:p>
        </w:tc>
        <w:tc>
          <w:tcPr>
            <w:tcW w:w="0" w:type="dxa"/>
            <w:vAlign w:val="bottom"/>
          </w:tcPr>
          <w:p>
            <w:pPr>
              <w:spacing w:after="0"/>
              <w:rPr>
                <w:sz w:val="1"/>
                <w:szCs w:val="1"/>
                <w:color w:val="auto"/>
              </w:rPr>
            </w:pPr>
          </w:p>
        </w:tc>
      </w:tr>
      <w:tr>
        <w:trPr>
          <w:trHeight w:val="172"/>
        </w:trPr>
        <w:tc>
          <w:tcPr>
            <w:tcW w:w="820" w:type="dxa"/>
            <w:vAlign w:val="bottom"/>
            <w:gridSpan w:val="6"/>
          </w:tcPr>
          <w:p>
            <w:pPr>
              <w:jc w:val="center"/>
              <w:ind w:left="201"/>
              <w:spacing w:after="0" w:line="172" w:lineRule="exact"/>
              <w:rPr>
                <w:rFonts w:ascii="Arial" w:cs="Arial" w:eastAsia="Arial" w:hAnsi="Arial"/>
                <w:sz w:val="16"/>
                <w:szCs w:val="16"/>
                <w:color w:val="0000FF"/>
                <w:w w:val="86"/>
              </w:rPr>
            </w:pPr>
            <w:hyperlink r:id="rId164">
              <w:r>
                <w:rPr>
                  <w:rFonts w:ascii="Arial" w:cs="Arial" w:eastAsia="Arial" w:hAnsi="Arial"/>
                  <w:sz w:val="16"/>
                  <w:szCs w:val="16"/>
                  <w:color w:val="0000FF"/>
                  <w:w w:val="86"/>
                </w:rPr>
                <w:t>10.</w:t>
              </w:r>
              <w:r>
                <w:rPr>
                  <w:rFonts w:ascii="Arial" w:cs="Arial" w:eastAsia="Arial" w:hAnsi="Arial"/>
                  <w:sz w:val="16"/>
                  <w:szCs w:val="16"/>
                  <w:u w:val="single" w:color="auto"/>
                  <w:color w:val="0000FF"/>
                  <w:w w:val="86"/>
                </w:rPr>
                <w:t>13.10</w:t>
              </w:r>
            </w:hyperlink>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6"/>
              </w:rPr>
              <w:t>Amendment No. 10, dated as of July 2, 2020, to the Loan Agreement dated as of April 29, 2016, by and between Western Digital Corporation and</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tcPr>
          <w:p>
            <w:pPr>
              <w:ind w:left="20"/>
              <w:spacing w:after="0" w:line="155" w:lineRule="exact"/>
              <w:rPr>
                <w:sz w:val="20"/>
                <w:szCs w:val="20"/>
                <w:color w:val="auto"/>
              </w:rPr>
            </w:pPr>
            <w:r>
              <w:rPr>
                <w:rFonts w:ascii="Arial" w:cs="Arial" w:eastAsia="Arial" w:hAnsi="Arial"/>
                <w:sz w:val="16"/>
                <w:szCs w:val="16"/>
                <w:color w:val="auto"/>
                <w:w w:val="92"/>
              </w:rPr>
              <w:t>JPMorgan Chase Bank, N.A., as administrative agent (Filed as Exhibit 10.13.10 to the Company’s Annual Report on Form 10-K (File No. 1-08703) with</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the Securities and Exchange Commission on August 28, 2020)</w:t>
            </w:r>
          </w:p>
        </w:tc>
        <w:tc>
          <w:tcPr>
            <w:tcW w:w="0" w:type="dxa"/>
            <w:vAlign w:val="bottom"/>
          </w:tcPr>
          <w:p>
            <w:pPr>
              <w:spacing w:after="0"/>
              <w:rPr>
                <w:sz w:val="1"/>
                <w:szCs w:val="1"/>
                <w:color w:val="auto"/>
              </w:rPr>
            </w:pPr>
          </w:p>
        </w:tc>
      </w:tr>
      <w:tr>
        <w:trPr>
          <w:trHeight w:val="181"/>
        </w:trPr>
        <w:tc>
          <w:tcPr>
            <w:tcW w:w="720" w:type="dxa"/>
            <w:vAlign w:val="bottom"/>
            <w:gridSpan w:val="4"/>
            <w:shd w:val="clear" w:color="auto" w:fill="CCEEFF"/>
          </w:tcPr>
          <w:p>
            <w:pPr>
              <w:jc w:val="center"/>
              <w:ind w:left="301"/>
              <w:spacing w:after="0" w:line="181" w:lineRule="exact"/>
              <w:rPr>
                <w:rFonts w:ascii="Arial" w:cs="Arial" w:eastAsia="Arial" w:hAnsi="Arial"/>
                <w:sz w:val="16"/>
                <w:szCs w:val="16"/>
                <w:color w:val="0000FF"/>
                <w:w w:val="84"/>
              </w:rPr>
            </w:pPr>
            <w:hyperlink r:id="rId165">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14</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w w:val="90"/>
              </w:rPr>
              <w:t>Guaranty Agreement, dated as of April 29, 2016, by and among Western Digital Corporation, the subsidiary guarantors party thereto and JPMorgan Chase</w:t>
            </w:r>
          </w:p>
        </w:tc>
        <w:tc>
          <w:tcPr>
            <w:tcW w:w="0" w:type="dxa"/>
            <w:vAlign w:val="bottom"/>
          </w:tcPr>
          <w:p>
            <w:pPr>
              <w:spacing w:after="0"/>
              <w:rPr>
                <w:sz w:val="1"/>
                <w:szCs w:val="1"/>
                <w:color w:val="auto"/>
              </w:rPr>
            </w:pPr>
          </w:p>
        </w:tc>
      </w:tr>
      <w:tr>
        <w:trPr>
          <w:trHeight w:val="129"/>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Bank, N.A., as administrative agent for the guaranteed creditors (Filed as Exhibit 10.2 to the Company’s Current Report on Form 8-K (File No.1-08703)</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the Securities and Exchange Commission on April 29, 2016)</w:t>
            </w:r>
          </w:p>
        </w:tc>
        <w:tc>
          <w:tcPr>
            <w:tcW w:w="0" w:type="dxa"/>
            <w:vAlign w:val="bottom"/>
          </w:tcPr>
          <w:p>
            <w:pPr>
              <w:spacing w:after="0"/>
              <w:rPr>
                <w:sz w:val="1"/>
                <w:szCs w:val="1"/>
                <w:color w:val="auto"/>
              </w:rPr>
            </w:pPr>
          </w:p>
        </w:tc>
      </w:tr>
      <w:tr>
        <w:trPr>
          <w:trHeight w:val="172"/>
        </w:trPr>
        <w:tc>
          <w:tcPr>
            <w:tcW w:w="720" w:type="dxa"/>
            <w:vAlign w:val="bottom"/>
            <w:gridSpan w:val="4"/>
          </w:tcPr>
          <w:p>
            <w:pPr>
              <w:jc w:val="center"/>
              <w:ind w:left="301"/>
              <w:spacing w:after="0" w:line="172" w:lineRule="exact"/>
              <w:rPr>
                <w:rFonts w:ascii="Arial" w:cs="Arial" w:eastAsia="Arial" w:hAnsi="Arial"/>
                <w:sz w:val="16"/>
                <w:szCs w:val="16"/>
                <w:color w:val="0000FF"/>
                <w:w w:val="84"/>
              </w:rPr>
            </w:pPr>
            <w:hyperlink r:id="rId166">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15</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0"/>
              </w:rPr>
              <w:t>Security Agreement, dated as of May 12, 2016, by and among the debtors (as defined therein) party thereto and JPMorgan Chase Bank, N.A., as collateral</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agent (Filed as Exhibit 10.2 to the Company’s Current Report on Form 8-K (File No. 1-08703) with the Securities and Exchange Commission on May 12,</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175"/>
        </w:trPr>
        <w:tc>
          <w:tcPr>
            <w:tcW w:w="720" w:type="dxa"/>
            <w:vAlign w:val="bottom"/>
            <w:gridSpan w:val="4"/>
            <w:shd w:val="clear" w:color="auto" w:fill="CCEEFF"/>
          </w:tcPr>
          <w:p>
            <w:pPr>
              <w:jc w:val="center"/>
              <w:ind w:left="301"/>
              <w:spacing w:after="0" w:line="175" w:lineRule="exact"/>
              <w:rPr>
                <w:rFonts w:ascii="Arial" w:cs="Arial" w:eastAsia="Arial" w:hAnsi="Arial"/>
                <w:sz w:val="16"/>
                <w:szCs w:val="16"/>
                <w:color w:val="0000FF"/>
                <w:w w:val="84"/>
              </w:rPr>
            </w:pPr>
            <w:hyperlink r:id="rId167">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16</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0"/>
              </w:rPr>
              <w:t>Flash Alliance Master Agreement, dated as of July 7, 2006, by and among SanDisk Corporation, Toshiba Corporation and SanDisk (Ireland) Limited (Filed</w:t>
            </w:r>
          </w:p>
        </w:tc>
        <w:tc>
          <w:tcPr>
            <w:tcW w:w="0" w:type="dxa"/>
            <w:vAlign w:val="bottom"/>
          </w:tcPr>
          <w:p>
            <w:pPr>
              <w:spacing w:after="0"/>
              <w:rPr>
                <w:sz w:val="1"/>
                <w:szCs w:val="1"/>
                <w:color w:val="auto"/>
              </w:rPr>
            </w:pPr>
          </w:p>
        </w:tc>
      </w:tr>
      <w:tr>
        <w:trPr>
          <w:trHeight w:val="129"/>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as Exhibit 10.1 to SanDisk Corporation’s Quarterly Report on Form 10-Q (File No. 000-26734) with the Securities and Exchange Commission on</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8, 2006)#</w:t>
            </w:r>
          </w:p>
        </w:tc>
        <w:tc>
          <w:tcPr>
            <w:tcW w:w="0" w:type="dxa"/>
            <w:vAlign w:val="bottom"/>
          </w:tcPr>
          <w:p>
            <w:pPr>
              <w:spacing w:after="0"/>
              <w:rPr>
                <w:sz w:val="1"/>
                <w:szCs w:val="1"/>
                <w:color w:val="auto"/>
              </w:rPr>
            </w:pPr>
          </w:p>
        </w:tc>
      </w:tr>
      <w:tr>
        <w:trPr>
          <w:trHeight w:val="172"/>
        </w:trPr>
        <w:tc>
          <w:tcPr>
            <w:tcW w:w="720" w:type="dxa"/>
            <w:vAlign w:val="bottom"/>
            <w:gridSpan w:val="4"/>
          </w:tcPr>
          <w:p>
            <w:pPr>
              <w:jc w:val="center"/>
              <w:ind w:left="301"/>
              <w:spacing w:after="0" w:line="172" w:lineRule="exact"/>
              <w:rPr>
                <w:rFonts w:ascii="Arial" w:cs="Arial" w:eastAsia="Arial" w:hAnsi="Arial"/>
                <w:sz w:val="16"/>
                <w:szCs w:val="16"/>
                <w:color w:val="0000FF"/>
                <w:w w:val="84"/>
              </w:rPr>
            </w:pPr>
            <w:hyperlink r:id="rId168">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17</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5"/>
              </w:rPr>
              <w:t>Operating Agreement of Flash Alliance, Ltd., dated as of July 7, 2006, by and between Toshiba Corporation and SanDisk (Ireland) Limited (Filed as</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Exhibit 10.2 to SanDisk Corporation’s Quarterly Report on Form 10-Q (File No. 000-26734) with the Securities and Exchange Commission on November</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8, 2006)#</w:t>
            </w:r>
          </w:p>
        </w:tc>
        <w:tc>
          <w:tcPr>
            <w:tcW w:w="0" w:type="dxa"/>
            <w:vAlign w:val="bottom"/>
          </w:tcPr>
          <w:p>
            <w:pPr>
              <w:spacing w:after="0"/>
              <w:rPr>
                <w:sz w:val="1"/>
                <w:szCs w:val="1"/>
                <w:color w:val="auto"/>
              </w:rPr>
            </w:pPr>
          </w:p>
        </w:tc>
      </w:tr>
      <w:tr>
        <w:trPr>
          <w:trHeight w:val="175"/>
        </w:trPr>
        <w:tc>
          <w:tcPr>
            <w:tcW w:w="720" w:type="dxa"/>
            <w:vAlign w:val="bottom"/>
            <w:gridSpan w:val="4"/>
            <w:shd w:val="clear" w:color="auto" w:fill="CCEEFF"/>
          </w:tcPr>
          <w:p>
            <w:pPr>
              <w:jc w:val="center"/>
              <w:ind w:left="301"/>
              <w:spacing w:after="0" w:line="175" w:lineRule="exact"/>
              <w:rPr>
                <w:rFonts w:ascii="Arial" w:cs="Arial" w:eastAsia="Arial" w:hAnsi="Arial"/>
                <w:sz w:val="16"/>
                <w:szCs w:val="16"/>
                <w:color w:val="0000FF"/>
                <w:w w:val="84"/>
              </w:rPr>
            </w:pPr>
            <w:hyperlink r:id="rId169">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18</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2"/>
              </w:rPr>
              <w:t>Joint Venture Restructure Agreement, dated as of January 29, 2009, by and among SanDisk Corporation, SanDisk (Ireland) Limited, SanDisk (Cayman)</w:t>
            </w:r>
          </w:p>
        </w:tc>
        <w:tc>
          <w:tcPr>
            <w:tcW w:w="0" w:type="dxa"/>
            <w:vAlign w:val="bottom"/>
          </w:tcPr>
          <w:p>
            <w:pPr>
              <w:spacing w:after="0"/>
              <w:rPr>
                <w:sz w:val="1"/>
                <w:szCs w:val="1"/>
                <w:color w:val="auto"/>
              </w:rPr>
            </w:pPr>
          </w:p>
        </w:tc>
      </w:tr>
      <w:tr>
        <w:trPr>
          <w:trHeight w:val="129"/>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Limited, Toshiba Corporation, Flash Partners Limited and Flash Alliance Limited (Filed as Exhibit 10.1 to SanDisk Corporation’s Quarterly Report on</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 10-Q (File No. 000-26734) with the Securities and Exchange Commission on May 7, 2009)#</w:t>
            </w:r>
          </w:p>
        </w:tc>
        <w:tc>
          <w:tcPr>
            <w:tcW w:w="0" w:type="dxa"/>
            <w:vAlign w:val="bottom"/>
          </w:tcPr>
          <w:p>
            <w:pPr>
              <w:spacing w:after="0"/>
              <w:rPr>
                <w:sz w:val="1"/>
                <w:szCs w:val="1"/>
                <w:color w:val="auto"/>
              </w:rPr>
            </w:pPr>
          </w:p>
        </w:tc>
      </w:tr>
      <w:tr>
        <w:trPr>
          <w:trHeight w:val="172"/>
        </w:trPr>
        <w:tc>
          <w:tcPr>
            <w:tcW w:w="720" w:type="dxa"/>
            <w:vAlign w:val="bottom"/>
            <w:gridSpan w:val="4"/>
          </w:tcPr>
          <w:p>
            <w:pPr>
              <w:jc w:val="center"/>
              <w:ind w:left="301"/>
              <w:spacing w:after="0" w:line="172" w:lineRule="exact"/>
              <w:rPr>
                <w:rFonts w:ascii="Arial" w:cs="Arial" w:eastAsia="Arial" w:hAnsi="Arial"/>
                <w:sz w:val="16"/>
                <w:szCs w:val="16"/>
                <w:color w:val="0000FF"/>
                <w:w w:val="84"/>
              </w:rPr>
            </w:pPr>
            <w:hyperlink r:id="rId170">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19</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6"/>
              </w:rPr>
              <w:t>New Y2 Facility Agreement, dated October 20, 2015, by and among SanDisk Corporation, SanDisk (Ireland) Limited, SanDisk (Cayman) Limited,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SanDisk Flash B.V., Toshiba Corporation, Flash Partners Limited, Flash Alliance Limited and Flash Forward Limited (Filed as Exhibit 10.37 to SanDisk</w:t>
            </w: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Corporation’s Annual Report on Form 10-K (File No. 000-26734) with the Securities and Exchange Commission on February 12,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20" w:type="dxa"/>
            <w:vAlign w:val="bottom"/>
            <w:tcBorders>
              <w:top w:val="single" w:sz="8" w:color="auto"/>
            </w:tcBorders>
            <w:gridSpan w:val="2"/>
            <w:shd w:val="clear" w:color="auto" w:fill="CCEEFF"/>
          </w:tcPr>
          <w:p>
            <w:pPr>
              <w:jc w:val="center"/>
              <w:ind w:left="303"/>
              <w:spacing w:after="0" w:line="166" w:lineRule="exact"/>
              <w:rPr>
                <w:rFonts w:ascii="Arial" w:cs="Arial" w:eastAsia="Arial" w:hAnsi="Arial"/>
                <w:sz w:val="16"/>
                <w:szCs w:val="16"/>
                <w:color w:val="0000FF"/>
                <w:w w:val="84"/>
              </w:rPr>
            </w:pPr>
            <w:hyperlink r:id="rId172">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20</w:t>
              </w:r>
            </w:hyperlink>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6"/>
                <w:szCs w:val="16"/>
                <w:color w:val="auto"/>
                <w:w w:val="90"/>
              </w:rPr>
              <w:t>FAL Commitment and Extension Agreement, dated as of December 12, 2017, by and among Western Digital Corporation, SanDisk LLC, SanDisk (Ireland)</w:t>
            </w:r>
          </w:p>
        </w:tc>
        <w:tc>
          <w:tcPr>
            <w:tcW w:w="0" w:type="dxa"/>
            <w:vAlign w:val="bottom"/>
          </w:tcPr>
          <w:p>
            <w:pPr>
              <w:spacing w:after="0"/>
              <w:rPr>
                <w:sz w:val="1"/>
                <w:szCs w:val="1"/>
                <w:color w:val="auto"/>
              </w:rPr>
            </w:pPr>
          </w:p>
        </w:tc>
      </w:tr>
      <w:tr>
        <w:trPr>
          <w:trHeight w:val="129"/>
        </w:trPr>
        <w:tc>
          <w:tcPr>
            <w:tcW w:w="3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Limited and Toshiba Memory Corporation (Filed as Exhibit 10.6 to the Company’s Quarterly Report on Form 10-Q (File No. 1-08703) with the Securities</w:t>
            </w: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Exchange Commission on February 6, 2018)#</w:t>
            </w: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left="303"/>
              <w:spacing w:after="0" w:line="172" w:lineRule="exact"/>
              <w:rPr>
                <w:rFonts w:ascii="Arial" w:cs="Arial" w:eastAsia="Arial" w:hAnsi="Arial"/>
                <w:sz w:val="16"/>
                <w:szCs w:val="16"/>
                <w:color w:val="0000FF"/>
                <w:w w:val="84"/>
              </w:rPr>
            </w:pPr>
            <w:hyperlink r:id="rId173">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21</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2"/>
              </w:rPr>
              <w:t>Y6 Facility Agreement, dated as of December 12, 2017, by and among Western Digital Corporation, SanDisk LLC, SanDisk (Cayman) Limited, SanDisk</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(Ireland) Limited, SanDisk Flash B.V., Flash Partners, Ltd., Flash Alliance, Ltd., Flash Forward, Ltd. and Toshiba Memory Corporation (Filed as Exhibit</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7"/>
              </w:rPr>
              <w:t>10.7 to the Company’s Quarterly Report on Form 10-Q (File No. 1-08703) with the Securities and Exchange Commission on February 6, 2018)#</w:t>
            </w:r>
          </w:p>
        </w:tc>
        <w:tc>
          <w:tcPr>
            <w:tcW w:w="0" w:type="dxa"/>
            <w:vAlign w:val="bottom"/>
          </w:tcPr>
          <w:p>
            <w:pPr>
              <w:spacing w:after="0"/>
              <w:rPr>
                <w:sz w:val="1"/>
                <w:szCs w:val="1"/>
                <w:color w:val="auto"/>
              </w:rPr>
            </w:pPr>
          </w:p>
        </w:tc>
      </w:tr>
      <w:tr>
        <w:trPr>
          <w:trHeight w:val="175"/>
        </w:trPr>
        <w:tc>
          <w:tcPr>
            <w:tcW w:w="720" w:type="dxa"/>
            <w:vAlign w:val="bottom"/>
            <w:gridSpan w:val="2"/>
            <w:shd w:val="clear" w:color="auto" w:fill="CCEEFF"/>
          </w:tcPr>
          <w:p>
            <w:pPr>
              <w:jc w:val="center"/>
              <w:ind w:left="303"/>
              <w:spacing w:after="0" w:line="175" w:lineRule="exact"/>
              <w:rPr>
                <w:rFonts w:ascii="Arial" w:cs="Arial" w:eastAsia="Arial" w:hAnsi="Arial"/>
                <w:sz w:val="16"/>
                <w:szCs w:val="16"/>
                <w:color w:val="0000FF"/>
                <w:w w:val="84"/>
              </w:rPr>
            </w:pPr>
            <w:hyperlink r:id="rId174">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22</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3"/>
              </w:rPr>
              <w:t>K1 Facility Agreement, dated as of May 15, 2019, by and among Western Digital, SanDisk LLC, SanDisk (Cayman) Limited, SanDisk (Ireland) Limited,</w:t>
            </w:r>
          </w:p>
        </w:tc>
        <w:tc>
          <w:tcPr>
            <w:tcW w:w="0" w:type="dxa"/>
            <w:vAlign w:val="bottom"/>
          </w:tcPr>
          <w:p>
            <w:pPr>
              <w:spacing w:after="0"/>
              <w:rPr>
                <w:sz w:val="1"/>
                <w:szCs w:val="1"/>
                <w:color w:val="auto"/>
              </w:rPr>
            </w:pPr>
          </w:p>
        </w:tc>
      </w:tr>
      <w:tr>
        <w:trPr>
          <w:trHeight w:val="129"/>
        </w:trPr>
        <w:tc>
          <w:tcPr>
            <w:tcW w:w="3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SanDisk Flash B.V., Flash Partners, Ltd., Flash Alliance, Ltd., Flash Forward Ltd., Toshiba Memory Corporation and Toshiba Memory Corporation Iwate</w:t>
            </w: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3"/>
              </w:rPr>
              <w:t>(Filed as Exhibit 10.21 to the Company’s Annual Report on Form 10-K (File No. 1-08703) with the Securities and Exchange Commission on August 27,</w:t>
            </w: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left="303"/>
              <w:spacing w:after="0" w:line="172" w:lineRule="exact"/>
              <w:rPr>
                <w:rFonts w:ascii="Arial" w:cs="Arial" w:eastAsia="Arial" w:hAnsi="Arial"/>
                <w:sz w:val="16"/>
                <w:szCs w:val="16"/>
                <w:color w:val="0000FF"/>
                <w:w w:val="84"/>
              </w:rPr>
            </w:pPr>
            <w:hyperlink r:id="rId175">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23</w:t>
              </w:r>
            </w:hyperlink>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72" w:lineRule="exact"/>
              <w:rPr>
                <w:sz w:val="20"/>
                <w:szCs w:val="20"/>
                <w:color w:val="auto"/>
              </w:rPr>
            </w:pPr>
            <w:r>
              <w:rPr>
                <w:rFonts w:ascii="Arial" w:cs="Arial" w:eastAsia="Arial" w:hAnsi="Arial"/>
                <w:sz w:val="16"/>
                <w:szCs w:val="16"/>
                <w:color w:val="auto"/>
                <w:w w:val="94"/>
              </w:rPr>
              <w:t>Confidential Settlement and Mutual Release Agreement, dated as of December 12, 2017, by and among Western Digital Corporation, SanDisk LLC,</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29" w:lineRule="exact"/>
              <w:rPr>
                <w:sz w:val="20"/>
                <w:szCs w:val="20"/>
                <w:color w:val="auto"/>
              </w:rPr>
            </w:pPr>
            <w:r>
              <w:rPr>
                <w:rFonts w:ascii="Arial" w:cs="Arial" w:eastAsia="Arial" w:hAnsi="Arial"/>
                <w:sz w:val="14"/>
                <w:szCs w:val="14"/>
                <w:color w:val="auto"/>
              </w:rPr>
              <w:t>SanDisk (Cayman) Limited, SanDisk (Ireland) Limited, SanDisk Flash B.V., Toshiba Corporation and Toshiba Memory Corporation (Filed as Exhibit 10.8</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to the Company’s Quarterly Report on Form 10-Q (File No. 1-08703) with the Securities and Exchange Commission on February 6, 2018)#</w:t>
            </w:r>
          </w:p>
        </w:tc>
        <w:tc>
          <w:tcPr>
            <w:tcW w:w="0" w:type="dxa"/>
            <w:vAlign w:val="bottom"/>
          </w:tcPr>
          <w:p>
            <w:pPr>
              <w:spacing w:after="0"/>
              <w:rPr>
                <w:sz w:val="1"/>
                <w:szCs w:val="1"/>
                <w:color w:val="auto"/>
              </w:rPr>
            </w:pPr>
          </w:p>
        </w:tc>
      </w:tr>
      <w:tr>
        <w:trPr>
          <w:trHeight w:val="175"/>
        </w:trPr>
        <w:tc>
          <w:tcPr>
            <w:tcW w:w="720" w:type="dxa"/>
            <w:vAlign w:val="bottom"/>
            <w:gridSpan w:val="2"/>
            <w:shd w:val="clear" w:color="auto" w:fill="CCEEFF"/>
          </w:tcPr>
          <w:p>
            <w:pPr>
              <w:jc w:val="center"/>
              <w:ind w:left="303"/>
              <w:spacing w:after="0" w:line="175" w:lineRule="exact"/>
              <w:rPr>
                <w:rFonts w:ascii="Arial" w:cs="Arial" w:eastAsia="Arial" w:hAnsi="Arial"/>
                <w:sz w:val="16"/>
                <w:szCs w:val="16"/>
                <w:color w:val="0000FF"/>
                <w:w w:val="84"/>
              </w:rPr>
            </w:pPr>
            <w:hyperlink r:id="rId176">
              <w:r>
                <w:rPr>
                  <w:rFonts w:ascii="Arial" w:cs="Arial" w:eastAsia="Arial" w:hAnsi="Arial"/>
                  <w:sz w:val="16"/>
                  <w:szCs w:val="16"/>
                  <w:color w:val="0000FF"/>
                  <w:w w:val="84"/>
                </w:rPr>
                <w:t>10.</w:t>
              </w:r>
              <w:r>
                <w:rPr>
                  <w:rFonts w:ascii="Arial" w:cs="Arial" w:eastAsia="Arial" w:hAnsi="Arial"/>
                  <w:sz w:val="16"/>
                  <w:szCs w:val="16"/>
                  <w:u w:val="single" w:color="auto"/>
                  <w:color w:val="0000FF"/>
                  <w:w w:val="84"/>
                </w:rPr>
                <w:t>24</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4"/>
              </w:rPr>
              <w:t>Confidential Settlement and Mutual Release Agreement, dated as of December 12, 2017, by and among Western Digital Corporation, SanDisk LLC,</w:t>
            </w:r>
          </w:p>
        </w:tc>
        <w:tc>
          <w:tcPr>
            <w:tcW w:w="0" w:type="dxa"/>
            <w:vAlign w:val="bottom"/>
          </w:tcPr>
          <w:p>
            <w:pPr>
              <w:spacing w:after="0"/>
              <w:rPr>
                <w:sz w:val="1"/>
                <w:szCs w:val="1"/>
                <w:color w:val="auto"/>
              </w:rPr>
            </w:pPr>
          </w:p>
        </w:tc>
      </w:tr>
      <w:tr>
        <w:trPr>
          <w:trHeight w:val="129"/>
        </w:trPr>
        <w:tc>
          <w:tcPr>
            <w:tcW w:w="3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SanDisk (Cayman) Limited, SanDisk (Ireland) Limited, SanDisk Flash B.V., Bain Capital Private Equity, L.P., BCPE Pangea Cayman, L.P., BCPE Pangea</w:t>
            </w: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1"/>
              </w:rPr>
              <w:t>Cayman2, Ltd., Bain Capital Fund XII, L.P., Bain Capital Asia Fund III, L.P. and K.K. Pangea (Filed as Exhibit 10.9 to the Company’s Quarterly Report on</w:t>
            </w: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 10-Q (File No. 1-08703) with the Securities and Exchange Commission on February 6, 2018)#</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280" w:hanging="771"/>
        <w:spacing w:after="0"/>
        <w:tabs>
          <w:tab w:leader="none" w:pos="1280" w:val="left"/>
        </w:tabs>
        <w:numPr>
          <w:ilvl w:val="0"/>
          <w:numId w:val="20"/>
        </w:numPr>
        <w:rPr>
          <w:rFonts w:ascii="Arial" w:cs="Arial" w:eastAsia="Arial" w:hAnsi="Arial"/>
          <w:sz w:val="16"/>
          <w:szCs w:val="16"/>
          <w:u w:val="single" w:color="auto"/>
          <w:color w:val="0000FF"/>
        </w:rPr>
      </w:pPr>
      <w:r>
        <w:rPr>
          <w:rFonts w:ascii="Arial" w:cs="Arial" w:eastAsia="Arial" w:hAnsi="Arial"/>
          <w:sz w:val="16"/>
          <w:szCs w:val="16"/>
          <w:color w:val="auto"/>
        </w:rPr>
        <w:t>Subsidiaries of 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15875</wp:posOffset>
            </wp:positionV>
            <wp:extent cx="7109460" cy="134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7109460" cy="134620"/>
                    </a:xfrm>
                    <a:prstGeom prst="rect">
                      <a:avLst/>
                    </a:prstGeom>
                    <a:noFill/>
                  </pic:spPr>
                </pic:pic>
              </a:graphicData>
            </a:graphic>
          </wp:anchor>
        </w:drawing>
      </w:r>
    </w:p>
    <w:p>
      <w:pPr>
        <w:spacing w:after="0" w:line="8" w:lineRule="exact"/>
        <w:rPr>
          <w:sz w:val="20"/>
          <w:szCs w:val="20"/>
          <w:color w:val="auto"/>
        </w:rPr>
      </w:pPr>
    </w:p>
    <w:p>
      <w:pPr>
        <w:ind w:left="1280" w:hanging="771"/>
        <w:spacing w:after="0"/>
        <w:tabs>
          <w:tab w:leader="none" w:pos="1280" w:val="left"/>
        </w:tabs>
        <w:numPr>
          <w:ilvl w:val="0"/>
          <w:numId w:val="21"/>
        </w:numPr>
        <w:rPr>
          <w:rFonts w:ascii="Arial" w:cs="Arial" w:eastAsia="Arial" w:hAnsi="Arial"/>
          <w:sz w:val="16"/>
          <w:szCs w:val="16"/>
          <w:u w:val="single" w:color="auto"/>
          <w:color w:val="0000FF"/>
        </w:rPr>
      </w:pPr>
      <w:r>
        <w:rPr>
          <w:rFonts w:ascii="Arial" w:cs="Arial" w:eastAsia="Arial" w:hAnsi="Arial"/>
          <w:sz w:val="16"/>
          <w:szCs w:val="16"/>
          <w:color w:val="auto"/>
        </w:rPr>
        <w:t>Consent of Independent Registered Public Accounting Firm†</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640" w:type="dxa"/>
            <w:vAlign w:val="bottom"/>
            <w:gridSpan w:val="2"/>
          </w:tcPr>
          <w:p>
            <w:pPr>
              <w:jc w:val="center"/>
              <w:ind w:right="360"/>
              <w:spacing w:after="0"/>
              <w:rPr>
                <w:rFonts w:ascii="Arial" w:cs="Arial" w:eastAsia="Arial" w:hAnsi="Arial"/>
                <w:sz w:val="16"/>
                <w:szCs w:val="16"/>
                <w:color w:val="0000FF"/>
                <w:w w:val="89"/>
              </w:rPr>
            </w:pPr>
            <w:hyperlink w:anchor="page148">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0140" w:type="dxa"/>
            <w:vAlign w:val="bottom"/>
          </w:tcPr>
          <w:p>
            <w:pPr>
              <w:ind w:left="200"/>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tc>
      </w:tr>
      <w:tr>
        <w:trPr>
          <w:trHeight w:val="30"/>
        </w:trPr>
        <w:tc>
          <w:tcPr>
            <w:tcW w:w="4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140" w:type="dxa"/>
            <w:vAlign w:val="bottom"/>
          </w:tcPr>
          <w:p>
            <w:pPr>
              <w:spacing w:after="0"/>
              <w:rPr>
                <w:sz w:val="2"/>
                <w:szCs w:val="2"/>
                <w:color w:val="auto"/>
              </w:rPr>
            </w:pPr>
          </w:p>
        </w:tc>
      </w:tr>
      <w:tr>
        <w:trPr>
          <w:trHeight w:val="182"/>
        </w:trPr>
        <w:tc>
          <w:tcPr>
            <w:tcW w:w="4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360"/>
              <w:spacing w:after="0" w:line="182" w:lineRule="exact"/>
              <w:rPr>
                <w:rFonts w:ascii="Arial" w:cs="Arial" w:eastAsia="Arial" w:hAnsi="Arial"/>
                <w:sz w:val="16"/>
                <w:szCs w:val="16"/>
                <w:color w:val="0000FF"/>
                <w:w w:val="89"/>
              </w:rPr>
            </w:pPr>
            <w:hyperlink w:anchor="page149">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014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Certification of Principal Financial Officer Pursuant to Section 302 of the Sarbanes-Oxley Act of 2002†</w:t>
            </w:r>
          </w:p>
        </w:tc>
      </w:tr>
      <w:tr>
        <w:trPr>
          <w:trHeight w:val="40"/>
        </w:trPr>
        <w:tc>
          <w:tcPr>
            <w:tcW w:w="4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140" w:type="dxa"/>
            <w:vAlign w:val="bottom"/>
            <w:shd w:val="clear" w:color="auto" w:fill="CCEEFF"/>
          </w:tcPr>
          <w:p>
            <w:pPr>
              <w:spacing w:after="0"/>
              <w:rPr>
                <w:sz w:val="3"/>
                <w:szCs w:val="3"/>
                <w:color w:val="auto"/>
              </w:rPr>
            </w:pPr>
          </w:p>
        </w:tc>
      </w:tr>
      <w:tr>
        <w:trPr>
          <w:trHeight w:val="172"/>
        </w:trPr>
        <w:tc>
          <w:tcPr>
            <w:tcW w:w="400" w:type="dxa"/>
            <w:vAlign w:val="bottom"/>
          </w:tcPr>
          <w:p>
            <w:pPr>
              <w:spacing w:after="0"/>
              <w:rPr>
                <w:sz w:val="14"/>
                <w:szCs w:val="14"/>
                <w:color w:val="auto"/>
              </w:rPr>
            </w:pPr>
          </w:p>
        </w:tc>
        <w:tc>
          <w:tcPr>
            <w:tcW w:w="640" w:type="dxa"/>
            <w:vAlign w:val="bottom"/>
            <w:gridSpan w:val="2"/>
          </w:tcPr>
          <w:p>
            <w:pPr>
              <w:jc w:val="center"/>
              <w:ind w:right="360"/>
              <w:spacing w:after="0" w:line="172" w:lineRule="exact"/>
              <w:rPr>
                <w:rFonts w:ascii="Arial" w:cs="Arial" w:eastAsia="Arial" w:hAnsi="Arial"/>
                <w:sz w:val="16"/>
                <w:szCs w:val="16"/>
                <w:color w:val="0000FF"/>
                <w:w w:val="89"/>
              </w:rPr>
            </w:pPr>
            <w:hyperlink w:anchor="page150">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0140" w:type="dxa"/>
            <w:vAlign w:val="bottom"/>
          </w:tcPr>
          <w:p>
            <w:pPr>
              <w:ind w:left="200"/>
              <w:spacing w:after="0" w:line="172" w:lineRule="exact"/>
              <w:rPr>
                <w:sz w:val="20"/>
                <w:szCs w:val="20"/>
                <w:color w:val="auto"/>
              </w:rPr>
            </w:pPr>
            <w:r>
              <w:rPr>
                <w:rFonts w:ascii="Arial" w:cs="Arial" w:eastAsia="Arial" w:hAnsi="Arial"/>
                <w:sz w:val="16"/>
                <w:szCs w:val="16"/>
                <w:color w:val="auto"/>
                <w:w w:val="94"/>
              </w:rPr>
              <w:t>Certification of Chief Executive Officer Pursuant to 18 U.S.C. Section 1350, as adopted pursuant to Section 906 of the Sarbanes-Oxley Act of 2002**</w:t>
            </w:r>
          </w:p>
        </w:tc>
      </w:tr>
      <w:tr>
        <w:trPr>
          <w:trHeight w:val="30"/>
        </w:trPr>
        <w:tc>
          <w:tcPr>
            <w:tcW w:w="40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0140" w:type="dxa"/>
            <w:vAlign w:val="bottom"/>
          </w:tcPr>
          <w:p>
            <w:pPr>
              <w:spacing w:after="0"/>
              <w:rPr>
                <w:sz w:val="2"/>
                <w:szCs w:val="2"/>
                <w:color w:val="auto"/>
              </w:rPr>
            </w:pPr>
          </w:p>
        </w:tc>
      </w:tr>
      <w:tr>
        <w:trPr>
          <w:trHeight w:val="182"/>
        </w:trPr>
        <w:tc>
          <w:tcPr>
            <w:tcW w:w="4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360"/>
              <w:spacing w:after="0" w:line="182" w:lineRule="exact"/>
              <w:rPr>
                <w:rFonts w:ascii="Arial" w:cs="Arial" w:eastAsia="Arial" w:hAnsi="Arial"/>
                <w:sz w:val="16"/>
                <w:szCs w:val="16"/>
                <w:color w:val="0000FF"/>
                <w:w w:val="89"/>
              </w:rPr>
            </w:pPr>
            <w:hyperlink w:anchor="page151">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2</w:t>
              </w:r>
            </w:hyperlink>
          </w:p>
        </w:tc>
        <w:tc>
          <w:tcPr>
            <w:tcW w:w="1014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w w:val="94"/>
              </w:rPr>
              <w:t>Certification of Chief Financial Officer Pursuant to 18 U.S.C. Section 1350, as adopted pursuant to Section 906 of the Sarbanes-Oxley Act of 2002**</w:t>
            </w:r>
          </w:p>
        </w:tc>
      </w:tr>
      <w:tr>
        <w:trPr>
          <w:trHeight w:val="40"/>
        </w:trPr>
        <w:tc>
          <w:tcPr>
            <w:tcW w:w="40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140" w:type="dxa"/>
            <w:vAlign w:val="bottom"/>
            <w:shd w:val="clear" w:color="auto" w:fill="CCEEFF"/>
          </w:tcPr>
          <w:p>
            <w:pPr>
              <w:spacing w:after="0"/>
              <w:rPr>
                <w:sz w:val="3"/>
                <w:szCs w:val="3"/>
                <w:color w:val="auto"/>
              </w:rPr>
            </w:pPr>
          </w:p>
        </w:tc>
      </w:tr>
      <w:tr>
        <w:trPr>
          <w:trHeight w:val="162"/>
        </w:trPr>
        <w:tc>
          <w:tcPr>
            <w:tcW w:w="1040" w:type="dxa"/>
            <w:vAlign w:val="bottom"/>
            <w:gridSpan w:val="3"/>
          </w:tcPr>
          <w:p>
            <w:pPr>
              <w:jc w:val="center"/>
              <w:spacing w:after="0" w:line="162" w:lineRule="exact"/>
              <w:rPr>
                <w:sz w:val="20"/>
                <w:szCs w:val="20"/>
                <w:color w:val="auto"/>
              </w:rPr>
            </w:pPr>
            <w:r>
              <w:rPr>
                <w:rFonts w:ascii="Arial" w:cs="Arial" w:eastAsia="Arial" w:hAnsi="Arial"/>
                <w:sz w:val="16"/>
                <w:szCs w:val="16"/>
                <w:color w:val="auto"/>
                <w:w w:val="93"/>
              </w:rPr>
              <w:t>101.INS</w:t>
            </w:r>
          </w:p>
        </w:tc>
        <w:tc>
          <w:tcPr>
            <w:tcW w:w="10140" w:type="dxa"/>
            <w:vAlign w:val="bottom"/>
          </w:tcPr>
          <w:p>
            <w:pPr>
              <w:ind w:left="200"/>
              <w:spacing w:after="0" w:line="162" w:lineRule="exact"/>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06"/>
        </w:trPr>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40" w:type="dxa"/>
            <w:vAlign w:val="bottom"/>
          </w:tcPr>
          <w:p>
            <w:pPr>
              <w:ind w:left="200"/>
              <w:spacing w:after="0"/>
              <w:rPr>
                <w:sz w:val="20"/>
                <w:szCs w:val="20"/>
                <w:color w:val="auto"/>
              </w:rPr>
            </w:pPr>
            <w:r>
              <w:rPr>
                <w:rFonts w:ascii="Arial" w:cs="Arial" w:eastAsia="Arial" w:hAnsi="Arial"/>
                <w:sz w:val="16"/>
                <w:szCs w:val="16"/>
                <w:color w:val="auto"/>
              </w:rPr>
              <w:t>XBRL document.</w:t>
            </w:r>
          </w:p>
        </w:tc>
      </w:tr>
      <w:tr>
        <w:trPr>
          <w:trHeight w:val="214"/>
        </w:trPr>
        <w:tc>
          <w:tcPr>
            <w:tcW w:w="10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101.SCH</w:t>
            </w:r>
          </w:p>
        </w:tc>
        <w:tc>
          <w:tcPr>
            <w:tcW w:w="10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Schema Document†</w:t>
            </w:r>
          </w:p>
        </w:tc>
      </w:tr>
      <w:tr>
        <w:trPr>
          <w:trHeight w:val="210"/>
        </w:trPr>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3"/>
              </w:rPr>
              <w:t>101.CAL</w:t>
            </w:r>
          </w:p>
        </w:tc>
        <w:tc>
          <w:tcPr>
            <w:tcW w:w="1014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4"/>
        </w:trPr>
        <w:tc>
          <w:tcPr>
            <w:tcW w:w="10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4"/>
              </w:rPr>
              <w:t>101.LAB</w:t>
            </w:r>
          </w:p>
        </w:tc>
        <w:tc>
          <w:tcPr>
            <w:tcW w:w="10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210"/>
        </w:trPr>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0"/>
              </w:rPr>
              <w:t>101.PRE</w:t>
            </w:r>
          </w:p>
        </w:tc>
        <w:tc>
          <w:tcPr>
            <w:tcW w:w="1014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5"/>
        </w:trPr>
        <w:tc>
          <w:tcPr>
            <w:tcW w:w="10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1"/>
              </w:rPr>
              <w:t>101.DEF</w:t>
            </w:r>
          </w:p>
        </w:tc>
        <w:tc>
          <w:tcPr>
            <w:tcW w:w="10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3" w:lineRule="exact"/>
        <w:rPr>
          <w:sz w:val="20"/>
          <w:szCs w:val="20"/>
          <w:color w:val="auto"/>
        </w:rPr>
      </w:pPr>
    </w:p>
    <w:p>
      <w:pPr>
        <w:ind w:left="1280" w:hanging="810"/>
        <w:spacing w:after="0"/>
        <w:tabs>
          <w:tab w:leader="none" w:pos="1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Cover Page Interactive Data File - formatted in Inline XBRL and contained in Exhibit 101</w:t>
      </w:r>
    </w:p>
    <w:p>
      <w:pPr>
        <w:spacing w:after="0" w:line="264" w:lineRule="exact"/>
        <w:rPr>
          <w:rFonts w:ascii="Arial" w:cs="Arial" w:eastAsia="Arial" w:hAnsi="Arial"/>
          <w:sz w:val="16"/>
          <w:szCs w:val="16"/>
          <w:color w:val="auto"/>
        </w:rPr>
      </w:pPr>
    </w:p>
    <w:p>
      <w:pPr>
        <w:ind w:left="280" w:hanging="274"/>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9677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Furnished with this report.</w:t>
      </w:r>
    </w:p>
    <w:p>
      <w:pPr>
        <w:spacing w:after="0" w:line="5" w:lineRule="exact"/>
        <w:rPr>
          <w:sz w:val="20"/>
          <w:szCs w:val="20"/>
          <w:color w:val="auto"/>
        </w:rPr>
      </w:pPr>
    </w:p>
    <w:p>
      <w:pPr>
        <w:ind w:left="320" w:right="180" w:hanging="314"/>
        <w:spacing w:after="0" w:line="245" w:lineRule="auto"/>
        <w:tabs>
          <w:tab w:leader="none" w:pos="2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20" w:right="400" w:hanging="314"/>
        <w:spacing w:after="0" w:line="294" w:lineRule="auto"/>
        <w:tabs>
          <w:tab w:leader="none" w:pos="2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1" w:lineRule="exact"/>
        <w:rPr>
          <w:sz w:val="20"/>
          <w:szCs w:val="20"/>
          <w:color w:val="auto"/>
        </w:rPr>
      </w:pPr>
    </w:p>
    <w:p>
      <w:pPr>
        <w:ind w:left="320" w:right="260" w:hanging="314"/>
        <w:spacing w:after="0" w:line="251" w:lineRule="auto"/>
        <w:tabs>
          <w:tab w:leader="none" w:pos="3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permitted by Regulation S-K, Item 601(b)(10)(iv) of the Securities Exchange Act of 1934, as amended, certain confidential portions of this exhibit have been redacted from the publicly filed document.</w:t>
      </w:r>
    </w:p>
    <w:p>
      <w:pPr>
        <w:spacing w:after="0" w:line="200" w:lineRule="exact"/>
        <w:rPr>
          <w:sz w:val="20"/>
          <w:szCs w:val="20"/>
          <w:color w:val="auto"/>
        </w:rPr>
      </w:pPr>
    </w:p>
    <w:p>
      <w:pPr>
        <w:spacing w:after="0" w:line="2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620" w:firstLine="318"/>
        <w:spacing w:after="0" w:line="218"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to be signed on its behalf by the undersigned, thereunto duly authorized.</w:t>
      </w:r>
    </w:p>
    <w:p>
      <w:pPr>
        <w:spacing w:after="0" w:line="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WESTERN DIGITAL CORPORATION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80" w:type="dxa"/>
            <w:vAlign w:val="bottom"/>
          </w:tcPr>
          <w:p>
            <w:pPr>
              <w:jc w:val="right"/>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Gene Zamiska</w:t>
            </w:r>
          </w:p>
        </w:tc>
        <w:tc>
          <w:tcPr>
            <w:tcW w:w="20" w:type="dxa"/>
            <w:vAlign w:val="bottom"/>
          </w:tcPr>
          <w:p>
            <w:pPr>
              <w:spacing w:after="0"/>
              <w:rPr>
                <w:sz w:val="19"/>
                <w:szCs w:val="19"/>
                <w:color w:val="auto"/>
              </w:rPr>
            </w:pPr>
          </w:p>
        </w:tc>
      </w:tr>
      <w:tr>
        <w:trPr>
          <w:trHeight w:val="218"/>
        </w:trPr>
        <w:tc>
          <w:tcPr>
            <w:tcW w:w="648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Gene Zamiska</w:t>
            </w:r>
          </w:p>
        </w:tc>
      </w:tr>
      <w:tr>
        <w:trPr>
          <w:trHeight w:val="174"/>
        </w:trPr>
        <w:tc>
          <w:tcPr>
            <w:tcW w:w="6480" w:type="dxa"/>
            <w:vAlign w:val="bottom"/>
          </w:tcPr>
          <w:p>
            <w:pPr>
              <w:spacing w:after="0"/>
              <w:rPr>
                <w:sz w:val="15"/>
                <w:szCs w:val="15"/>
                <w:color w:val="auto"/>
              </w:rPr>
            </w:pPr>
          </w:p>
        </w:tc>
        <w:tc>
          <w:tcPr>
            <w:tcW w:w="4760" w:type="dxa"/>
            <w:vAlign w:val="bottom"/>
            <w:gridSpan w:val="2"/>
          </w:tcPr>
          <w:p>
            <w:pPr>
              <w:ind w:left="320"/>
              <w:spacing w:after="0" w:line="174" w:lineRule="exact"/>
              <w:rPr>
                <w:sz w:val="20"/>
                <w:szCs w:val="20"/>
                <w:color w:val="auto"/>
              </w:rPr>
            </w:pPr>
            <w:r>
              <w:rPr>
                <w:rFonts w:ascii="Arial" w:cs="Arial" w:eastAsia="Arial" w:hAnsi="Arial"/>
                <w:sz w:val="18"/>
                <w:szCs w:val="18"/>
                <w:i w:val="1"/>
                <w:iCs w:val="1"/>
                <w:color w:val="auto"/>
              </w:rPr>
              <w:t>Senior Vice President, Global Accounting and Chief</w:t>
            </w:r>
          </w:p>
        </w:tc>
      </w:tr>
      <w:tr>
        <w:trPr>
          <w:trHeight w:val="223"/>
        </w:trPr>
        <w:tc>
          <w:tcPr>
            <w:tcW w:w="648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Accounting Officer</w:t>
            </w:r>
          </w:p>
        </w:tc>
      </w:tr>
      <w:tr>
        <w:trPr>
          <w:trHeight w:val="225"/>
        </w:trPr>
        <w:tc>
          <w:tcPr>
            <w:tcW w:w="6480" w:type="dxa"/>
            <w:vAlign w:val="bottom"/>
          </w:tcPr>
          <w:p>
            <w:pPr>
              <w:spacing w:after="0"/>
              <w:rPr>
                <w:sz w:val="19"/>
                <w:szCs w:val="19"/>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(Principal Accounting Officer)</w:t>
            </w:r>
          </w:p>
        </w:tc>
      </w:tr>
      <w:tr>
        <w:trPr>
          <w:trHeight w:val="305"/>
        </w:trPr>
        <w:tc>
          <w:tcPr>
            <w:tcW w:w="6480" w:type="dxa"/>
            <w:vAlign w:val="bottom"/>
          </w:tcPr>
          <w:p>
            <w:pPr>
              <w:jc w:val="right"/>
              <w:ind w:right="4692"/>
              <w:spacing w:after="0"/>
              <w:rPr>
                <w:sz w:val="20"/>
                <w:szCs w:val="20"/>
                <w:color w:val="auto"/>
              </w:rPr>
            </w:pPr>
            <w:r>
              <w:rPr>
                <w:rFonts w:ascii="Arial" w:cs="Arial" w:eastAsia="Arial" w:hAnsi="Arial"/>
                <w:sz w:val="18"/>
                <w:szCs w:val="18"/>
                <w:color w:val="auto"/>
                <w:w w:val="88"/>
              </w:rPr>
              <w:t>Dated: August 25, 2021</w:t>
            </w: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5"/>
        </w:trPr>
        <w:tc>
          <w:tcPr>
            <w:tcW w:w="6480" w:type="dxa"/>
            <w:vAlign w:val="bottom"/>
          </w:tcPr>
          <w:p>
            <w:pPr>
              <w:jc w:val="right"/>
              <w:ind w:right="632"/>
              <w:spacing w:after="0"/>
              <w:rPr>
                <w:sz w:val="20"/>
                <w:szCs w:val="20"/>
                <w:color w:val="auto"/>
              </w:rPr>
            </w:pPr>
            <w:r>
              <w:rPr>
                <w:rFonts w:ascii="Arial" w:cs="Arial" w:eastAsia="Arial" w:hAnsi="Arial"/>
                <w:sz w:val="18"/>
                <w:szCs w:val="18"/>
                <w:color w:val="auto"/>
              </w:rPr>
              <w:t>107</w:t>
            </w: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648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firstLine="318"/>
        <w:spacing w:after="0" w:line="218" w:lineRule="exact"/>
        <w:rPr>
          <w:sz w:val="20"/>
          <w:szCs w:val="20"/>
          <w:color w:val="auto"/>
        </w:rPr>
      </w:pPr>
      <w:r>
        <w:rPr>
          <w:rFonts w:ascii="Arial" w:cs="Arial" w:eastAsia="Arial" w:hAnsi="Arial"/>
          <w:sz w:val="18"/>
          <w:szCs w:val="18"/>
          <w:color w:val="auto"/>
        </w:rPr>
        <w:t>Pursuant to the requirements of the Securities Exchange Act of 1934,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has been signed below by the following persons on behalf of the Registrant and in the capacities and on the dates indicated.</w:t>
      </w:r>
    </w:p>
    <w:p>
      <w:pPr>
        <w:spacing w:after="0" w:line="23" w:lineRule="exact"/>
        <w:rPr>
          <w:sz w:val="20"/>
          <w:szCs w:val="20"/>
          <w:color w:val="auto"/>
        </w:rPr>
      </w:pPr>
    </w:p>
    <w:p>
      <w:pPr>
        <w:ind w:left="1420"/>
        <w:spacing w:after="0"/>
        <w:tabs>
          <w:tab w:leader="none" w:pos="6220" w:val="left"/>
          <w:tab w:leader="none" w:pos="102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177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David V. Goeckeler</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K. Eulau</w:t>
      </w: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 Zamiska</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 Matthew E.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0694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Matthew E. Massengill</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Kimberly E. Alexy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Kimberly E. Alexy</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Thomas Caulfield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Thomas Caulfield</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Martin 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I. Cole</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Kathleen A.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Kathleen A. Cote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Tun</w:t>
      </w:r>
      <w:r>
        <w:rPr>
          <w:rFonts w:ascii="Arial" w:cs="Arial" w:eastAsia="Arial" w:hAnsi="Arial"/>
          <w:sz w:val="18"/>
          <w:szCs w:val="18"/>
          <w:color w:val="auto"/>
        </w:rPr>
        <w:t>ҫ</w:t>
      </w:r>
      <w:r>
        <w:rPr>
          <w:rFonts w:ascii="Arial" w:cs="Arial" w:eastAsia="Arial" w:hAnsi="Arial"/>
          <w:sz w:val="18"/>
          <w:szCs w:val="18"/>
          <w:color w:val="auto"/>
        </w:rPr>
        <w:t xml:space="preserve">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0694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Tun</w:t>
      </w:r>
      <w:r>
        <w:rPr>
          <w:rFonts w:ascii="Arial" w:cs="Arial" w:eastAsia="Arial" w:hAnsi="Arial"/>
          <w:sz w:val="18"/>
          <w:szCs w:val="18"/>
          <w:color w:val="auto"/>
        </w:rPr>
        <w:t>ҫ</w:t>
      </w:r>
      <w:r>
        <w:rPr>
          <w:rFonts w:ascii="Arial" w:cs="Arial" w:eastAsia="Arial" w:hAnsi="Arial"/>
          <w:sz w:val="18"/>
          <w:szCs w:val="18"/>
          <w:color w:val="auto"/>
        </w:rPr>
        <w:t xml:space="preserve"> Doluca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Paula A.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Paula A. Price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 Stephanie A. Streeter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0694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Stephanie A. Streeter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Miyuki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0694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Miyuki Suzuki</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Director</w:t>
      </w:r>
    </w:p>
    <w:p>
      <w:pPr>
        <w:ind w:left="680"/>
        <w:spacing w:after="0"/>
        <w:rPr>
          <w:sz w:val="20"/>
          <w:szCs w:val="20"/>
          <w:color w:val="auto"/>
        </w:rPr>
      </w:pPr>
      <w:r>
        <w:rPr>
          <w:rFonts w:ascii="Arial" w:cs="Arial" w:eastAsia="Arial" w:hAnsi="Arial"/>
          <w:sz w:val="18"/>
          <w:szCs w:val="18"/>
          <w:color w:val="auto"/>
        </w:rPr>
        <w:t>(Principal Executive Officer)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ind w:left="700"/>
        <w:spacing w:after="0"/>
        <w:rPr>
          <w:sz w:val="20"/>
          <w:szCs w:val="20"/>
          <w:color w:val="auto"/>
        </w:rPr>
      </w:pPr>
      <w:r>
        <w:rPr>
          <w:rFonts w:ascii="Arial" w:cs="Arial" w:eastAsia="Arial" w:hAnsi="Arial"/>
          <w:sz w:val="18"/>
          <w:szCs w:val="18"/>
          <w:color w:val="auto"/>
        </w:rPr>
        <w:t>(Principal Financial Officer)</w:t>
      </w:r>
    </w:p>
    <w:p>
      <w:pPr>
        <w:spacing w:after="0" w:line="349" w:lineRule="exact"/>
        <w:rPr>
          <w:sz w:val="20"/>
          <w:szCs w:val="20"/>
          <w:color w:val="auto"/>
        </w:rPr>
      </w:pPr>
    </w:p>
    <w:p>
      <w:pPr>
        <w:ind w:left="620" w:right="100" w:hanging="1313"/>
        <w:spacing w:after="0" w:line="229" w:lineRule="auto"/>
        <w:rPr>
          <w:sz w:val="20"/>
          <w:szCs w:val="20"/>
          <w:color w:val="auto"/>
        </w:rPr>
      </w:pPr>
      <w:r>
        <w:rPr>
          <w:rFonts w:ascii="Arial" w:cs="Arial" w:eastAsia="Arial" w:hAnsi="Arial"/>
          <w:sz w:val="18"/>
          <w:szCs w:val="18"/>
          <w:color w:val="auto"/>
        </w:rPr>
        <w:t>Senior Vice President, Global Accounting and Chief Accounting Officer (Principal Accounting Officer)</w:t>
      </w:r>
    </w:p>
    <w:p>
      <w:pPr>
        <w:spacing w:after="0" w:line="200" w:lineRule="exact"/>
        <w:rPr>
          <w:sz w:val="20"/>
          <w:szCs w:val="20"/>
          <w:color w:val="auto"/>
        </w:rPr>
      </w:pPr>
    </w:p>
    <w:p>
      <w:pPr>
        <w:spacing w:after="0" w:line="29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August 25, 2021</w:t>
      </w:r>
    </w:p>
    <w:p>
      <w:pPr>
        <w:spacing w:after="0" w:line="473" w:lineRule="exact"/>
        <w:rPr>
          <w:sz w:val="20"/>
          <w:szCs w:val="20"/>
          <w:color w:val="auto"/>
        </w:rPr>
      </w:pPr>
    </w:p>
    <w:p>
      <w:pPr>
        <w:sectPr>
          <w:pgSz w:w="11900" w:h="16838" w:orient="portrait"/>
          <w:cols w:equalWidth="0" w:num="3">
            <w:col w:w="3820" w:space="720"/>
            <w:col w:w="4540" w:space="720"/>
            <w:col w:w="1280"/>
          </w:cols>
          <w:pgMar w:left="320" w:top="127"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080"/>
          </w:cols>
          <w:pgMar w:left="320" w:top="127" w:right="49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4.1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3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following is a summary of the material provisions of our Amended and Restated Certificate of Incorporation, as amended (our “Certificate of Incorporation”), and Amended and Restated Bylaws (our “Bylaws”), insofar as they relate to the material terms of our capital stock. This summary is qualified in its entirety by reference to our Certificate of Incorporation and Bylaws. Our certificate of incorporation is filed as Exhibit 3.1 to our Quarterly Report on Form 10-Q for the quarter ended December 30, 2005 filed with the Securities and Exchange Commission (the “SEC”) on February 8, 2006. Our bylaws are filed as Exhibit 3.1 to our Current Report on Form 8-K filed with the SEC on February 12, 2021. Additionally, the General Corporation Law of the State of Delaware (the “DGCL”) may also affect the terms of our capital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w:t>
      </w:r>
    </w:p>
    <w:p>
      <w:pPr>
        <w:spacing w:after="0" w:line="200" w:lineRule="exact"/>
        <w:rPr>
          <w:sz w:val="20"/>
          <w:szCs w:val="20"/>
          <w:color w:val="auto"/>
        </w:rPr>
      </w:pPr>
    </w:p>
    <w:p>
      <w:pPr>
        <w:spacing w:after="0" w:line="295"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450,000,000 shares of common stock, par value $0.01 per share (“Common Stock”); 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5,000,000 shares of preferred stock, par value $0.01 per share (“Preferred Stock”).</w:t>
      </w:r>
    </w:p>
    <w:p>
      <w:pPr>
        <w:spacing w:after="0" w:line="23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August 18, 2021, 312,126,108 shares of our common stock were issued, 308,748,049 shares of our common stock were outstanding, and no shares of preferred stock were issued and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Subject to the relative rights, limitations and preferences of the holders of any then outstanding Preferred Stock, holders of our Common Stock will be entitled to certain rights, including (i) to share ratably in dividends if, when and as declared by the Company’s Board of Directors (our “Board”) out of funds legally available therefor and (ii) in the event of liquidation, dissolution or winding up of the Company, to share ratably in the distribution of assets legally available therefor, after payment of debts and expenses. Each outstanding share of our Common Stock will entitle the holder to one vote on all matters submitted to a vote of the stockholders, including the election of directors, and the holders of shares of our Common Stock will possess the exclusive voting power. The holders of our Common Stock will not have cumulative voting rights in the election of directors or preemptive rights to subscribe for additional shares of our capital stock. Our Bylaws require that, in uncontested elections, each director be elected by the majority of votes cast with respect to such director. This means that the number of shares voted “for” a director nominee must exceed the number of votes cast “against” that nominee in order for that nominee to be elected.</w:t>
      </w:r>
    </w:p>
    <w:p>
      <w:pPr>
        <w:spacing w:after="0" w:line="18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Holders of shares of our Common Stock will have no preference, conversion, exchange, sinking fund, redemption or appraisal rights. The rights, preferences and privileges of holders of our Common Stock will be subject to the terms of any series of Preferred Stock which the Company may issue in the future. All outstanding shares of common stock are fully paid and nonassessable.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0"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Our Board has the authority, within the limitations and restrictions stated in our Certificate of Incorporation, to authorize the issuance of shares of Preferred Stock, in one or more classes or series, and to fix the rights, preferences, privileges and restrictions thereof, including dividend rights, conversion rights, voting rights, terms of redemption, liquidation preferences, preemptive rights and the number of shares constituting any series or the designation of such series. The issuance of Preferred Stock could have the effect of decreasing the market price of our Common Stock and could adversely affect the voting and other rights of the holders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Our Certificate of Incorporation and Bylaws and Delaware Law</w:t>
      </w:r>
    </w:p>
    <w:p>
      <w:pPr>
        <w:sectPr>
          <w:pgSz w:w="11900" w:h="16838" w:orient="portrait"/>
          <w:cols w:equalWidth="0" w:num="1">
            <w:col w:w="11240"/>
          </w:cols>
          <w:pgMar w:left="320" w:top="1393" w:right="339" w:bottom="1440" w:gutter="0" w:footer="0" w:header="0"/>
        </w:sectPr>
      </w:pPr>
    </w:p>
    <w:bookmarkStart w:id="110" w:name="page111"/>
    <w:bookmarkEnd w:id="110"/>
    <w:p>
      <w:pPr>
        <w:spacing w:after="0" w:line="19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Our Certificate of Incorporation and Bylaws include provisions, summarized below, that are intended to discourage and prevent coercive takeover practices and inadequate takeover bids. These provisions are designed to encourage persons seeking to acquire control of the Company to first negotiate with our Board. They are also intended to provide our management with the flexibility to enhance the likelihood of continuity and stability if our Board determines that a takeover is not in the best interests of our stockholders. These provisions, however, could have the effect of discouraging others from making tender offers for our shares and may have the effect of deterring hostile takeovers or delaying changes in our control or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4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our Bylaws, only our Board, the Chairman of the Board or our Chief Executive Officer may call special meetings of stockholders. Stockholders do not have the authority to call a special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44"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Our stockholders must comply with advance notice procedures set forth in our Bylaws to bring business before or nominate directors for election at a meeting of stockholders. A stockholder (or group of up to 20 stockholders) who has held at least 3% of our common stock for at least three years must also satisfy and comply with additional requirements set forth in our Bylaws to nominate and have any director nominee (generally not exceeding the greater of (i) two director nominees or (ii) 20% of the number of directors on the Board, rounded down to the nearest whole number) included in our proxy materials.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44"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The DGCL permits stockholder action by written consent unless the corporation’s certificate of incorporation provides otherwise. Our Certificate of Incorporation eliminates the right of stockholders to act by written consent without a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44"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Under Delaware law, cumulative voting for the election of directors is not permitted unless a corporation’s certificate of incorporation authorizes cumulative voting. Our Certificate of Incorporation and Bylaws do not provide for cumulative voting in the election of directors. The absence of cumulative voting makes it more difficult for a minority stockholder to gain a seat on our Board to influence our Board’s decision regarding a takeover.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44" w:lineRule="exact"/>
        <w:rPr>
          <w:sz w:val="20"/>
          <w:szCs w:val="20"/>
          <w:color w:val="auto"/>
        </w:rPr>
      </w:pPr>
    </w:p>
    <w:p>
      <w:pPr>
        <w:ind w:right="340"/>
        <w:spacing w:after="0" w:line="318" w:lineRule="auto"/>
        <w:rPr>
          <w:sz w:val="20"/>
          <w:szCs w:val="20"/>
          <w:color w:val="auto"/>
        </w:rPr>
      </w:pPr>
      <w:r>
        <w:rPr>
          <w:rFonts w:ascii="Arial" w:cs="Arial" w:eastAsia="Arial" w:hAnsi="Arial"/>
          <w:sz w:val="15"/>
          <w:szCs w:val="15"/>
          <w:color w:val="auto"/>
        </w:rPr>
        <w:t>Subject to the requirements of The Nasdaq Stock Market LLC and other applicable law, our authorized but unissued shares of Common Stock may be available for future issuance without stockholder approval. We may use these additional shares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us by means of a proxy contest, tender offer, merger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4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authorization of undesignated Preferred Stock makes it possible for our Board to issue Preferred Stock with voting or other rights or preferences that could impede the success of any attempt to change control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Provisions in Certificate of Incorporation and Bylaws</w:t>
      </w:r>
    </w:p>
    <w:p>
      <w:pPr>
        <w:spacing w:after="0" w:line="24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Certificate of Incorporation may be amended in accordance with Delaware law. Our Bylaws, or any of them, may be altered, amended or repealed, and new Bylaws may be adopted, (i) by our Board, by vote of a majority of the</w:t>
      </w:r>
    </w:p>
    <w:p>
      <w:pPr>
        <w:sectPr>
          <w:pgSz w:w="11900" w:h="16838" w:orient="portrait"/>
          <w:cols w:equalWidth="0" w:num="1">
            <w:col w:w="11240"/>
          </w:cols>
          <w:pgMar w:left="320" w:top="1440" w:right="339" w:bottom="1440" w:gutter="0" w:footer="0" w:header="0"/>
        </w:sectPr>
      </w:pPr>
    </w:p>
    <w:bookmarkStart w:id="111" w:name="page112"/>
    <w:bookmarkEnd w:id="111"/>
    <w:p>
      <w:pPr>
        <w:ind w:right="20"/>
        <w:spacing w:after="0" w:line="264" w:lineRule="auto"/>
        <w:rPr>
          <w:sz w:val="20"/>
          <w:szCs w:val="20"/>
          <w:color w:val="auto"/>
        </w:rPr>
      </w:pPr>
      <w:r>
        <w:rPr>
          <w:rFonts w:ascii="Arial" w:cs="Arial" w:eastAsia="Arial" w:hAnsi="Arial"/>
          <w:sz w:val="18"/>
          <w:szCs w:val="18"/>
          <w:color w:val="auto"/>
        </w:rPr>
        <w:t>number of directors then in office as directors, acting at any duly called and held meeting of our Board, or (ii) by the stockholders, provided that notice of such proposed amendment, modification, repeal or adoption is given in the notice of special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44" w:lineRule="exact"/>
        <w:rPr>
          <w:sz w:val="20"/>
          <w:szCs w:val="20"/>
          <w:color w:val="auto"/>
        </w:rPr>
      </w:pPr>
    </w:p>
    <w:p>
      <w:pPr>
        <w:ind w:right="300"/>
        <w:spacing w:after="0" w:line="309" w:lineRule="auto"/>
        <w:rPr>
          <w:sz w:val="20"/>
          <w:szCs w:val="20"/>
          <w:color w:val="auto"/>
        </w:rPr>
      </w:pPr>
      <w:r>
        <w:rPr>
          <w:rFonts w:ascii="Arial" w:cs="Arial" w:eastAsia="Arial" w:hAnsi="Arial"/>
          <w:sz w:val="15"/>
          <w:szCs w:val="15"/>
          <w:color w:val="auto"/>
        </w:rPr>
        <w:t>We are subject to Section 203 of the DGCL, which is an anti-takeover law. In general, Section 203 prohibits a publicly-held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 Generally, an interested stockholder is a person who, together with affiliates and associates, owns 15% or more of the corporation’s voting stock. Under Section 203, a business combination between a corporation and an interested stockholder is prohibited unless it satisfies one of the following conditions:</w:t>
      </w:r>
    </w:p>
    <w:p>
      <w:pPr>
        <w:spacing w:after="0" w:line="178" w:lineRule="exact"/>
        <w:rPr>
          <w:sz w:val="20"/>
          <w:szCs w:val="20"/>
          <w:color w:val="auto"/>
        </w:rPr>
      </w:pPr>
    </w:p>
    <w:p>
      <w:pPr>
        <w:ind w:left="640" w:right="3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07" w:lineRule="exact"/>
        <w:rPr>
          <w:rFonts w:ascii="Arial" w:cs="Arial" w:eastAsia="Arial" w:hAnsi="Arial"/>
          <w:sz w:val="18"/>
          <w:szCs w:val="18"/>
          <w:color w:val="auto"/>
        </w:rPr>
      </w:pPr>
    </w:p>
    <w:p>
      <w:pPr>
        <w:jc w:val="both"/>
        <w:ind w:left="640" w:hanging="316"/>
        <w:spacing w:after="0" w:line="330"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63" w:lineRule="exact"/>
        <w:rPr>
          <w:rFonts w:ascii="Arial" w:cs="Arial" w:eastAsia="Arial" w:hAnsi="Arial"/>
          <w:sz w:val="15"/>
          <w:szCs w:val="15"/>
          <w:color w:val="auto"/>
        </w:rPr>
      </w:pPr>
    </w:p>
    <w:p>
      <w:pPr>
        <w:ind w:left="640" w:right="200" w:hanging="316"/>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2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Under the provisions of our Bylaws, unless we consent in writing to the selection of an alternative forum, (i) any derivative action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or our Certificate of Incorporation or Bylaws or as to which the DGCL confers jurisdiction on the Court of Chancery of the State of Delaware, or (iv) any action asserting a claim governed by the internal affairs doctrine of the law of the State of Delaware will, to the fullest extent permitted by law, be exclusively brought in the Court of Chancery of the State of Delaware or, if such court does not have subject matter jurisdiction thereof, the federal district court of the State of Delaware (the “Delaware Exclusive Forum Provision”). In addition, under the provisions of our Bylaws, unless we consent in writing to the selection of an alternative forum, the federal district courts of the United States will be the exclusive forum for the resolution of any complaint asserting a cause of action arising under the Securities Act of 1933, as amended (the “Federal Forum Provision”). Under our Bylaws and to the fullest extent permitted by law, any person or entity purchasing or otherwise acquiring or holding any interest in shares of our capital stock is deemed to have notice of and consented to the Delaware Exclusive Forum Provision and the Federal Forum Provision.</w:t>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Delaware Exclusive Forum Provision is intended to apply to claims arising under Delaware state law and would not apply to claims brought pursuant to the Securities Exchange Act of 1934, as amended (“Exchange Act”), or the Securities Act of 1933, as amended (“Securities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in our Bylaws will not relieve us of our duties to comply with the federal securities laws and the rules and regulations thereunder and, accordingly, actions by our stockholders to enforce any duty or liability created by the</w:t>
      </w:r>
    </w:p>
    <w:p>
      <w:pPr>
        <w:sectPr>
          <w:pgSz w:w="11900" w:h="16838" w:orient="portrait"/>
          <w:cols w:equalWidth="0" w:num="1">
            <w:col w:w="11240"/>
          </w:cols>
          <w:pgMar w:left="320" w:top="1399" w:right="339" w:bottom="1440" w:gutter="0" w:footer="0" w:header="0"/>
        </w:sectPr>
      </w:pPr>
    </w:p>
    <w:bookmarkStart w:id="112" w:name="page113"/>
    <w:bookmarkEnd w:id="112"/>
    <w:p>
      <w:pPr>
        <w:spacing w:after="0" w:line="264" w:lineRule="auto"/>
        <w:rPr>
          <w:sz w:val="20"/>
          <w:szCs w:val="20"/>
          <w:color w:val="auto"/>
        </w:rPr>
      </w:pPr>
      <w:r>
        <w:rPr>
          <w:rFonts w:ascii="Arial" w:cs="Arial" w:eastAsia="Arial" w:hAnsi="Arial"/>
          <w:sz w:val="18"/>
          <w:szCs w:val="18"/>
          <w:color w:val="auto"/>
        </w:rPr>
        <w:t>Exchange Act or the rules and regulations thereunder must be brought in federal courts. Our stockholders will not be deemed to have waived our compliance with these laws, rules and regulations.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trading symbol “WDC.”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ectPr>
          <w:pgSz w:w="11900" w:h="16838" w:orient="portrait"/>
          <w:cols w:equalWidth="0" w:num="1">
            <w:col w:w="11100"/>
          </w:cols>
          <w:pgMar w:left="320" w:top="1399" w:right="479" w:bottom="1440" w:gutter="0" w:footer="0" w:header="0"/>
        </w:sectPr>
      </w:pPr>
    </w:p>
    <w:bookmarkStart w:id="113" w:name="page114"/>
    <w:bookmarkEnd w:id="113"/>
    <w:p>
      <w:pPr>
        <w:ind w:left="10160"/>
        <w:spacing w:after="0"/>
        <w:rPr>
          <w:sz w:val="20"/>
          <w:szCs w:val="20"/>
          <w:color w:val="auto"/>
        </w:rPr>
      </w:pPr>
      <w:r>
        <w:rPr>
          <w:rFonts w:ascii="Arial" w:cs="Arial" w:eastAsia="Arial" w:hAnsi="Arial"/>
          <w:sz w:val="18"/>
          <w:szCs w:val="18"/>
          <w:b w:val="1"/>
          <w:bCs w:val="1"/>
          <w:color w:val="auto"/>
        </w:rPr>
        <w:t>Exhibit 10.6</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u w:val="single" w:color="auto"/>
          <w:color w:val="auto"/>
        </w:rPr>
        <w:t>WESTERN DIGITAL CORPORATION</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u w:val="single" w:color="auto"/>
          <w:color w:val="auto"/>
        </w:rPr>
        <w:t>AMENDED AND RESTATED CHANGE IN CONTROL SEVERANCE PLAN</w:t>
      </w:r>
    </w:p>
    <w:p>
      <w:pPr>
        <w:spacing w:after="0" w:line="198" w:lineRule="exact"/>
        <w:rPr>
          <w:sz w:val="20"/>
          <w:szCs w:val="20"/>
          <w:color w:val="auto"/>
        </w:rPr>
      </w:pPr>
    </w:p>
    <w:p>
      <w:pPr>
        <w:ind w:left="380" w:hanging="374"/>
        <w:spacing w:after="0"/>
        <w:tabs>
          <w:tab w:leader="none" w:pos="380"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PURPOSE; TERM</w:t>
      </w:r>
    </w:p>
    <w:p>
      <w:pPr>
        <w:spacing w:after="0" w:line="228" w:lineRule="exact"/>
        <w:rPr>
          <w:sz w:val="20"/>
          <w:szCs w:val="20"/>
          <w:color w:val="auto"/>
        </w:rPr>
      </w:pPr>
    </w:p>
    <w:p>
      <w:pPr>
        <w:ind w:firstLine="636"/>
        <w:spacing w:after="0" w:line="273" w:lineRule="auto"/>
        <w:rPr>
          <w:sz w:val="20"/>
          <w:szCs w:val="20"/>
          <w:color w:val="auto"/>
        </w:rPr>
      </w:pPr>
      <w:r>
        <w:rPr>
          <w:rFonts w:ascii="Arial" w:cs="Arial" w:eastAsia="Arial" w:hAnsi="Arial"/>
          <w:sz w:val="20"/>
          <w:szCs w:val="20"/>
          <w:color w:val="auto"/>
        </w:rPr>
        <w:t>Effective as of May 24,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 Western Digital Corporation,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adopted this Western Digital Corporation Amended and Restated Change in Control Severance Plan (the “</w:t>
      </w:r>
      <w:r>
        <w:rPr>
          <w:rFonts w:ascii="Arial" w:cs="Arial" w:eastAsia="Arial" w:hAnsi="Arial"/>
          <w:sz w:val="20"/>
          <w:szCs w:val="20"/>
          <w:u w:val="single" w:color="auto"/>
          <w:color w:val="auto"/>
        </w:rPr>
        <w:t>Plan</w:t>
      </w:r>
      <w:r>
        <w:rPr>
          <w:rFonts w:ascii="Arial" w:cs="Arial" w:eastAsia="Arial" w:hAnsi="Arial"/>
          <w:sz w:val="20"/>
          <w:szCs w:val="20"/>
          <w:color w:val="auto"/>
        </w:rPr>
        <w:t>”), which supersedes all prior plans. The Company established the Plan to reinforce and encourage the continued attention and dedication of Participants (as defined below) to their assigned duties in the event the Company undergoes a Change in Control (as defined below). The Plan shall remain in effect until modified or terminated pursuant to Section 8.</w:t>
      </w:r>
    </w:p>
    <w:p>
      <w:pPr>
        <w:spacing w:after="0" w:line="157" w:lineRule="exact"/>
        <w:rPr>
          <w:sz w:val="20"/>
          <w:szCs w:val="20"/>
          <w:color w:val="auto"/>
        </w:rPr>
      </w:pPr>
    </w:p>
    <w:p>
      <w:pPr>
        <w:ind w:left="380" w:hanging="374"/>
        <w:spacing w:after="0"/>
        <w:tabs>
          <w:tab w:leader="none" w:pos="380"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Administrator</w:t>
      </w:r>
      <w:r>
        <w:rPr>
          <w:rFonts w:ascii="Arial" w:cs="Arial" w:eastAsia="Arial" w:hAnsi="Arial"/>
          <w:sz w:val="21"/>
          <w:szCs w:val="21"/>
          <w:color w:val="auto"/>
        </w:rPr>
        <w:t>” means the Committee or any delegate of such committee acting pursuant to Section 7.</w:t>
      </w:r>
    </w:p>
    <w:p>
      <w:pPr>
        <w:spacing w:after="0" w:line="222" w:lineRule="exact"/>
        <w:rPr>
          <w:sz w:val="20"/>
          <w:szCs w:val="20"/>
          <w:color w:val="auto"/>
        </w:rPr>
      </w:pPr>
    </w:p>
    <w:p>
      <w:pPr>
        <w:ind w:right="30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Pay</w:t>
      </w:r>
      <w:r>
        <w:rPr>
          <w:rFonts w:ascii="Arial" w:cs="Arial" w:eastAsia="Arial" w:hAnsi="Arial"/>
          <w:sz w:val="21"/>
          <w:szCs w:val="21"/>
          <w:color w:val="auto"/>
        </w:rPr>
        <w:t>” means the Participant’s wages earned on a monthly basis, determined as of the employment termination date, excluding incentive payments and commissions.</w:t>
      </w:r>
    </w:p>
    <w:p>
      <w:pPr>
        <w:spacing w:after="0" w:line="154" w:lineRule="exact"/>
        <w:rPr>
          <w:sz w:val="20"/>
          <w:szCs w:val="20"/>
          <w:color w:val="auto"/>
        </w:rPr>
      </w:pPr>
    </w:p>
    <w:p>
      <w:pPr>
        <w:jc w:val="both"/>
        <w:ind w:right="6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Beneficially Own</w:t>
      </w:r>
      <w:r>
        <w:rPr>
          <w:rFonts w:ascii="Arial" w:cs="Arial" w:eastAsia="Arial" w:hAnsi="Arial"/>
          <w:sz w:val="21"/>
          <w:szCs w:val="21"/>
          <w:color w:val="auto"/>
        </w:rPr>
        <w:t>” or “</w:t>
      </w:r>
      <w:r>
        <w:rPr>
          <w:rFonts w:ascii="Arial" w:cs="Arial" w:eastAsia="Arial" w:hAnsi="Arial"/>
          <w:sz w:val="21"/>
          <w:szCs w:val="21"/>
          <w:u w:val="single" w:color="auto"/>
          <w:color w:val="auto"/>
        </w:rPr>
        <w:t>Beneficial Owner</w:t>
      </w:r>
      <w:r>
        <w:rPr>
          <w:rFonts w:ascii="Arial" w:cs="Arial" w:eastAsia="Arial" w:hAnsi="Arial"/>
          <w:sz w:val="21"/>
          <w:szCs w:val="21"/>
          <w:color w:val="auto"/>
        </w:rPr>
        <w:t>” (as the context may require) means a “beneficial owner” as defined in Rule 13d-3 of the Exchange Act, except that a person shall also be deemed the beneficial owner of all securities which such person may have a right to acquire, whether or not such right is presently exercisable.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222" w:lineRule="exact"/>
        <w:rPr>
          <w:sz w:val="20"/>
          <w:szCs w:val="20"/>
          <w:color w:val="auto"/>
        </w:rPr>
      </w:pPr>
    </w:p>
    <w:p>
      <w:pPr>
        <w:jc w:val="both"/>
        <w:ind w:right="480" w:firstLine="63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means the consummation of any merger, consolidation, reorganization or other extraordinary transaction (or series of related transactions) involving the Company, a sale or other disposition of all or substantially all of the assets of the Company, or the acquisition of assets or stock of another entity by the Company or any of its subsidiaries.</w:t>
      </w:r>
    </w:p>
    <w:p>
      <w:pPr>
        <w:spacing w:after="0" w:line="134" w:lineRule="exact"/>
        <w:rPr>
          <w:sz w:val="20"/>
          <w:szCs w:val="20"/>
          <w:color w:val="auto"/>
        </w:rPr>
      </w:pPr>
    </w:p>
    <w:p>
      <w:pPr>
        <w:ind w:right="80" w:firstLine="63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the occurrence or existence of any of the following with respect to a Participant: (a) the Participant’s conviction by, or entry of a plea of guilty or nolo contendere in, a court of competent and final jurisdiction for any crime involving moral turpitude or any felony punishable by imprisonment in the jurisdiction involved; (b) whether prior or subsequent to the Effective Date, the Participant’s willful engaging in dishonest or fraudulent actions or omissions which results directly or indirectly in any demonstrable material financial or economic harm to the Employer or any of their respective affiliates; (c) the Participant’s failure or refusal to perform his or her duties as reasonably required by the Employer, provided that the Participant shall have first received written notice from the Employer stating with specificity the nature of such failure or refusal and affording the Participant at least five days to correct the act or omission complained of; (d) gross negligence, insubordination, material violation by the Participant of any duty of loyalty to the Employer or any of their respective affiliates, or 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20"/>
          </w:cols>
          <w:pgMar w:left="320" w:top="1393" w:right="359" w:bottom="1440" w:gutter="0" w:footer="0" w:header="0"/>
        </w:sectPr>
      </w:pPr>
    </w:p>
    <w:bookmarkStart w:id="114" w:name="page115"/>
    <w:bookmarkEnd w:id="114"/>
    <w:p>
      <w:pPr>
        <w:spacing w:after="0" w:line="176"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auto"/>
        </w:rPr>
        <w:t>other material misconduct on the part of the Participant, provided that the Participant shall have first received written notice from the Employer stating with specificity the nature of such action or violation and affording the Participant at least five days to correct such action or violation; (e) conduct by the Participant which, upon reasonable investigation, is determined by the Company to violate the Employer’s anti-harassment, discrimination or retaliation policies; (f) conduct endangering, or materially likely to endanger, the health or safety of another employee; (g) falsifying or misrepresenting information on the records of the Employer or any of their respective affiliates; (h) the Participant's physical destruction or theft of substantial property or assets of the Employer or any of their respective affiliates; or (i) material breach of any material policy of, or agreement with, the Employer or any of their respective affiliates applicable to the Participant or to which the Participant is otherwise bound, provided that the Participant shall have first received written notice from the Employer stating with specificity the nature of such breach and affording the Participant at least five days to correct such breach.</w:t>
      </w:r>
    </w:p>
    <w:p>
      <w:pPr>
        <w:spacing w:after="0" w:line="171" w:lineRule="exact"/>
        <w:rPr>
          <w:sz w:val="20"/>
          <w:szCs w:val="20"/>
          <w:color w:val="auto"/>
        </w:rPr>
      </w:pPr>
    </w:p>
    <w:p>
      <w:pPr>
        <w:ind w:right="40" w:firstLine="636"/>
        <w:spacing w:after="0" w:line="255" w:lineRule="auto"/>
        <w:rPr>
          <w:sz w:val="20"/>
          <w:szCs w:val="20"/>
          <w:color w:val="auto"/>
        </w:rPr>
      </w:pPr>
      <w:r>
        <w:rPr>
          <w:rFonts w:ascii="Arial" w:cs="Arial" w:eastAsia="Arial" w:hAnsi="Arial"/>
          <w:sz w:val="21"/>
          <w:szCs w:val="21"/>
          <w:color w:val="auto"/>
        </w:rPr>
        <w:t>The Participant shall not be deemed to have been terminated for Cause unless and until all of the following conditions have been met: (x) the Employer delivers to the Participant a notice of termination specifying the alleged conduct of the Participant that constitutes “Cause”; (y) the Participant is provided a meaningful opportunity to rebut the allegations and be heard by the Board at a meeting called and held for that purpose; and (z) following any such meeting of the Board, the Board approves a legally binding resolution finding that the Participant was guilty of conduct constituting Cause with such resolution approved by the affirmative vote of not less than a majority of the entire membership of the Board (other than the Participant if he or she is a member of the Board at such time).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an occurrence of any of the following events, unless the Board shall provide otherwise:</w:t>
      </w:r>
    </w:p>
    <w:p>
      <w:pPr>
        <w:spacing w:after="0" w:line="234" w:lineRule="exact"/>
        <w:rPr>
          <w:sz w:val="20"/>
          <w:szCs w:val="20"/>
          <w:color w:val="auto"/>
        </w:rPr>
      </w:pPr>
    </w:p>
    <w:p>
      <w:pPr>
        <w:ind w:firstLine="1532"/>
        <w:spacing w:after="0" w:line="269" w:lineRule="auto"/>
        <w:tabs>
          <w:tab w:leader="none" w:pos="1907"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Person, alone or together with its affiliates and associates, including any group of persons which is deemed a “person” under Section 13(d)(3) of the Exchange Act (other than the Employer or any employee benefit plan (or related trust) of the Employer, or any underwriter in connection with a firm commitment public offering of the Company’s capital stock), becomes the Beneficial Owner of: (i) thirty-three and one-third percent or more of the then Outstanding Company Common Stock; or (ii) securities representing thirty-three and one-third percent or more of the Outstanding Company Voting Securities (in each case above, other than an acquisition in the context of a merger, consolidation, reorganization, asset sale or other extraordinary transaction covered by, and which does not constitute a Change in Control under, clause (c) below);</w:t>
      </w:r>
    </w:p>
    <w:p>
      <w:pPr>
        <w:spacing w:after="0" w:line="169" w:lineRule="exact"/>
        <w:rPr>
          <w:rFonts w:ascii="Arial" w:cs="Arial" w:eastAsia="Arial" w:hAnsi="Arial"/>
          <w:sz w:val="20"/>
          <w:szCs w:val="20"/>
          <w:color w:val="auto"/>
        </w:rPr>
      </w:pPr>
    </w:p>
    <w:p>
      <w:pPr>
        <w:ind w:right="80" w:firstLine="1532"/>
        <w:spacing w:after="0" w:line="305" w:lineRule="auto"/>
        <w:tabs>
          <w:tab w:leader="none" w:pos="1906"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change, during any period of two consecutive years, of a majority of the Board as constituted as of the beginning of such period, unless the election, or nomination for election by the Company's stockholders, of each director who was not a director at the beginning of such period was approved by vote of at least two-thirds of the Incumbent Directors then in office;</w:t>
      </w:r>
    </w:p>
    <w:p>
      <w:pPr>
        <w:spacing w:after="0" w:line="134" w:lineRule="exact"/>
        <w:rPr>
          <w:rFonts w:ascii="Arial" w:cs="Arial" w:eastAsia="Arial" w:hAnsi="Arial"/>
          <w:sz w:val="19"/>
          <w:szCs w:val="19"/>
          <w:color w:val="auto"/>
        </w:rPr>
      </w:pPr>
    </w:p>
    <w:p>
      <w:pPr>
        <w:ind w:right="480" w:firstLine="1596"/>
        <w:spacing w:after="0" w:line="279" w:lineRule="auto"/>
        <w:tabs>
          <w:tab w:leader="none" w:pos="1905" w:val="left"/>
        </w:tabs>
        <w:numPr>
          <w:ilvl w:val="1"/>
          <w:numId w:val="30"/>
        </w:numPr>
        <w:rPr>
          <w:rFonts w:ascii="Arial" w:cs="Arial" w:eastAsia="Arial" w:hAnsi="Arial"/>
          <w:sz w:val="21"/>
          <w:szCs w:val="21"/>
          <w:color w:val="auto"/>
        </w:rPr>
      </w:pPr>
      <w:r>
        <w:rPr>
          <w:rFonts w:ascii="Arial" w:cs="Arial" w:eastAsia="Arial" w:hAnsi="Arial"/>
          <w:sz w:val="21"/>
          <w:szCs w:val="21"/>
          <w:color w:val="auto"/>
        </w:rPr>
        <w:t>a Business Combination, unless, following such Business Combination, (1) all or substantially all of the individuals and entities that were the Beneficial Owners of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176"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 Parent), (2) no Person (excluding any entity resulting from such Business Combination or a Parent or any employee benefit plan (or related trust) of the Company or such entity resulting from such Business Combination or Parent, and excluding any underwriter in connection with a firm commitment public offering of the Company’s capital stock) Beneficially Owns, directly or indirectly, more than thirty-three and one-third percent of, respectively, the then-outstanding shares of common stock of the entity resulting from such Business Combination or the combined voting power of the then-outstanding voting securities of such entity, and (3) at least a majority of the members of the board of directors of the entity resulting from such Business Combination or a Parent were Incumbent Directors at the time of execution of the initial agreement or of the action of the Board providing for such Business Combination; or</w:t>
      </w:r>
    </w:p>
    <w:p>
      <w:pPr>
        <w:spacing w:after="0" w:line="157" w:lineRule="exact"/>
        <w:rPr>
          <w:sz w:val="20"/>
          <w:szCs w:val="20"/>
          <w:color w:val="auto"/>
        </w:rPr>
      </w:pPr>
    </w:p>
    <w:p>
      <w:pPr>
        <w:ind w:firstLine="1596"/>
        <w:spacing w:after="0" w:line="264" w:lineRule="auto"/>
        <w:tabs>
          <w:tab w:leader="none" w:pos="1903"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stockholders of the Company approve a plan of complete liquidation or dissolution of the Company (other than in the context of a merger, consolidation, reorganization, asset sale or other extraordinary transaction covered by, and which does not constitute a Change in Control under, clause (c) above).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Notwithstanding the foregoing definition or any other provision of the Plan, the term Change in Control will not include a sale of assets, merger or other transaction effected exclusively for the purpose of changing the domicile of the Company.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U.S.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related regulations.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 Period</w:t>
      </w:r>
      <w:r>
        <w:rPr>
          <w:rFonts w:ascii="Arial" w:cs="Arial" w:eastAsia="Arial" w:hAnsi="Arial"/>
          <w:sz w:val="21"/>
          <w:szCs w:val="21"/>
          <w:color w:val="auto"/>
        </w:rPr>
        <w:t>” means:</w:t>
      </w:r>
    </w:p>
    <w:p>
      <w:pPr>
        <w:spacing w:after="0" w:line="222" w:lineRule="exact"/>
        <w:rPr>
          <w:sz w:val="20"/>
          <w:szCs w:val="20"/>
          <w:color w:val="auto"/>
        </w:rPr>
      </w:pPr>
    </w:p>
    <w:p>
      <w:pPr>
        <w:ind w:right="660" w:firstLine="642"/>
        <w:spacing w:after="0" w:line="264" w:lineRule="auto"/>
        <w:tabs>
          <w:tab w:leader="none" w:pos="924"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period during which the Company or any of its Subsidiaries has become a party to a definitive agreement to consummate a transaction that would result in a Change in Control and before the termination of such agreement without the transaction being consummated;</w:t>
      </w:r>
    </w:p>
    <w:p>
      <w:pPr>
        <w:spacing w:after="0" w:line="170" w:lineRule="exact"/>
        <w:rPr>
          <w:rFonts w:ascii="Arial" w:cs="Arial" w:eastAsia="Arial" w:hAnsi="Arial"/>
          <w:sz w:val="21"/>
          <w:szCs w:val="21"/>
          <w:color w:val="auto"/>
        </w:rPr>
      </w:pPr>
    </w:p>
    <w:p>
      <w:pPr>
        <w:ind w:right="80" w:firstLine="642"/>
        <w:spacing w:after="0" w:line="279" w:lineRule="auto"/>
        <w:tabs>
          <w:tab w:leader="none" w:pos="936"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period commencing upon the effective date of the Change in Control and ending on the 12-month anniversary of the effective date of such Change in Control.</w:t>
      </w:r>
    </w:p>
    <w:p>
      <w:pPr>
        <w:spacing w:after="0" w:line="154" w:lineRule="exact"/>
        <w:rPr>
          <w:sz w:val="20"/>
          <w:szCs w:val="20"/>
          <w:color w:val="auto"/>
        </w:rPr>
      </w:pPr>
    </w:p>
    <w:p>
      <w:pPr>
        <w:ind w:right="640"/>
        <w:spacing w:after="0" w:line="279" w:lineRule="auto"/>
        <w:rPr>
          <w:sz w:val="20"/>
          <w:szCs w:val="20"/>
          <w:color w:val="auto"/>
        </w:rPr>
      </w:pPr>
      <w:r>
        <w:rPr>
          <w:rFonts w:ascii="Arial" w:cs="Arial" w:eastAsia="Arial" w:hAnsi="Arial"/>
          <w:sz w:val="21"/>
          <w:szCs w:val="21"/>
          <w:color w:val="auto"/>
        </w:rPr>
        <w:t>Notwithstanding the foregoing, in no event will the Change in Control Period be deemed to have commenced earlier than six months prior to the Change in Control.</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United States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 Section 409A</w:t>
      </w:r>
      <w:r>
        <w:rPr>
          <w:rFonts w:ascii="Arial" w:cs="Arial" w:eastAsia="Arial" w:hAnsi="Arial"/>
          <w:sz w:val="21"/>
          <w:szCs w:val="21"/>
          <w:color w:val="auto"/>
        </w:rPr>
        <w:t>” means Section 409A of the Code.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means the Compensation and Talent Committee of the Board.</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Termination</w:t>
      </w:r>
      <w:r>
        <w:rPr>
          <w:rFonts w:ascii="Arial" w:cs="Arial" w:eastAsia="Arial" w:hAnsi="Arial"/>
          <w:sz w:val="21"/>
          <w:szCs w:val="21"/>
          <w:color w:val="auto"/>
        </w:rPr>
        <w:t>” means:</w:t>
      </w:r>
    </w:p>
    <w:p>
      <w:pPr>
        <w:spacing w:after="0" w:line="222" w:lineRule="exact"/>
        <w:rPr>
          <w:sz w:val="20"/>
          <w:szCs w:val="20"/>
          <w:color w:val="auto"/>
        </w:rPr>
      </w:pPr>
    </w:p>
    <w:p>
      <w:pPr>
        <w:ind w:firstLine="642"/>
        <w:spacing w:after="0" w:line="279" w:lineRule="auto"/>
        <w:tabs>
          <w:tab w:leader="none" w:pos="1072" w:val="left"/>
        </w:tabs>
        <w:numPr>
          <w:ilvl w:val="0"/>
          <w:numId w:val="33"/>
        </w:numPr>
        <w:rPr>
          <w:rFonts w:ascii="Arial" w:cs="Arial" w:eastAsia="Arial" w:hAnsi="Arial"/>
          <w:sz w:val="21"/>
          <w:szCs w:val="21"/>
          <w:color w:val="auto"/>
        </w:rPr>
      </w:pPr>
      <w:r>
        <w:rPr>
          <w:rFonts w:ascii="Arial" w:cs="Arial" w:eastAsia="Arial" w:hAnsi="Arial"/>
          <w:sz w:val="21"/>
          <w:szCs w:val="21"/>
          <w:color w:val="auto"/>
        </w:rPr>
        <w:t>A Participant’s termination of employment by the Employer without Cause (excluding by reason of death or Disability) during the Change in Control Period; or</w:t>
      </w:r>
    </w:p>
    <w:p>
      <w:pPr>
        <w:spacing w:after="0" w:line="154" w:lineRule="exact"/>
        <w:rPr>
          <w:rFonts w:ascii="Arial" w:cs="Arial" w:eastAsia="Arial" w:hAnsi="Arial"/>
          <w:sz w:val="21"/>
          <w:szCs w:val="21"/>
          <w:color w:val="auto"/>
        </w:rPr>
      </w:pPr>
    </w:p>
    <w:p>
      <w:pPr>
        <w:ind w:left="1080" w:hanging="438"/>
        <w:spacing w:after="0"/>
        <w:tabs>
          <w:tab w:leader="none" w:pos="10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Participant’s termination of employment due to his or her resignation for Good Reason during the Change in Control</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Period.</w:t>
      </w:r>
    </w:p>
    <w:p>
      <w:pPr>
        <w:spacing w:after="0" w:line="204" w:lineRule="exact"/>
        <w:rPr>
          <w:sz w:val="20"/>
          <w:szCs w:val="20"/>
          <w:color w:val="auto"/>
        </w:rPr>
      </w:pPr>
    </w:p>
    <w:p>
      <w:pPr>
        <w:ind w:right="16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shall occur upon the Participant becoming eligible for disability benefits under the Employer’s long-term disability plan, or, if earlier, upon the Participant becoming eligible for Social Security disability benefits or any comparable state-provided disability benefits for Participants located in non-United States jurisdictions.</w:t>
      </w:r>
    </w:p>
    <w:p>
      <w:pPr>
        <w:spacing w:after="0" w:line="170" w:lineRule="exact"/>
        <w:rPr>
          <w:sz w:val="20"/>
          <w:szCs w:val="20"/>
          <w:color w:val="auto"/>
        </w:rPr>
      </w:pPr>
    </w:p>
    <w:p>
      <w:pPr>
        <w:ind w:right="140" w:firstLine="636"/>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Employee</w:t>
      </w:r>
      <w:r>
        <w:rPr>
          <w:rFonts w:ascii="Arial" w:cs="Arial" w:eastAsia="Arial" w:hAnsi="Arial"/>
          <w:sz w:val="20"/>
          <w:szCs w:val="20"/>
          <w:color w:val="auto"/>
        </w:rPr>
        <w:t>” means an individual who is an employee on the payroll of the Employer. An Eligible Employee shall not include any person providing services to the Employer through a temporary service or on a leased basis or who is engaged by the Employer as an independent contractor, consultant, or otherwise as a person who is not an employee for purposes of applicable withholding taxes, as evidenced by payroll records or a written agreement with the individual, regardless of any contrary governmental agency determination or judicial holding relating to such status or tax withholding.</w:t>
      </w:r>
    </w:p>
    <w:p>
      <w:pPr>
        <w:spacing w:after="0" w:line="163" w:lineRule="exact"/>
        <w:rPr>
          <w:sz w:val="20"/>
          <w:szCs w:val="20"/>
          <w:color w:val="auto"/>
        </w:rPr>
      </w:pPr>
    </w:p>
    <w:p>
      <w:pPr>
        <w:ind w:right="700" w:firstLine="63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Employer</w:t>
      </w:r>
      <w:r>
        <w:rPr>
          <w:rFonts w:ascii="Arial" w:cs="Arial" w:eastAsia="Arial" w:hAnsi="Arial"/>
          <w:sz w:val="19"/>
          <w:szCs w:val="19"/>
          <w:color w:val="auto"/>
        </w:rPr>
        <w:t>” means the Company and its Subsidiaries. For purposes of determining the entity responsible for making payments to a Participant, “Employer” shall mean the legal entity on whose payroll records the Participant is listed.</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U.S. Securities Exchange Act of 1934, as amended, and the related rules and regulations.</w:t>
      </w:r>
    </w:p>
    <w:p>
      <w:pPr>
        <w:spacing w:after="0" w:line="234" w:lineRule="exact"/>
        <w:rPr>
          <w:sz w:val="20"/>
          <w:szCs w:val="20"/>
          <w:color w:val="auto"/>
        </w:rPr>
      </w:pPr>
    </w:p>
    <w:p>
      <w:pPr>
        <w:ind w:right="60" w:firstLine="636"/>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any of the following without the Participant’s express written consent: (a) a material diminution in the Participant’s authority, duties or responsibilities in effect immediately prior to the Change in Control; (b) a material diminution by the Employer in the Participant’s Base Pay in effect immediately prior to the Change in Control; (c) any material breach by the Employer of any provision of the Plan; (d) the relocation of the Participant’s principal place of employment by more than 50 miles from his or her place of employment immediately prior to a Change in Control; or (e) the Company’s failure to obtain a satisfactory agreement from any successor to assume and agree to perform the Employer’s obligations under the Plan, as contemplated in Section 10.2 hereof. However, any such condition shall not constitute “Good Reason” unless (i) the Participant provides written notice to the Employer of the condition claimed to constitute Good Reason within 90 days of the initial existence of such condition and during the Change in Control Period and (ii) the Employer fails to remedy such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76"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condition within 30 days of receiving such written notice thereof; and provided, further, that in all events the termination of the Participant’s employment with the Employer shall not be treated as a termination for “Good Reason” unless such termination occurs not more than 12 months following the initial existence of the condition claimed to constitute “Good Reason.”</w:t>
      </w:r>
    </w:p>
    <w:p>
      <w:pPr>
        <w:spacing w:after="0" w:line="151" w:lineRule="exact"/>
        <w:rPr>
          <w:sz w:val="20"/>
          <w:szCs w:val="20"/>
          <w:color w:val="auto"/>
        </w:rPr>
      </w:pPr>
    </w:p>
    <w:p>
      <w:pPr>
        <w:ind w:right="4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Incumbent Directors</w:t>
      </w:r>
      <w:r>
        <w:rPr>
          <w:rFonts w:ascii="Arial" w:cs="Arial" w:eastAsia="Arial" w:hAnsi="Arial"/>
          <w:sz w:val="21"/>
          <w:szCs w:val="21"/>
          <w:color w:val="auto"/>
        </w:rPr>
        <w:t>” means the directors holding office as of the Effective Date and any person becoming a director subsequent to such date whose election, or nomination for election by the Company’s stockholders, is approved by a vote of at least a majority of the Incumbent Directors then in office.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JAMS</w:t>
      </w:r>
      <w:r>
        <w:rPr>
          <w:rFonts w:ascii="Arial" w:cs="Arial" w:eastAsia="Arial" w:hAnsi="Arial"/>
          <w:sz w:val="20"/>
          <w:szCs w:val="20"/>
          <w:color w:val="auto"/>
        </w:rPr>
        <w:t>” means the Judicial Arbitration and Mediation Services, Inc., in Orange County, California, or its successor.</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Company Common Stock</w:t>
      </w:r>
      <w:r>
        <w:rPr>
          <w:rFonts w:ascii="Arial" w:cs="Arial" w:eastAsia="Arial" w:hAnsi="Arial"/>
          <w:sz w:val="21"/>
          <w:szCs w:val="21"/>
          <w:color w:val="auto"/>
        </w:rPr>
        <w:t>” means the outstanding shares of the Company’s common stock.</w:t>
      </w:r>
    </w:p>
    <w:p>
      <w:pPr>
        <w:spacing w:after="0" w:line="222" w:lineRule="exact"/>
        <w:rPr>
          <w:sz w:val="20"/>
          <w:szCs w:val="20"/>
          <w:color w:val="auto"/>
        </w:rPr>
      </w:pPr>
    </w:p>
    <w:p>
      <w:pPr>
        <w:ind w:right="40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Company Voting Securities</w:t>
      </w:r>
      <w:r>
        <w:rPr>
          <w:rFonts w:ascii="Arial" w:cs="Arial" w:eastAsia="Arial" w:hAnsi="Arial"/>
          <w:sz w:val="21"/>
          <w:szCs w:val="21"/>
          <w:color w:val="auto"/>
        </w:rPr>
        <w:t>” means the combined voting power of the Company's then outstanding voting securities.</w:t>
      </w:r>
    </w:p>
    <w:p>
      <w:pPr>
        <w:spacing w:after="0" w:line="154" w:lineRule="exact"/>
        <w:rPr>
          <w:sz w:val="20"/>
          <w:szCs w:val="20"/>
          <w:color w:val="auto"/>
        </w:rPr>
      </w:pPr>
    </w:p>
    <w:p>
      <w:pPr>
        <w:ind w:right="40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w:t>
      </w:r>
      <w:r>
        <w:rPr>
          <w:rFonts w:ascii="Arial" w:cs="Arial" w:eastAsia="Arial" w:hAnsi="Arial"/>
          <w:sz w:val="21"/>
          <w:szCs w:val="21"/>
          <w:color w:val="auto"/>
        </w:rPr>
        <w:t>” means an entity that, as a result of a Business Combination, owns the Company or all or substantially all of the Company’s assets directly or through one or more subsidiaries.</w:t>
      </w:r>
    </w:p>
    <w:p>
      <w:pPr>
        <w:spacing w:after="0" w:line="154" w:lineRule="exact"/>
        <w:rPr>
          <w:sz w:val="20"/>
          <w:szCs w:val="20"/>
          <w:color w:val="auto"/>
        </w:rPr>
      </w:pPr>
    </w:p>
    <w:p>
      <w:pPr>
        <w:ind w:right="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 Eligible Employee who has been designated by the Board or Administrator to participate in the Plan, in accordance with Section 3.</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 person as defined in Sections 13(d) and 14(d) of the Exchange Act.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means a release of any and all claims in a form and manner acceptable to the Company.</w:t>
      </w:r>
    </w:p>
    <w:p>
      <w:pPr>
        <w:spacing w:after="0" w:line="222" w:lineRule="exact"/>
        <w:rPr>
          <w:sz w:val="20"/>
          <w:szCs w:val="20"/>
          <w:color w:val="auto"/>
        </w:rPr>
      </w:pPr>
    </w:p>
    <w:p>
      <w:pPr>
        <w:ind w:right="560" w:firstLine="63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with respect to a Participant, shall mean that the Participant dies, retires, or otherwise has a termination of employment with the Employer that constitutes a “separation from service” within the meaning of Treasury Regulation Section 1.409A-1(h)(1), without regard to the optional alternative definitions available under such regulation.</w:t>
      </w:r>
    </w:p>
    <w:p>
      <w:pPr>
        <w:spacing w:after="0" w:line="134" w:lineRule="exact"/>
        <w:rPr>
          <w:sz w:val="20"/>
          <w:szCs w:val="20"/>
          <w:color w:val="auto"/>
        </w:rPr>
      </w:pPr>
    </w:p>
    <w:p>
      <w:pPr>
        <w:ind w:right="1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Severance Benefits</w:t>
      </w:r>
      <w:r>
        <w:rPr>
          <w:rFonts w:ascii="Arial" w:cs="Arial" w:eastAsia="Arial" w:hAnsi="Arial"/>
          <w:sz w:val="21"/>
          <w:szCs w:val="21"/>
          <w:color w:val="auto"/>
        </w:rPr>
        <w:t xml:space="preserve">” means the severance payments and benefits specified for a Participant in </w:t>
      </w:r>
      <w:r>
        <w:rPr>
          <w:rFonts w:ascii="Arial" w:cs="Arial" w:eastAsia="Arial" w:hAnsi="Arial"/>
          <w:sz w:val="21"/>
          <w:szCs w:val="21"/>
          <w:u w:val="single" w:color="auto"/>
          <w:color w:val="auto"/>
        </w:rPr>
        <w:t>Appendix A-1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Appendix</w:t>
      </w:r>
      <w:r>
        <w:rPr>
          <w:rFonts w:ascii="Arial" w:cs="Arial" w:eastAsia="Arial" w:hAnsi="Arial"/>
          <w:sz w:val="21"/>
          <w:szCs w:val="21"/>
          <w:color w:val="auto"/>
        </w:rPr>
        <w:t xml:space="preserve"> </w:t>
      </w:r>
      <w:r>
        <w:rPr>
          <w:rFonts w:ascii="Arial" w:cs="Arial" w:eastAsia="Arial" w:hAnsi="Arial"/>
          <w:sz w:val="21"/>
          <w:szCs w:val="21"/>
          <w:u w:val="single" w:color="auto"/>
          <w:color w:val="auto"/>
        </w:rPr>
        <w:t>A-2</w:t>
      </w:r>
      <w:r>
        <w:rPr>
          <w:rFonts w:ascii="Arial" w:cs="Arial" w:eastAsia="Arial" w:hAnsi="Arial"/>
          <w:sz w:val="21"/>
          <w:szCs w:val="21"/>
          <w:color w:val="auto"/>
        </w:rPr>
        <w:t>, as applicable.</w:t>
      </w:r>
    </w:p>
    <w:p>
      <w:pPr>
        <w:spacing w:after="0" w:line="154" w:lineRule="exact"/>
        <w:rPr>
          <w:sz w:val="20"/>
          <w:szCs w:val="20"/>
          <w:color w:val="auto"/>
        </w:rPr>
      </w:pPr>
    </w:p>
    <w:p>
      <w:pPr>
        <w:ind w:right="76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any corporation or other entity a majority of whose outstanding voting stock or voting power is beneficially owned directly or indirectly by the Company.</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Eligible Employee</w:t>
      </w:r>
      <w:r>
        <w:rPr>
          <w:rFonts w:ascii="Arial" w:cs="Arial" w:eastAsia="Arial" w:hAnsi="Arial"/>
          <w:sz w:val="21"/>
          <w:szCs w:val="21"/>
          <w:color w:val="auto"/>
        </w:rPr>
        <w:t>” means any Eligible Employee who is paid from the United States payroll of the Employer.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70" w:lineRule="exact"/>
        <w:rPr>
          <w:sz w:val="20"/>
          <w:szCs w:val="20"/>
          <w:color w:val="auto"/>
        </w:rPr>
      </w:pPr>
    </w:p>
    <w:p>
      <w:pPr>
        <w:ind w:left="380" w:hanging="374"/>
        <w:spacing w:after="0"/>
        <w:tabs>
          <w:tab w:leader="none" w:pos="380"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PARTICIPATION</w:t>
      </w:r>
    </w:p>
    <w:p>
      <w:pPr>
        <w:spacing w:after="0" w:line="228" w:lineRule="exact"/>
        <w:rPr>
          <w:sz w:val="20"/>
          <w:szCs w:val="20"/>
          <w:color w:val="auto"/>
        </w:rPr>
      </w:pPr>
    </w:p>
    <w:p>
      <w:pPr>
        <w:ind w:right="260" w:firstLine="636"/>
        <w:spacing w:after="0" w:line="264" w:lineRule="auto"/>
        <w:rPr>
          <w:sz w:val="20"/>
          <w:szCs w:val="20"/>
          <w:color w:val="auto"/>
        </w:rPr>
      </w:pPr>
      <w:r>
        <w:rPr>
          <w:rFonts w:ascii="Arial" w:cs="Arial" w:eastAsia="Arial" w:hAnsi="Arial"/>
          <w:sz w:val="21"/>
          <w:szCs w:val="21"/>
          <w:color w:val="auto"/>
        </w:rPr>
        <w:t>The Administrator may, from time to time, designate Eligible Employees as Participants; provided, that the Administrator shall limit the group of all persons eligible to participate in the Plan to a “select group of management or highly compensated employees” within the meaning of 29 C.F.R. 2520-104-23 or any similar successor provision.</w:t>
      </w:r>
    </w:p>
    <w:p>
      <w:pPr>
        <w:spacing w:after="0" w:line="170" w:lineRule="exact"/>
        <w:rPr>
          <w:sz w:val="20"/>
          <w:szCs w:val="20"/>
          <w:color w:val="auto"/>
        </w:rPr>
      </w:pPr>
    </w:p>
    <w:p>
      <w:pPr>
        <w:ind w:firstLine="636"/>
        <w:spacing w:after="0" w:line="259" w:lineRule="auto"/>
        <w:rPr>
          <w:sz w:val="20"/>
          <w:szCs w:val="20"/>
          <w:color w:val="auto"/>
        </w:rPr>
      </w:pPr>
      <w:r>
        <w:rPr>
          <w:rFonts w:ascii="Arial" w:cs="Arial" w:eastAsia="Arial" w:hAnsi="Arial"/>
          <w:sz w:val="21"/>
          <w:szCs w:val="21"/>
          <w:color w:val="auto"/>
        </w:rPr>
        <w:t xml:space="preserve">The Administrator designates Participants into one of the following three categories: Tier 1 Participant per </w:t>
      </w:r>
      <w:r>
        <w:rPr>
          <w:rFonts w:ascii="Arial" w:cs="Arial" w:eastAsia="Arial" w:hAnsi="Arial"/>
          <w:sz w:val="21"/>
          <w:szCs w:val="21"/>
          <w:u w:val="single" w:color="auto"/>
          <w:color w:val="auto"/>
        </w:rPr>
        <w:t>Appendix A-1</w:t>
      </w:r>
      <w:r>
        <w:rPr>
          <w:rFonts w:ascii="Arial" w:cs="Arial" w:eastAsia="Arial" w:hAnsi="Arial"/>
          <w:sz w:val="21"/>
          <w:szCs w:val="21"/>
          <w:color w:val="auto"/>
        </w:rPr>
        <w:t xml:space="preserve">, Tier 2 Participant per </w:t>
      </w:r>
      <w:r>
        <w:rPr>
          <w:rFonts w:ascii="Arial" w:cs="Arial" w:eastAsia="Arial" w:hAnsi="Arial"/>
          <w:sz w:val="21"/>
          <w:szCs w:val="21"/>
          <w:u w:val="single" w:color="auto"/>
          <w:color w:val="auto"/>
        </w:rPr>
        <w:t>Appendix A-2</w:t>
      </w:r>
      <w:r>
        <w:rPr>
          <w:rFonts w:ascii="Arial" w:cs="Arial" w:eastAsia="Arial" w:hAnsi="Arial"/>
          <w:sz w:val="21"/>
          <w:szCs w:val="21"/>
          <w:color w:val="auto"/>
        </w:rPr>
        <w:t xml:space="preserve"> or Tier 3 Participant per </w:t>
      </w:r>
      <w:r>
        <w:rPr>
          <w:rFonts w:ascii="Arial" w:cs="Arial" w:eastAsia="Arial" w:hAnsi="Arial"/>
          <w:sz w:val="21"/>
          <w:szCs w:val="21"/>
          <w:u w:val="single" w:color="auto"/>
          <w:color w:val="auto"/>
        </w:rPr>
        <w:t>Appendix A-2</w:t>
      </w:r>
      <w:r>
        <w:rPr>
          <w:rFonts w:ascii="Arial" w:cs="Arial" w:eastAsia="Arial" w:hAnsi="Arial"/>
          <w:sz w:val="21"/>
          <w:szCs w:val="21"/>
          <w:color w:val="auto"/>
        </w:rPr>
        <w:t xml:space="preserve">. The Administrator may, in its sole discretion, remove a Participant from the Plan or modify existing Participant tier designations, regardless of the general designations in </w:t>
      </w:r>
      <w:r>
        <w:rPr>
          <w:rFonts w:ascii="Arial" w:cs="Arial" w:eastAsia="Arial" w:hAnsi="Arial"/>
          <w:sz w:val="21"/>
          <w:szCs w:val="21"/>
          <w:u w:val="single" w:color="auto"/>
          <w:color w:val="auto"/>
        </w:rPr>
        <w:t>Appendix A-1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Appendix A-2</w:t>
      </w:r>
      <w:r>
        <w:rPr>
          <w:rFonts w:ascii="Arial" w:cs="Arial" w:eastAsia="Arial" w:hAnsi="Arial"/>
          <w:sz w:val="21"/>
          <w:szCs w:val="21"/>
          <w:color w:val="auto"/>
        </w:rPr>
        <w:t>.</w:t>
      </w:r>
    </w:p>
    <w:p>
      <w:pPr>
        <w:spacing w:after="0" w:line="171" w:lineRule="exact"/>
        <w:rPr>
          <w:sz w:val="20"/>
          <w:szCs w:val="20"/>
          <w:color w:val="auto"/>
        </w:rPr>
      </w:pPr>
    </w:p>
    <w:p>
      <w:pPr>
        <w:ind w:left="380" w:hanging="374"/>
        <w:spacing w:after="0"/>
        <w:tabs>
          <w:tab w:leader="none" w:pos="380"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ACCRUED RIGHTS; COMPENSATION UPON A CHANGE IN CONTROL; SEVERANCE BENEFITS</w:t>
      </w:r>
    </w:p>
    <w:p>
      <w:pPr>
        <w:spacing w:after="0" w:line="228" w:lineRule="exact"/>
        <w:rPr>
          <w:sz w:val="20"/>
          <w:szCs w:val="20"/>
          <w:color w:val="auto"/>
        </w:rPr>
      </w:pPr>
    </w:p>
    <w:p>
      <w:pPr>
        <w:ind w:firstLine="636"/>
        <w:spacing w:after="0" w:line="264"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Compensation Upon a Change in Control</w:t>
      </w:r>
      <w:r>
        <w:rPr>
          <w:rFonts w:ascii="Arial" w:cs="Arial" w:eastAsia="Arial" w:hAnsi="Arial"/>
          <w:sz w:val="21"/>
          <w:szCs w:val="21"/>
          <w:color w:val="auto"/>
        </w:rPr>
        <w:t>. Commencing on the date a Change in Control occurs and for 12 months thereafter (or for such shorter period of time as the Participant remains employed following such Change in Control), the Participant shall be entitled to receive:</w:t>
      </w:r>
    </w:p>
    <w:p>
      <w:pPr>
        <w:spacing w:after="0" w:line="170" w:lineRule="exact"/>
        <w:rPr>
          <w:sz w:val="20"/>
          <w:szCs w:val="20"/>
          <w:color w:val="auto"/>
        </w:rPr>
      </w:pPr>
    </w:p>
    <w:p>
      <w:pPr>
        <w:ind w:left="900" w:hanging="258"/>
        <w:spacing w:after="0"/>
        <w:tabs>
          <w:tab w:leader="none" w:pos="9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Base Pay at a rate no less than the Base Pay immediately prior to the date of the Change in Control;</w:t>
      </w:r>
    </w:p>
    <w:p>
      <w:pPr>
        <w:spacing w:after="0" w:line="222" w:lineRule="exact"/>
        <w:rPr>
          <w:rFonts w:ascii="Arial" w:cs="Arial" w:eastAsia="Arial" w:hAnsi="Arial"/>
          <w:sz w:val="21"/>
          <w:szCs w:val="21"/>
          <w:color w:val="auto"/>
        </w:rPr>
      </w:pPr>
    </w:p>
    <w:p>
      <w:pPr>
        <w:jc w:val="both"/>
        <w:ind w:right="60" w:firstLine="642"/>
        <w:spacing w:after="0" w:line="290" w:lineRule="auto"/>
        <w:tabs>
          <w:tab w:leader="none" w:pos="948" w:val="left"/>
        </w:tabs>
        <w:numPr>
          <w:ilvl w:val="0"/>
          <w:numId w:val="36"/>
        </w:numPr>
        <w:rPr>
          <w:rFonts w:ascii="Arial" w:cs="Arial" w:eastAsia="Arial" w:hAnsi="Arial"/>
          <w:sz w:val="19"/>
          <w:szCs w:val="19"/>
          <w:color w:val="auto"/>
        </w:rPr>
      </w:pPr>
      <w:r>
        <w:rPr>
          <w:rFonts w:ascii="Arial" w:cs="Arial" w:eastAsia="Arial" w:hAnsi="Arial"/>
          <w:sz w:val="19"/>
          <w:szCs w:val="19"/>
          <w:color w:val="auto"/>
        </w:rPr>
        <w:t>benefits under employee benefit plans or arrangements (including, without limitation, any pension or welfare plan, life, health, hospitalization and other forms of insurance and all other "fringe" benefits or perquisites) made available to the Participant by the Employer (or any successor thereto), and the Participant’s level of participation in, or entitlements under, any such employee benefit plan of any successor to the Employer (or an affiliate thereof) shall be calculated as if the Participant had been an employee of such successor to the Employer (or an affiliate thereof) from the date of employment by Participant’s Employer; and</w:t>
      </w:r>
    </w:p>
    <w:p>
      <w:pPr>
        <w:spacing w:after="0" w:line="150" w:lineRule="exact"/>
        <w:rPr>
          <w:rFonts w:ascii="Arial" w:cs="Arial" w:eastAsia="Arial" w:hAnsi="Arial"/>
          <w:sz w:val="19"/>
          <w:szCs w:val="19"/>
          <w:color w:val="auto"/>
        </w:rPr>
      </w:pPr>
    </w:p>
    <w:p>
      <w:pPr>
        <w:ind w:right="100" w:firstLine="642"/>
        <w:spacing w:after="0" w:line="305" w:lineRule="auto"/>
        <w:tabs>
          <w:tab w:leader="none" w:pos="1007"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reimbursement for all reasonable business expenses incurred by the Participant in the performance of his or her duties on behalf of the Employer for so long as the Participant is employed by Employer (or an affiliate thereof), and in no event shall the reimbursement be made later than the end of the taxable year following the taxable year that the related expenses were incurred.</w:t>
      </w:r>
    </w:p>
    <w:p>
      <w:pPr>
        <w:spacing w:after="0" w:line="134" w:lineRule="exact"/>
        <w:rPr>
          <w:sz w:val="20"/>
          <w:szCs w:val="20"/>
          <w:color w:val="auto"/>
        </w:rPr>
      </w:pPr>
    </w:p>
    <w:p>
      <w:pPr>
        <w:ind w:right="60" w:firstLine="636"/>
        <w:spacing w:after="0" w:line="255"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Accrued Rights</w:t>
      </w:r>
      <w:r>
        <w:rPr>
          <w:rFonts w:ascii="Arial" w:cs="Arial" w:eastAsia="Arial" w:hAnsi="Arial"/>
          <w:sz w:val="21"/>
          <w:szCs w:val="21"/>
          <w:color w:val="auto"/>
        </w:rPr>
        <w:t>. Upon a termination of the Participant’s employment for any reason, the Participant (or the Participant’s estate) shall be entitled to receive the sum of the Participant’s Base Pay through the date of termination that is unpaid; the monetary equivalent of any accrued but unused vacation days; any reasonable business expenses incurred in the performance of his or her duties to the Employer in accordance with applicable expense reimbursement policies and procedures and that remain unpaid as of the date of termination; and any amount owed to the Participant in connection with employee benefit plans (including without limitation, any disability or life insurance benefit plans, programs or arrangements), payable in accordance with the terms and conditions of such employee benefit plans.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76" w:lineRule="exact"/>
        <w:rPr>
          <w:sz w:val="20"/>
          <w:szCs w:val="20"/>
          <w:color w:val="auto"/>
        </w:rPr>
      </w:pPr>
    </w:p>
    <w:p>
      <w:pPr>
        <w:ind w:right="40" w:firstLine="636"/>
        <w:spacing w:after="0" w:line="28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Severance Benefits</w:t>
      </w:r>
      <w:r>
        <w:rPr>
          <w:rFonts w:ascii="Arial" w:cs="Arial" w:eastAsia="Arial" w:hAnsi="Arial"/>
          <w:sz w:val="19"/>
          <w:szCs w:val="19"/>
          <w:color w:val="auto"/>
        </w:rPr>
        <w:t>. In the event a Participant’s termination of employment constitutes a Covered Termination, such Participant shall be entitled to receive the Severance Benefits from his or her Employer subject to the conditions set forth in Section</w:t>
      </w:r>
    </w:p>
    <w:p>
      <w:pPr>
        <w:spacing w:after="0" w:line="1" w:lineRule="exact"/>
        <w:rPr>
          <w:sz w:val="20"/>
          <w:szCs w:val="20"/>
          <w:color w:val="auto"/>
        </w:rPr>
      </w:pPr>
    </w:p>
    <w:p>
      <w:pPr>
        <w:ind w:right="40" w:firstLine="6"/>
        <w:spacing w:after="0" w:line="266" w:lineRule="auto"/>
        <w:tabs>
          <w:tab w:leader="none" w:pos="212"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In no event shall a Participant become entitled to a duplication of benefits under the Plan and any other severance plan or program of the Employer (including the Company’s Amended and Restated Executive Severance Plan). In the event a Participant is eligible to receive benefits under the Plan and any other severance plan or program of the Employer (including the Company’s Amended and Restated Executive Severance Plan), Participant shall only receive benefits pursuant to the arrangement that yields the greatest benefit to the Participant. Notwithstanding any provision of the Plan to the contrary, to the extent that any Participant is entitled to any period of paid notice under Federal or state law including, but not limited to, the Worker Adjustment Retraining Notification Act, 29 U.S.C. Sections 2101 </w:t>
      </w:r>
      <w:r>
        <w:rPr>
          <w:rFonts w:ascii="Arial" w:cs="Arial" w:eastAsia="Arial" w:hAnsi="Arial"/>
          <w:sz w:val="20"/>
          <w:szCs w:val="20"/>
          <w:u w:val="single" w:color="auto"/>
          <w:color w:val="auto"/>
        </w:rPr>
        <w:t>et seq</w:t>
      </w:r>
      <w:r>
        <w:rPr>
          <w:rFonts w:ascii="Arial" w:cs="Arial" w:eastAsia="Arial" w:hAnsi="Arial"/>
          <w:sz w:val="20"/>
          <w:szCs w:val="20"/>
          <w:color w:val="auto"/>
        </w:rPr>
        <w:t>., the benefits and amounts payable under the Plan shall be reduced (but not below zero) by the Base Pay received by the Participant during the period of such paid notice.</w:t>
      </w:r>
    </w:p>
    <w:p>
      <w:pPr>
        <w:spacing w:after="0" w:line="169" w:lineRule="exact"/>
        <w:rPr>
          <w:sz w:val="20"/>
          <w:szCs w:val="20"/>
          <w:color w:val="auto"/>
        </w:rPr>
      </w:pPr>
    </w:p>
    <w:p>
      <w:pPr>
        <w:ind w:firstLine="636"/>
        <w:spacing w:after="0" w:line="253"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Specified Employees</w:t>
      </w:r>
      <w:r>
        <w:rPr>
          <w:rFonts w:ascii="Arial" w:cs="Arial" w:eastAsia="Arial" w:hAnsi="Arial"/>
          <w:sz w:val="21"/>
          <w:szCs w:val="21"/>
          <w:color w:val="auto"/>
        </w:rPr>
        <w:t>. It is the Company’s intent that the Severance Benefits be exempt from Section 409A as a “short-term deferral” or separation pay due to an involuntary separation from service within the meaning of Code Section 409A. If the Severance Benefits (or any portion thereof) constitute non-exempt “deferred compensation” (within the meaning of Section 409A), then a Participant who is a “specified employee” within the meaning of Code Section 409A shall not be entitled to any such benefits hereunder until the earlier of (i) the date which is six months after the Participant’s Separation from Service for any reason other than death, or (ii) the date of the Participant’s death. Any amounts otherwise payable to the Participant upon or in the six-month period following the Participant’s Separation from Service that are not paid by reason of this Section 4.4 shall be paid (without interest) as soon as practicable (and in all events within 30 days) after (x) the required six-month period or, if earlier (y) the date of the Participant’s death.</w:t>
      </w:r>
    </w:p>
    <w:p>
      <w:pPr>
        <w:spacing w:after="0" w:line="181" w:lineRule="exact"/>
        <w:rPr>
          <w:sz w:val="20"/>
          <w:szCs w:val="20"/>
          <w:color w:val="auto"/>
        </w:rPr>
      </w:pPr>
    </w:p>
    <w:p>
      <w:pPr>
        <w:ind w:left="380" w:hanging="374"/>
        <w:spacing w:after="0"/>
        <w:tabs>
          <w:tab w:leader="none" w:pos="380"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CONDITIONS TO SEVERANCE BENEFITS</w:t>
      </w:r>
    </w:p>
    <w:p>
      <w:pPr>
        <w:spacing w:after="0" w:line="228" w:lineRule="exact"/>
        <w:rPr>
          <w:sz w:val="20"/>
          <w:szCs w:val="20"/>
          <w:color w:val="auto"/>
        </w:rPr>
      </w:pPr>
    </w:p>
    <w:p>
      <w:pPr>
        <w:jc w:val="both"/>
        <w:ind w:right="340" w:firstLine="636"/>
        <w:spacing w:after="0" w:line="295"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Release</w:t>
      </w:r>
      <w:r>
        <w:rPr>
          <w:rFonts w:ascii="Arial" w:cs="Arial" w:eastAsia="Arial" w:hAnsi="Arial"/>
          <w:sz w:val="19"/>
          <w:szCs w:val="19"/>
          <w:color w:val="auto"/>
        </w:rPr>
        <w:t>. The Employer’s obligation to pay the Severance Benefits to a Participant is subject to: (i) the Participant’s execution of a Release; and (ii) such Release not being revoked by the Participant (pursuant to any revocation rights afforded by applicable law) or otherwise rendered unenforceable by the Participant. The Employer will have no obligation to pay any of the Severance Benefits to the Participant under the Plan until such Release becomes effective.</w:t>
      </w:r>
    </w:p>
    <w:p>
      <w:pPr>
        <w:spacing w:after="0" w:line="145" w:lineRule="exact"/>
        <w:rPr>
          <w:sz w:val="20"/>
          <w:szCs w:val="20"/>
          <w:color w:val="auto"/>
        </w:rPr>
      </w:pPr>
    </w:p>
    <w:p>
      <w:pPr>
        <w:ind w:right="180" w:firstLine="636"/>
        <w:spacing w:after="0" w:line="27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Departure and Entitlement Procedure</w:t>
      </w:r>
      <w:r>
        <w:rPr>
          <w:rFonts w:ascii="Arial" w:cs="Arial" w:eastAsia="Arial" w:hAnsi="Arial"/>
          <w:sz w:val="21"/>
          <w:szCs w:val="21"/>
          <w:color w:val="auto"/>
        </w:rPr>
        <w:t>. As a condition to receiving the Severance Benefits, the Participant must return and deliver to the Employer all Employer property within seven days of the Participant’s termination date.</w:t>
      </w:r>
    </w:p>
    <w:p>
      <w:pPr>
        <w:spacing w:after="0" w:line="181" w:lineRule="exact"/>
        <w:rPr>
          <w:sz w:val="20"/>
          <w:szCs w:val="20"/>
          <w:color w:val="auto"/>
        </w:rPr>
      </w:pPr>
    </w:p>
    <w:p>
      <w:pPr>
        <w:jc w:val="both"/>
        <w:ind w:right="60" w:firstLine="636"/>
        <w:spacing w:after="0" w:line="30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Other Employment; Limitation On Employee Rights</w:t>
      </w:r>
      <w:r>
        <w:rPr>
          <w:rFonts w:ascii="Arial" w:cs="Arial" w:eastAsia="Arial" w:hAnsi="Arial"/>
          <w:sz w:val="19"/>
          <w:szCs w:val="19"/>
          <w:color w:val="auto"/>
        </w:rPr>
        <w:t>. A Participant shall not be required to mitigate the amount of any payments provided by the Plan by seeking employment or otherwise. The Employer reserves the right to offset the benefits payable under the Plan by any advanced monies the Participant owes the Employer. The Plan shall not give any employee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20"/>
          </w:cols>
          <w:pgMar w:left="320" w:top="1440" w:right="359" w:bottom="1440" w:gutter="0" w:footer="0" w:header="0"/>
        </w:sectPr>
      </w:pPr>
    </w:p>
    <w:bookmarkStart w:id="120" w:name="page121"/>
    <w:bookmarkEnd w:id="120"/>
    <w:p>
      <w:pPr>
        <w:ind w:right="860"/>
        <w:spacing w:after="0" w:line="279" w:lineRule="auto"/>
        <w:rPr>
          <w:sz w:val="20"/>
          <w:szCs w:val="20"/>
          <w:color w:val="auto"/>
        </w:rPr>
      </w:pPr>
      <w:r>
        <w:rPr>
          <w:rFonts w:ascii="Arial" w:cs="Arial" w:eastAsia="Arial" w:hAnsi="Arial"/>
          <w:sz w:val="21"/>
          <w:szCs w:val="21"/>
          <w:color w:val="auto"/>
        </w:rPr>
        <w:t>right to be retained in the service of the Employer or to interfere with or restrict the right of the Employer to discharge any employee at any time, with or without Cause.</w:t>
      </w:r>
    </w:p>
    <w:p>
      <w:pPr>
        <w:spacing w:after="0" w:line="148" w:lineRule="exact"/>
        <w:rPr>
          <w:sz w:val="20"/>
          <w:szCs w:val="20"/>
          <w:color w:val="auto"/>
        </w:rPr>
      </w:pPr>
    </w:p>
    <w:p>
      <w:pPr>
        <w:ind w:left="380" w:hanging="374"/>
        <w:spacing w:after="0"/>
        <w:tabs>
          <w:tab w:leader="none" w:pos="3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RESOLUTION OF DISPUTES</w:t>
      </w:r>
    </w:p>
    <w:p>
      <w:pPr>
        <w:spacing w:after="0" w:line="228" w:lineRule="exact"/>
        <w:rPr>
          <w:sz w:val="20"/>
          <w:szCs w:val="20"/>
          <w:color w:val="auto"/>
        </w:rPr>
      </w:pPr>
    </w:p>
    <w:p>
      <w:pPr>
        <w:ind w:firstLine="636"/>
        <w:spacing w:after="0" w:line="28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Claim</w:t>
      </w:r>
      <w:r>
        <w:rPr>
          <w:rFonts w:ascii="Arial" w:cs="Arial" w:eastAsia="Arial" w:hAnsi="Arial"/>
          <w:sz w:val="19"/>
          <w:szCs w:val="19"/>
          <w:color w:val="auto"/>
        </w:rPr>
        <w:t>. Any Participant or other person who believes he or she is entitled to any payment under the Plan (referred to in this section as “claimant”)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expected date of the Administrator’s decision.</w:t>
      </w:r>
    </w:p>
    <w:p>
      <w:pPr>
        <w:spacing w:after="0" w:line="159" w:lineRule="exact"/>
        <w:rPr>
          <w:sz w:val="20"/>
          <w:szCs w:val="20"/>
          <w:color w:val="auto"/>
        </w:rPr>
      </w:pPr>
    </w:p>
    <w:p>
      <w:pPr>
        <w:ind w:right="20" w:firstLine="636"/>
        <w:spacing w:after="0" w:line="266"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Appeal Procedure</w:t>
      </w:r>
      <w:r>
        <w:rPr>
          <w:rFonts w:ascii="Arial" w:cs="Arial" w:eastAsia="Arial" w:hAnsi="Arial"/>
          <w:sz w:val="20"/>
          <w:szCs w:val="20"/>
          <w:color w:val="auto"/>
        </w:rPr>
        <w:t>. If the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then has the right to review and obtain copies of all documents and other information relevant to the claim, upon request and at no charge, and to submit issues and comments in writing within ten business days after receiving documents and other information relevant to the claim. The Administrator will provide written notice of its decision on review within 60 days after it receives a review request. If additional time (up to 60 days) is needed to review the request, the claimant will be given written notice of the reason for the delay. This notice of extension will indicate the special circumstances requiring the extension of time and the expected date of the Administrator’s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171" w:lineRule="exact"/>
        <w:rPr>
          <w:sz w:val="20"/>
          <w:szCs w:val="20"/>
          <w:color w:val="auto"/>
        </w:rPr>
      </w:pPr>
    </w:p>
    <w:p>
      <w:pPr>
        <w:ind w:right="40" w:firstLine="636"/>
        <w:spacing w:after="0" w:line="269"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Arbitration</w:t>
      </w:r>
      <w:r>
        <w:rPr>
          <w:rFonts w:ascii="Arial" w:cs="Arial" w:eastAsia="Arial" w:hAnsi="Arial"/>
          <w:sz w:val="20"/>
          <w:szCs w:val="20"/>
          <w:color w:val="auto"/>
        </w:rPr>
        <w:t xml:space="preserve">. A claimant who followed the procedures in Sections 6.1 through 6.2, but has not obtained full relief on his or her claim for benefits, may, within 90 days following his or her receipt of the Administrator’s written decision on review pursuant to Section 6.2, apply in writing to the Administrator for expedited and binding arbitration of his or her claim in Orange County, California, before a sole arbitrator selected from JAMS, or if JAMS is no longer able to supply the arbitrator, such arbitrator shall be selected from the American Arbitration Association, and shall be conducted in accordance with the provisions of California Code of Civil Procedure §§ 1280 </w:t>
      </w:r>
      <w:r>
        <w:rPr>
          <w:rFonts w:ascii="Arial" w:cs="Arial" w:eastAsia="Arial" w:hAnsi="Arial"/>
          <w:sz w:val="20"/>
          <w:szCs w:val="20"/>
          <w:u w:val="single" w:color="auto"/>
          <w:color w:val="auto"/>
        </w:rPr>
        <w:t>et seq</w:t>
      </w:r>
      <w:r>
        <w:rPr>
          <w:rFonts w:ascii="Arial" w:cs="Arial" w:eastAsia="Arial" w:hAnsi="Arial"/>
          <w:sz w:val="20"/>
          <w:szCs w:val="20"/>
          <w:color w:val="auto"/>
        </w:rPr>
        <w:t>. as the exclusive forum for the resolution of such dispute. Any award or relief granted by the arbitrator shall be final and binding on the parties hereto and may be enforced by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121" w:name="page122"/>
    <w:bookmarkEnd w:id="121"/>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21"/>
          <w:szCs w:val="21"/>
          <w:color w:val="auto"/>
        </w:rPr>
        <w:t>any court of competent jurisdiction. Any rights to trial by jury in any action, proceeding or counterclaim brought by any of the Company, a Subsidiary or a Participant in connection with any matter whatsoever arising out of or in any way connected with the Plan are hereby waived. The Employer shall be responsible for payment of the forum costs of any arbitration hereunder, including the arbitrator’s fee.</w:t>
      </w:r>
    </w:p>
    <w:p>
      <w:pPr>
        <w:spacing w:after="0" w:line="177" w:lineRule="exact"/>
        <w:rPr>
          <w:sz w:val="20"/>
          <w:szCs w:val="20"/>
          <w:color w:val="auto"/>
        </w:rPr>
      </w:pPr>
    </w:p>
    <w:p>
      <w:pPr>
        <w:ind w:right="100" w:firstLine="636"/>
        <w:spacing w:after="0" w:line="276"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Legal Fees and Expenses</w:t>
      </w:r>
      <w:r>
        <w:rPr>
          <w:rFonts w:ascii="Arial" w:cs="Arial" w:eastAsia="Arial" w:hAnsi="Arial"/>
          <w:sz w:val="20"/>
          <w:szCs w:val="20"/>
          <w:color w:val="auto"/>
        </w:rPr>
        <w:t>. If any dispute arises between the parties with respect to the interpretation or performance of the Plan, the prevailing party in any arbitration or proceeding shall be entitled to recover from the other party its attorneys’ fees or court costs and other expenses incurred in connection with any such proceeding. Amounts, if any, paid to the Participant under this Section 6.4 shall be in addition to all other amounts due to the Participant pursuant to the Plan.</w:t>
      </w:r>
    </w:p>
    <w:p>
      <w:pPr>
        <w:spacing w:after="0" w:line="155" w:lineRule="exact"/>
        <w:rPr>
          <w:sz w:val="20"/>
          <w:szCs w:val="20"/>
          <w:color w:val="auto"/>
        </w:rPr>
      </w:pPr>
    </w:p>
    <w:p>
      <w:pPr>
        <w:ind w:left="380" w:hanging="374"/>
        <w:spacing w:after="0"/>
        <w:tabs>
          <w:tab w:leader="none" w:pos="38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ADMINISTRATION</w:t>
      </w:r>
    </w:p>
    <w:p>
      <w:pPr>
        <w:spacing w:after="0" w:line="228" w:lineRule="exact"/>
        <w:rPr>
          <w:sz w:val="20"/>
          <w:szCs w:val="20"/>
          <w:color w:val="auto"/>
        </w:rPr>
      </w:pPr>
    </w:p>
    <w:p>
      <w:pPr>
        <w:ind w:firstLine="636"/>
        <w:spacing w:after="0" w:line="276" w:lineRule="auto"/>
        <w:rPr>
          <w:sz w:val="20"/>
          <w:szCs w:val="20"/>
          <w:color w:val="auto"/>
        </w:rPr>
      </w:pPr>
      <w:r>
        <w:rPr>
          <w:rFonts w:ascii="Arial" w:cs="Arial" w:eastAsia="Arial" w:hAnsi="Arial"/>
          <w:sz w:val="20"/>
          <w:szCs w:val="20"/>
          <w:color w:val="auto"/>
        </w:rPr>
        <w:t>The Plan shall be administered and operated by the Administrator. The Administrator is empowered to construe and interpret the provisions of the Plan and to decide all questions of eligibility for benefits under the Plan and shall make such determinations in its sole and absolute discretion. The Administrator may at any time delegate to any other named person or body, or reassume from any delegate, any of its responsibilities or administrative duties with respect to the Plan.</w:t>
      </w:r>
    </w:p>
    <w:p>
      <w:pPr>
        <w:spacing w:after="0" w:line="155" w:lineRule="exact"/>
        <w:rPr>
          <w:sz w:val="20"/>
          <w:szCs w:val="20"/>
          <w:color w:val="auto"/>
        </w:rPr>
      </w:pPr>
    </w:p>
    <w:p>
      <w:pPr>
        <w:ind w:left="380" w:hanging="374"/>
        <w:spacing w:after="0"/>
        <w:tabs>
          <w:tab w:leader="none" w:pos="38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p>
    <w:p>
      <w:pPr>
        <w:spacing w:after="0" w:line="228" w:lineRule="exact"/>
        <w:rPr>
          <w:sz w:val="20"/>
          <w:szCs w:val="20"/>
          <w:color w:val="auto"/>
        </w:rPr>
      </w:pPr>
    </w:p>
    <w:p>
      <w:pPr>
        <w:ind w:right="160" w:firstLine="636"/>
        <w:spacing w:after="0" w:line="284" w:lineRule="auto"/>
        <w:rPr>
          <w:sz w:val="20"/>
          <w:szCs w:val="20"/>
          <w:color w:val="auto"/>
        </w:rPr>
      </w:pPr>
      <w:r>
        <w:rPr>
          <w:rFonts w:ascii="Arial" w:cs="Arial" w:eastAsia="Arial" w:hAnsi="Arial"/>
          <w:sz w:val="20"/>
          <w:szCs w:val="20"/>
          <w:color w:val="auto"/>
        </w:rPr>
        <w:t>The Administrator (or the Board) reserves the right to amend, suspend and/or terminate the Plan at any time in its sole discretion; provided, that, notwithstanding the foregoing, the Plan shall not be amended, suspended or terminated during a Change in Control Period or with respect to a Participant who is already entitled to payment under the Plan.</w:t>
      </w:r>
    </w:p>
    <w:p>
      <w:pPr>
        <w:spacing w:after="0" w:line="145" w:lineRule="exact"/>
        <w:rPr>
          <w:sz w:val="20"/>
          <w:szCs w:val="20"/>
          <w:color w:val="auto"/>
        </w:rPr>
      </w:pPr>
    </w:p>
    <w:p>
      <w:pPr>
        <w:ind w:left="380" w:hanging="374"/>
        <w:spacing w:after="0"/>
        <w:tabs>
          <w:tab w:leader="none" w:pos="38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w:t>
      </w:r>
    </w:p>
    <w:p>
      <w:pPr>
        <w:spacing w:after="0" w:line="228" w:lineRule="exact"/>
        <w:rPr>
          <w:sz w:val="20"/>
          <w:szCs w:val="20"/>
          <w:color w:val="auto"/>
        </w:rPr>
      </w:pPr>
    </w:p>
    <w:p>
      <w:pPr>
        <w:jc w:val="both"/>
        <w:ind w:right="500" w:firstLine="636"/>
        <w:spacing w:after="0" w:line="264" w:lineRule="auto"/>
        <w:rPr>
          <w:sz w:val="20"/>
          <w:szCs w:val="20"/>
          <w:color w:val="auto"/>
        </w:rPr>
      </w:pPr>
      <w:r>
        <w:rPr>
          <w:rFonts w:ascii="Arial" w:cs="Arial" w:eastAsia="Arial" w:hAnsi="Arial"/>
          <w:sz w:val="21"/>
          <w:szCs w:val="21"/>
          <w:color w:val="auto"/>
        </w:rPr>
        <w:t>Each Participant shall be solely responsible for his or her own tax liability with respect to participation in the Plan. The Employer may withhold from any amounts payable under the Plan such federal, state and local income, employment, or other applicable taxes as may be required to be withheld.</w:t>
      </w:r>
    </w:p>
    <w:p>
      <w:pPr>
        <w:spacing w:after="0" w:line="164" w:lineRule="exact"/>
        <w:rPr>
          <w:sz w:val="20"/>
          <w:szCs w:val="20"/>
          <w:color w:val="auto"/>
        </w:rPr>
      </w:pPr>
    </w:p>
    <w:p>
      <w:pPr>
        <w:ind w:left="480" w:hanging="474"/>
        <w:spacing w:after="0"/>
        <w:tabs>
          <w:tab w:leader="none" w:pos="480"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w:t>
      </w:r>
    </w:p>
    <w:p>
      <w:pPr>
        <w:spacing w:after="0" w:line="228" w:lineRule="exact"/>
        <w:rPr>
          <w:sz w:val="20"/>
          <w:szCs w:val="20"/>
          <w:color w:val="auto"/>
        </w:rPr>
      </w:pPr>
    </w:p>
    <w:p>
      <w:pPr>
        <w:ind w:right="40" w:firstLine="636"/>
        <w:spacing w:after="0" w:line="257"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Assignment by Participants</w:t>
      </w:r>
      <w:r>
        <w:rPr>
          <w:rFonts w:ascii="Arial" w:cs="Arial" w:eastAsia="Arial" w:hAnsi="Arial"/>
          <w:sz w:val="21"/>
          <w:szCs w:val="21"/>
          <w:color w:val="auto"/>
        </w:rPr>
        <w:t>. None of the amounts payable pursuant to the Plan shall be subject to any claim of any creditor and shall not be subject to attachment or garnishment or other legal process by any creditor. Participants may not alienate, anticipate, commute, pledge, encumber or assign any of the amounts payable pursuant to the Plan. The amounts payable pursuant to the Plan shall inure to the benefit of and be enforceable by each Participant’s personal or legal representatives, executors, administrators, successors, heirs, distributees, devisees, and legatees.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6" w:lineRule="exact"/>
        <w:rPr>
          <w:sz w:val="20"/>
          <w:szCs w:val="20"/>
          <w:color w:val="auto"/>
        </w:rPr>
      </w:pPr>
    </w:p>
    <w:p>
      <w:pPr>
        <w:ind w:right="80" w:firstLine="636"/>
        <w:spacing w:after="0" w:line="256"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Binding Effect</w:t>
      </w:r>
      <w:r>
        <w:rPr>
          <w:rFonts w:ascii="Arial" w:cs="Arial" w:eastAsia="Arial" w:hAnsi="Arial"/>
          <w:sz w:val="21"/>
          <w:szCs w:val="21"/>
          <w:color w:val="auto"/>
        </w:rPr>
        <w:t>. The Employer will require any successor to all or substantially all of the business and/or assets of the Company or applicable Subsidiary to expressly assume and agree to perform all of the obligations of the Company or applicable Subsidiary under the Plan (including the obligation to cause any subsequent successor to also assume the obligations of the Plan) unless such assumption occurs by operation of law. For the avoidance of doubt, in the event that a successor of a Subsidiary assumes the Subsidiary’s obligations under the Plan, the Company will have no obligations under the Plan with respect to the Participants employed by such Subsidiary.</w:t>
      </w:r>
    </w:p>
    <w:p>
      <w:pPr>
        <w:spacing w:after="0" w:line="177" w:lineRule="exact"/>
        <w:rPr>
          <w:sz w:val="20"/>
          <w:szCs w:val="20"/>
          <w:color w:val="auto"/>
        </w:rPr>
      </w:pPr>
    </w:p>
    <w:p>
      <w:pPr>
        <w:ind w:firstLine="636"/>
        <w:spacing w:after="0" w:line="264"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No Waiver</w:t>
      </w:r>
      <w:r>
        <w:rPr>
          <w:rFonts w:ascii="Arial" w:cs="Arial" w:eastAsia="Arial" w:hAnsi="Arial"/>
          <w:sz w:val="21"/>
          <w:szCs w:val="21"/>
          <w:color w:val="auto"/>
        </w:rPr>
        <w:t>. No waiver of any term, provision or condition of the Plan, whether by conduct or otherwise, in any one or more instances shall be deemed or be construed as a further or continuing waiver of any such term, provision or condition or as a waiver of any other term, provision or condition of the Plan.</w:t>
      </w:r>
    </w:p>
    <w:p>
      <w:pPr>
        <w:spacing w:after="0" w:line="170" w:lineRule="exact"/>
        <w:rPr>
          <w:sz w:val="20"/>
          <w:szCs w:val="20"/>
          <w:color w:val="auto"/>
        </w:rPr>
      </w:pPr>
    </w:p>
    <w:p>
      <w:pPr>
        <w:ind w:right="140" w:firstLine="636"/>
        <w:spacing w:after="0" w:line="264"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Expenses; Unsecured General Creditor</w:t>
      </w:r>
      <w:r>
        <w:rPr>
          <w:rFonts w:ascii="Arial" w:cs="Arial" w:eastAsia="Arial" w:hAnsi="Arial"/>
          <w:sz w:val="21"/>
          <w:szCs w:val="21"/>
          <w:color w:val="auto"/>
        </w:rPr>
        <w:t>. The benefits and costs of the Plan shall be paid by the Employer out of its general assets. The status of a claim against the Employer with respect to the benefits provided by the Plan shall be the same as the status of a claim against the Employer by any general or unsecured creditor.</w:t>
      </w:r>
    </w:p>
    <w:p>
      <w:pPr>
        <w:spacing w:after="0" w:line="170" w:lineRule="exact"/>
        <w:rPr>
          <w:sz w:val="20"/>
          <w:szCs w:val="20"/>
          <w:color w:val="auto"/>
        </w:rPr>
      </w:pPr>
    </w:p>
    <w:p>
      <w:pPr>
        <w:jc w:val="both"/>
        <w:ind w:right="20" w:firstLine="636"/>
        <w:spacing w:after="0" w:line="264"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ERISA</w:t>
      </w:r>
      <w:r>
        <w:rPr>
          <w:rFonts w:ascii="Arial" w:cs="Arial" w:eastAsia="Arial" w:hAnsi="Arial"/>
          <w:sz w:val="21"/>
          <w:szCs w:val="21"/>
          <w:color w:val="auto"/>
        </w:rPr>
        <w:t>. The Plan is an unfunded compensation arrangement for a select group of management or highly compensated employees of the Company or a Subsidiary and any exemptions under ERISA applicable to such an arrangement shall be applicable to the Plan.</w:t>
      </w:r>
    </w:p>
    <w:p>
      <w:pPr>
        <w:spacing w:after="0" w:line="170" w:lineRule="exact"/>
        <w:rPr>
          <w:sz w:val="20"/>
          <w:szCs w:val="20"/>
          <w:color w:val="auto"/>
        </w:rPr>
      </w:pPr>
    </w:p>
    <w:p>
      <w:pPr>
        <w:jc w:val="both"/>
        <w:ind w:right="480" w:firstLine="636"/>
        <w:spacing w:after="0" w:line="264"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WARN Act</w:t>
      </w:r>
      <w:r>
        <w:rPr>
          <w:rFonts w:ascii="Arial" w:cs="Arial" w:eastAsia="Arial" w:hAnsi="Arial"/>
          <w:sz w:val="21"/>
          <w:szCs w:val="21"/>
          <w:color w:val="auto"/>
        </w:rPr>
        <w:t>. Benefits payable under the Plan are intended to satisfy, where applicable, any Employer obligations under the Federal Worker Adjustment and Retraining Notification Act and any similar obligations that the Employer may have under any successor or other severance pay statute.</w:t>
      </w:r>
    </w:p>
    <w:p>
      <w:pPr>
        <w:spacing w:after="0" w:line="170" w:lineRule="exact"/>
        <w:rPr>
          <w:sz w:val="20"/>
          <w:szCs w:val="20"/>
          <w:color w:val="auto"/>
        </w:rPr>
      </w:pPr>
    </w:p>
    <w:p>
      <w:pPr>
        <w:ind w:right="140" w:firstLine="636"/>
        <w:spacing w:after="0" w:line="279"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Governing Law</w:t>
      </w:r>
      <w:r>
        <w:rPr>
          <w:rFonts w:ascii="Arial" w:cs="Arial" w:eastAsia="Arial" w:hAnsi="Arial"/>
          <w:sz w:val="21"/>
          <w:szCs w:val="21"/>
          <w:color w:val="auto"/>
        </w:rPr>
        <w:t>. The provisions of the Plan will be construed, administered and enforced in accordance with ERISA and, to the extent applicable, the laws of the State of California without regard to its choice of law provisions.</w:t>
      </w:r>
    </w:p>
    <w:p>
      <w:pPr>
        <w:spacing w:after="0" w:line="154" w:lineRule="exact"/>
        <w:rPr>
          <w:sz w:val="20"/>
          <w:szCs w:val="20"/>
          <w:color w:val="auto"/>
        </w:rPr>
      </w:pPr>
    </w:p>
    <w:p>
      <w:pPr>
        <w:ind w:right="20" w:firstLine="636"/>
        <w:spacing w:after="0" w:line="269"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the Plan is held to be illegal, invalid or unenforceable under any present or future law, and if the rights or obligations of any party hereto under the Plan will not be materially and adversely affected hereby, (i) such provision will be fully severable, (ii) the Plan will be construed and enforced as if such illegal, invalid or unenforceable provision had never comprised a part hereof, (iii) the remaining provisions of the Plan will remain in full force and effect and will not be affected by the illegal, invalid or unenforceable provision or by its severance from here and (iv) in lieu of such illegal, invalid or unenforceable provision, there will be added automatically as a part of the Plan a legal, valid and enforceable provision as similar in terms to such illegal, invalid or unenforceable provision as may be possible.</w:t>
      </w:r>
    </w:p>
    <w:p>
      <w:pPr>
        <w:spacing w:after="0" w:line="183"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1"/>
          <w:szCs w:val="21"/>
          <w:color w:val="auto"/>
        </w:rPr>
        <w:t>10.9</w:t>
      </w:r>
      <w:r>
        <w:rPr>
          <w:sz w:val="20"/>
          <w:szCs w:val="20"/>
          <w:color w:val="auto"/>
        </w:rPr>
        <w:tab/>
      </w:r>
      <w:r>
        <w:rPr>
          <w:rFonts w:ascii="Arial" w:cs="Arial" w:eastAsia="Arial" w:hAnsi="Arial"/>
          <w:sz w:val="20"/>
          <w:szCs w:val="20"/>
          <w:u w:val="single" w:color="auto"/>
          <w:color w:val="auto"/>
        </w:rPr>
        <w:t>Additional Information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Plan Name:</w:t>
      </w:r>
    </w:p>
    <w:p>
      <w:pPr>
        <w:spacing w:after="0" w:line="31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Plan Sponsor: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Identification Numbers: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Plan Year: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Agent for Service of Legal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Type of Plan:</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Plan Costs:</w:t>
      </w:r>
    </w:p>
    <w:p>
      <w:pPr>
        <w:spacing w:after="0" w:line="20" w:lineRule="exact"/>
        <w:rPr>
          <w:sz w:val="20"/>
          <w:szCs w:val="20"/>
          <w:color w:val="auto"/>
        </w:rPr>
      </w:pPr>
      <w:r>
        <w:rPr>
          <w:sz w:val="20"/>
          <w:szCs w:val="20"/>
          <w:color w:val="auto"/>
        </w:rPr>
        <w:br w:type="column"/>
      </w:r>
    </w:p>
    <w:p>
      <w:pPr>
        <w:ind w:right="460"/>
        <w:spacing w:after="0" w:line="276" w:lineRule="auto"/>
        <w:rPr>
          <w:sz w:val="20"/>
          <w:szCs w:val="20"/>
          <w:color w:val="auto"/>
        </w:rPr>
      </w:pPr>
      <w:r>
        <w:rPr>
          <w:rFonts w:ascii="Arial" w:cs="Arial" w:eastAsia="Arial" w:hAnsi="Arial"/>
          <w:sz w:val="21"/>
          <w:szCs w:val="21"/>
          <w:color w:val="auto"/>
        </w:rPr>
        <w:t>Western Digital Corporation Amended and Restated Change in Control Severance Plan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Western Digital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EIN: </w:t>
      </w:r>
      <w:r>
        <w:rPr>
          <w:rFonts w:ascii="Arial" w:cs="Arial" w:eastAsia="Arial" w:hAnsi="Arial"/>
          <w:sz w:val="21"/>
          <w:szCs w:val="21"/>
          <w:color w:val="auto"/>
        </w:rPr>
        <w:t>33-0956711</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002</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January 1 to December 31</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Western Digital Corporation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5601 Great Oaks Parkway</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San Jose, California 95119</w:t>
      </w:r>
    </w:p>
    <w:p>
      <w:pPr>
        <w:spacing w:after="0" w:line="10" w:lineRule="exact"/>
        <w:rPr>
          <w:sz w:val="20"/>
          <w:szCs w:val="20"/>
          <w:color w:val="auto"/>
        </w:rPr>
      </w:pPr>
    </w:p>
    <w:p>
      <w:pPr>
        <w:ind w:right="2440"/>
        <w:spacing w:after="0" w:line="261" w:lineRule="auto"/>
        <w:rPr>
          <w:sz w:val="20"/>
          <w:szCs w:val="20"/>
          <w:color w:val="auto"/>
        </w:rPr>
      </w:pPr>
      <w:r>
        <w:rPr>
          <w:rFonts w:ascii="Arial" w:cs="Arial" w:eastAsia="Arial" w:hAnsi="Arial"/>
          <w:sz w:val="21"/>
          <w:szCs w:val="21"/>
          <w:color w:val="auto"/>
        </w:rPr>
        <w:t>Attention: Compensation and Talent Committee (408) 717-6000</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Western Digital Corporation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251 Little Falls Drive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Wilmington, Delaware 19807</w:t>
      </w:r>
    </w:p>
    <w:p>
      <w:pPr>
        <w:spacing w:after="0" w:line="10" w:lineRule="exact"/>
        <w:rPr>
          <w:sz w:val="20"/>
          <w:szCs w:val="20"/>
          <w:color w:val="auto"/>
        </w:rPr>
      </w:pPr>
    </w:p>
    <w:p>
      <w:pPr>
        <w:ind w:right="2460"/>
        <w:spacing w:after="0" w:line="353" w:lineRule="auto"/>
        <w:rPr>
          <w:sz w:val="20"/>
          <w:szCs w:val="20"/>
          <w:color w:val="auto"/>
        </w:rPr>
      </w:pPr>
      <w:r>
        <w:rPr>
          <w:rFonts w:ascii="Arial" w:cs="Arial" w:eastAsia="Arial" w:hAnsi="Arial"/>
          <w:sz w:val="19"/>
          <w:szCs w:val="19"/>
          <w:color w:val="auto"/>
        </w:rPr>
        <w:t>Attention: Corporation Service Company Severance Plan/Employee Welfare Benefit Plan The cost of the Plan is paid by the Company.</w:t>
      </w:r>
    </w:p>
    <w:p>
      <w:pPr>
        <w:spacing w:after="0" w:line="200" w:lineRule="exact"/>
        <w:rPr>
          <w:sz w:val="20"/>
          <w:szCs w:val="20"/>
          <w:color w:val="auto"/>
        </w:rPr>
      </w:pPr>
    </w:p>
    <w:p>
      <w:pPr>
        <w:sectPr>
          <w:pgSz w:w="11900" w:h="16838" w:orient="portrait"/>
          <w:cols w:equalWidth="0" w:num="2">
            <w:col w:w="3940" w:space="720"/>
            <w:col w:w="6500"/>
          </w:cols>
          <w:pgMar w:left="320" w:top="1440" w:right="419" w:bottom="1440" w:gutter="0" w:footer="0" w:header="0"/>
        </w:sectPr>
      </w:pPr>
    </w:p>
    <w:p>
      <w:pPr>
        <w:spacing w:after="0" w:line="13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1"/>
          <w:szCs w:val="21"/>
          <w:color w:val="auto"/>
        </w:rPr>
        <w:t>10.10</w:t>
      </w:r>
      <w:r>
        <w:rPr>
          <w:sz w:val="20"/>
          <w:szCs w:val="20"/>
          <w:color w:val="auto"/>
        </w:rPr>
        <w:tab/>
      </w:r>
      <w:r>
        <w:rPr>
          <w:rFonts w:ascii="Arial" w:cs="Arial" w:eastAsia="Arial" w:hAnsi="Arial"/>
          <w:sz w:val="19"/>
          <w:szCs w:val="19"/>
          <w:u w:val="single" w:color="auto"/>
          <w:color w:val="auto"/>
        </w:rPr>
        <w:t>Statement of ERISA Rights</w:t>
      </w:r>
      <w:r>
        <w:rPr>
          <w:rFonts w:ascii="Arial" w:cs="Arial" w:eastAsia="Arial" w:hAnsi="Arial"/>
          <w:sz w:val="19"/>
          <w:szCs w:val="19"/>
          <w:color w:val="auto"/>
        </w:rPr>
        <w:t>. As a Participant under the Plan, you have certain rights and protections under ERISA:</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You may examine (without charge) all Plan documents, including any amendments and copies of all documents filed with the U.S.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Department of Labor. These documents are available for your review in the Company’s Human Resources Department.</w:t>
      </w:r>
    </w:p>
    <w:p>
      <w:pPr>
        <w:spacing w:after="0" w:line="178" w:lineRule="exact"/>
        <w:rPr>
          <w:sz w:val="20"/>
          <w:szCs w:val="20"/>
          <w:color w:val="auto"/>
        </w:rPr>
      </w:pPr>
    </w:p>
    <w:p>
      <w:pPr>
        <w:ind w:right="220"/>
        <w:spacing w:after="0" w:line="266" w:lineRule="auto"/>
        <w:rPr>
          <w:sz w:val="20"/>
          <w:szCs w:val="20"/>
          <w:color w:val="auto"/>
        </w:rPr>
      </w:pPr>
      <w:r>
        <w:rPr>
          <w:rFonts w:ascii="Arial" w:cs="Arial" w:eastAsia="Arial" w:hAnsi="Arial"/>
          <w:sz w:val="21"/>
          <w:szCs w:val="21"/>
          <w:color w:val="auto"/>
        </w:rPr>
        <w:t>You may obtain copies of all Plan documents and other Plan information upon written request to the Administrator. A reasonable charge may be made for such copies.</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6 above.</w:t>
      </w:r>
    </w:p>
    <w:p>
      <w:pPr>
        <w:spacing w:after="0" w:line="139" w:lineRule="exact"/>
        <w:rPr>
          <w:sz w:val="20"/>
          <w:szCs w:val="20"/>
          <w:color w:val="auto"/>
        </w:rPr>
      </w:pPr>
    </w:p>
    <w:p>
      <w:pPr>
        <w:ind w:firstLine="636"/>
        <w:spacing w:after="0" w:line="257" w:lineRule="auto"/>
        <w:rPr>
          <w:sz w:val="20"/>
          <w:szCs w:val="20"/>
          <w:color w:val="auto"/>
        </w:rPr>
      </w:pPr>
      <w:r>
        <w:rPr>
          <w:rFonts w:ascii="Arial" w:cs="Arial" w:eastAsia="Arial" w:hAnsi="Arial"/>
          <w:sz w:val="20"/>
          <w:szCs w:val="20"/>
          <w:color w:val="auto"/>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160"/>
          </w:cols>
          <w:pgMar w:left="320" w:top="1440" w:right="419" w:bottom="1440" w:gutter="0" w:footer="0" w:header="0"/>
          <w:type w:val="continuous"/>
        </w:sectPr>
      </w:pPr>
    </w:p>
    <w:bookmarkStart w:id="124" w:name="page125"/>
    <w:bookmarkEnd w:id="124"/>
    <w:p>
      <w:pPr>
        <w:spacing w:after="0" w:line="163" w:lineRule="exact"/>
        <w:rPr>
          <w:sz w:val="20"/>
          <w:szCs w:val="20"/>
          <w:color w:val="auto"/>
        </w:rPr>
      </w:pPr>
    </w:p>
    <w:p>
      <w:pPr>
        <w:ind w:right="100" w:firstLine="636"/>
        <w:spacing w:after="0" w:line="251" w:lineRule="auto"/>
        <w:rPr>
          <w:sz w:val="20"/>
          <w:szCs w:val="20"/>
          <w:color w:val="auto"/>
        </w:rPr>
      </w:pPr>
      <w:r>
        <w:rPr>
          <w:rFonts w:ascii="Arial" w:cs="Arial" w:eastAsia="Arial" w:hAnsi="Arial"/>
          <w:sz w:val="21"/>
          <w:szCs w:val="21"/>
          <w:color w:val="auto"/>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spacing w:after="0" w:line="183" w:lineRule="exact"/>
        <w:rPr>
          <w:sz w:val="20"/>
          <w:szCs w:val="20"/>
          <w:color w:val="auto"/>
        </w:rPr>
      </w:pPr>
    </w:p>
    <w:p>
      <w:pPr>
        <w:ind w:right="260" w:firstLine="636"/>
        <w:spacing w:after="0" w:line="288" w:lineRule="auto"/>
        <w:rPr>
          <w:sz w:val="20"/>
          <w:szCs w:val="20"/>
          <w:color w:val="auto"/>
        </w:rPr>
      </w:pPr>
      <w:r>
        <w:rPr>
          <w:rFonts w:ascii="Arial" w:cs="Arial" w:eastAsia="Arial" w:hAnsi="Arial"/>
          <w:sz w:val="19"/>
          <w:szCs w:val="19"/>
          <w:color w:val="auto"/>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149"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21"/>
          <w:szCs w:val="21"/>
          <w:color w:val="auto"/>
        </w:rPr>
        <w:t>10.11</w:t>
      </w:r>
      <w:r>
        <w:rPr>
          <w:sz w:val="20"/>
          <w:szCs w:val="20"/>
          <w:color w:val="auto"/>
        </w:rPr>
        <w:tab/>
      </w:r>
      <w:r>
        <w:rPr>
          <w:rFonts w:ascii="Arial" w:cs="Arial" w:eastAsia="Arial" w:hAnsi="Arial"/>
          <w:sz w:val="19"/>
          <w:szCs w:val="19"/>
          <w:u w:val="single" w:color="auto"/>
          <w:color w:val="auto"/>
        </w:rPr>
        <w:t>Section 280G</w:t>
      </w:r>
      <w:r>
        <w:rPr>
          <w:rFonts w:ascii="Arial" w:cs="Arial" w:eastAsia="Arial" w:hAnsi="Arial"/>
          <w:sz w:val="19"/>
          <w:szCs w:val="19"/>
          <w:color w:val="auto"/>
        </w:rPr>
        <w:t>.</w:t>
      </w:r>
    </w:p>
    <w:p>
      <w:pPr>
        <w:spacing w:after="0" w:line="222" w:lineRule="exact"/>
        <w:rPr>
          <w:sz w:val="20"/>
          <w:szCs w:val="20"/>
          <w:color w:val="auto"/>
        </w:rPr>
      </w:pPr>
    </w:p>
    <w:p>
      <w:pPr>
        <w:ind w:firstLine="636"/>
        <w:spacing w:after="0" w:line="283" w:lineRule="auto"/>
        <w:rPr>
          <w:sz w:val="20"/>
          <w:szCs w:val="20"/>
          <w:color w:val="auto"/>
        </w:rPr>
      </w:pPr>
      <w:r>
        <w:rPr>
          <w:rFonts w:ascii="Arial" w:cs="Arial" w:eastAsia="Arial" w:hAnsi="Arial"/>
          <w:sz w:val="19"/>
          <w:szCs w:val="19"/>
          <w:color w:val="auto"/>
        </w:rPr>
        <w:t>Notwithstanding anything to the contrary in the Plan, if a Participant is a “disqualified individual” (as defined in Section 280G(c) of the Code), and the Severance Benefits provided for under the Plan, together with any other payments and benefits which the Participant has the right to receive from the Employer, would constitute a “parachute payment” (as defined in Section 280G(b)</w:t>
      </w:r>
    </w:p>
    <w:p>
      <w:pPr>
        <w:ind w:right="40" w:firstLine="6"/>
        <w:spacing w:after="0" w:line="264" w:lineRule="auto"/>
        <w:tabs>
          <w:tab w:leader="none" w:pos="3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of the Code), then the Severance Benefits provided for under the Plan shall be either (a) reduced (but not below zero) so that the present value of such total amounts and benefits received by the Participant from the Employer will be $1.00 less than three times the Participant’s “base amount” (as defined in Section 280G(b)(3) of the Code) and so that no portion of such amounts and benefits received by the Participant shall be subject to the excise tax imposed by Section 4999 of the Code, or (b) paid in full, whichever produces the better net after-tax position to the Participant (taking into account any applicable excise tax under Section 4999 of the Code and any other applicable taxes). The determination as to whether any such reduction in the amount of the payments provided hereunder is necessary shall be made by the Employer in good faith. If a reduced payment is made or provided and through error or otherwise that payment, when aggregated with other payments and benefits from the Employer used in determining if a parachute payment exists, exceeds $1.00 less than three times the Participant’s base amount, then the Participant shall immediately repay such excess to the Employer upon notification that an overpayment has been made. Nothing in the Plan shall require the Employer to be responsible for, or have any liability or obligation with respect to, the Participant’s excise tax liabilities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1440" w:right="3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1"/>
          <w:szCs w:val="21"/>
          <w:b w:val="1"/>
          <w:bCs w:val="1"/>
          <w:u w:val="single" w:color="auto"/>
          <w:color w:val="auto"/>
        </w:rPr>
        <w:t>Appendix A-1</w:t>
      </w: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21"/>
          <w:szCs w:val="21"/>
          <w:color w:val="auto"/>
        </w:rPr>
        <w:t xml:space="preserve">A Participant with a title of Executive Vice President (or its equivalent in the internal records of the Employer) or who is an officer of the Company within the meaning of Section 16 of the Exchange Act shall be a Tier 1 Participant. Such a Participant shall be eligible to receive the Severance Benefits described in this </w:t>
      </w:r>
      <w:r>
        <w:rPr>
          <w:rFonts w:ascii="Arial" w:cs="Arial" w:eastAsia="Arial" w:hAnsi="Arial"/>
          <w:sz w:val="21"/>
          <w:szCs w:val="21"/>
          <w:u w:val="single" w:color="auto"/>
          <w:color w:val="auto"/>
        </w:rPr>
        <w:t>Appendix A-1</w:t>
      </w:r>
      <w:r>
        <w:rPr>
          <w:rFonts w:ascii="Arial" w:cs="Arial" w:eastAsia="Arial" w:hAnsi="Arial"/>
          <w:sz w:val="21"/>
          <w:szCs w:val="21"/>
          <w:color w:val="auto"/>
        </w:rPr>
        <w:t>.</w:t>
      </w:r>
    </w:p>
    <w:p>
      <w:pPr>
        <w:spacing w:after="0" w:line="197"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u w:val="single" w:color="auto"/>
          <w:color w:val="auto"/>
        </w:rPr>
        <w:t>Severance Benefits:</w:t>
      </w:r>
    </w:p>
    <w:p>
      <w:pPr>
        <w:spacing w:after="0" w:line="222" w:lineRule="exact"/>
        <w:rPr>
          <w:sz w:val="20"/>
          <w:szCs w:val="20"/>
          <w:color w:val="auto"/>
        </w:rPr>
      </w:pPr>
    </w:p>
    <w:p>
      <w:pPr>
        <w:ind w:left="1720" w:hanging="442"/>
        <w:spacing w:after="0"/>
        <w:tabs>
          <w:tab w:leader="none" w:pos="1720"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Cash Severance Payment</w:t>
      </w:r>
      <w:r>
        <w:rPr>
          <w:rFonts w:ascii="Arial" w:cs="Arial" w:eastAsia="Arial" w:hAnsi="Arial"/>
          <w:sz w:val="19"/>
          <w:szCs w:val="19"/>
          <w:color w:val="auto"/>
        </w:rPr>
        <w:t>. A Participant shall receive a cash severance payment equal to two times the sum of</w:t>
      </w:r>
    </w:p>
    <w:p>
      <w:pPr>
        <w:spacing w:after="0" w:line="51" w:lineRule="exact"/>
        <w:rPr>
          <w:rFonts w:ascii="Arial" w:cs="Arial" w:eastAsia="Arial" w:hAnsi="Arial"/>
          <w:sz w:val="19"/>
          <w:szCs w:val="19"/>
          <w:color w:val="auto"/>
        </w:rPr>
      </w:pPr>
    </w:p>
    <w:p>
      <w:pPr>
        <w:ind w:left="640" w:right="60" w:firstLine="2"/>
        <w:spacing w:after="0" w:line="253" w:lineRule="auto"/>
        <w:tabs>
          <w:tab w:leader="none" w:pos="893"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the Participant’s Base Pay multiplied by 12 months;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the Participant’s target incentive opportunity under the incentive program in which the Participant participates for the incentive cycle in which the Participant’s date of termination occurs; </w:t>
      </w:r>
      <w:r>
        <w:rPr>
          <w:rFonts w:ascii="Arial" w:cs="Arial" w:eastAsia="Arial" w:hAnsi="Arial"/>
          <w:sz w:val="21"/>
          <w:szCs w:val="21"/>
          <w:i w:val="1"/>
          <w:iCs w:val="1"/>
          <w:color w:val="auto"/>
        </w:rPr>
        <w:t>plus</w:t>
      </w:r>
      <w:r>
        <w:rPr>
          <w:rFonts w:ascii="Arial" w:cs="Arial" w:eastAsia="Arial" w:hAnsi="Arial"/>
          <w:sz w:val="21"/>
          <w:szCs w:val="21"/>
          <w:color w:val="auto"/>
        </w:rPr>
        <w:t xml:space="preserve"> (iii) the Participant’s annual car allowance; provided, that the Base Pay, target incentive opportunity and annual car allowance rates used for purposes of determining such cash severance shall each be based on the rate in effect immediately prior to the Change in Control or date of termination (whichever is higher).</w:t>
      </w:r>
    </w:p>
    <w:p>
      <w:pPr>
        <w:spacing w:after="0" w:line="179" w:lineRule="exact"/>
        <w:rPr>
          <w:rFonts w:ascii="Arial" w:cs="Arial" w:eastAsia="Arial" w:hAnsi="Arial"/>
          <w:sz w:val="21"/>
          <w:szCs w:val="21"/>
          <w:color w:val="auto"/>
        </w:rPr>
      </w:pPr>
    </w:p>
    <w:p>
      <w:pPr>
        <w:ind w:left="640" w:right="160" w:firstLine="638"/>
        <w:spacing w:after="0" w:line="279" w:lineRule="auto"/>
        <w:tabs>
          <w:tab w:leader="none" w:pos="1735"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Earned Yet Unpaid Incentive Payments</w:t>
      </w:r>
      <w:r>
        <w:rPr>
          <w:rFonts w:ascii="Arial" w:cs="Arial" w:eastAsia="Arial" w:hAnsi="Arial"/>
          <w:sz w:val="21"/>
          <w:szCs w:val="21"/>
          <w:color w:val="auto"/>
        </w:rPr>
        <w:t>. A Participant shall receive payment for any incentive that was earned through a prior incentive cycle but has not yet been paid.</w:t>
      </w:r>
    </w:p>
    <w:p>
      <w:pPr>
        <w:spacing w:after="0" w:line="154" w:lineRule="exact"/>
        <w:rPr>
          <w:rFonts w:ascii="Arial" w:cs="Arial" w:eastAsia="Arial" w:hAnsi="Arial"/>
          <w:sz w:val="21"/>
          <w:szCs w:val="21"/>
          <w:color w:val="auto"/>
        </w:rPr>
      </w:pPr>
    </w:p>
    <w:p>
      <w:pPr>
        <w:ind w:left="1720" w:hanging="442"/>
        <w:spacing w:after="0"/>
        <w:tabs>
          <w:tab w:leader="none" w:pos="1720"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Equity awards shall be treated as follows:</w:t>
      </w:r>
    </w:p>
    <w:p>
      <w:pPr>
        <w:spacing w:after="0" w:line="222" w:lineRule="exact"/>
        <w:rPr>
          <w:rFonts w:ascii="Arial" w:cs="Arial" w:eastAsia="Arial" w:hAnsi="Arial"/>
          <w:sz w:val="21"/>
          <w:szCs w:val="21"/>
          <w:color w:val="auto"/>
        </w:rPr>
      </w:pPr>
    </w:p>
    <w:p>
      <w:pPr>
        <w:ind w:left="1280" w:right="580" w:firstLine="634"/>
        <w:spacing w:after="0" w:line="279" w:lineRule="auto"/>
        <w:tabs>
          <w:tab w:leader="none" w:pos="2324" w:val="left"/>
        </w:tabs>
        <w:numPr>
          <w:ilvl w:val="2"/>
          <w:numId w:val="46"/>
        </w:numPr>
        <w:rPr>
          <w:rFonts w:ascii="Arial" w:cs="Arial" w:eastAsia="Arial" w:hAnsi="Arial"/>
          <w:sz w:val="21"/>
          <w:szCs w:val="21"/>
          <w:color w:val="auto"/>
        </w:rPr>
      </w:pPr>
      <w:r>
        <w:rPr>
          <w:rFonts w:ascii="Arial" w:cs="Arial" w:eastAsia="Arial" w:hAnsi="Arial"/>
          <w:sz w:val="21"/>
          <w:szCs w:val="21"/>
          <w:color w:val="auto"/>
        </w:rPr>
        <w:t>The Participant’s equity awards that are only subject to time-based vesting, including any credited dividend equivalent rights, will fully vest and become exercisable or payable, as applicable.</w:t>
      </w:r>
    </w:p>
    <w:p>
      <w:pPr>
        <w:spacing w:after="0" w:line="154" w:lineRule="exact"/>
        <w:rPr>
          <w:rFonts w:ascii="Arial" w:cs="Arial" w:eastAsia="Arial" w:hAnsi="Arial"/>
          <w:sz w:val="21"/>
          <w:szCs w:val="21"/>
          <w:color w:val="auto"/>
        </w:rPr>
      </w:pPr>
    </w:p>
    <w:p>
      <w:pPr>
        <w:ind w:left="1280" w:right="680" w:firstLine="634"/>
        <w:spacing w:after="0" w:line="279" w:lineRule="auto"/>
        <w:tabs>
          <w:tab w:leader="none" w:pos="2383" w:val="left"/>
        </w:tabs>
        <w:numPr>
          <w:ilvl w:val="2"/>
          <w:numId w:val="46"/>
        </w:numPr>
        <w:rPr>
          <w:rFonts w:ascii="Arial" w:cs="Arial" w:eastAsia="Arial" w:hAnsi="Arial"/>
          <w:sz w:val="21"/>
          <w:szCs w:val="21"/>
          <w:color w:val="auto"/>
        </w:rPr>
      </w:pPr>
      <w:r>
        <w:rPr>
          <w:rFonts w:ascii="Arial" w:cs="Arial" w:eastAsia="Arial" w:hAnsi="Arial"/>
          <w:sz w:val="21"/>
          <w:szCs w:val="21"/>
          <w:color w:val="auto"/>
        </w:rPr>
        <w:t>The Participant’s equity awards that are subject to performance-based vesting will fully vest and become payable as follows:</w:t>
      </w:r>
    </w:p>
    <w:p>
      <w:pPr>
        <w:spacing w:after="0" w:line="154" w:lineRule="exact"/>
        <w:rPr>
          <w:sz w:val="20"/>
          <w:szCs w:val="20"/>
          <w:color w:val="auto"/>
        </w:rPr>
      </w:pPr>
    </w:p>
    <w:p>
      <w:pPr>
        <w:ind w:left="1280" w:firstLine="634"/>
        <w:spacing w:after="0" w:line="288" w:lineRule="auto"/>
        <w:tabs>
          <w:tab w:leader="none" w:pos="2418" w:val="left"/>
        </w:tabs>
        <w:numPr>
          <w:ilvl w:val="0"/>
          <w:numId w:val="47"/>
        </w:numPr>
        <w:rPr>
          <w:rFonts w:ascii="Arial" w:cs="Arial" w:eastAsia="Arial" w:hAnsi="Arial"/>
          <w:sz w:val="19"/>
          <w:szCs w:val="19"/>
          <w:color w:val="auto"/>
        </w:rPr>
      </w:pPr>
      <w:r>
        <w:rPr>
          <w:rFonts w:ascii="Arial" w:cs="Arial" w:eastAsia="Arial" w:hAnsi="Arial"/>
          <w:sz w:val="19"/>
          <w:szCs w:val="19"/>
          <w:color w:val="auto"/>
        </w:rPr>
        <w:t>With respect to any such award for which the applicable performance period has not ended as of the date of the Participant’s termination of employment or the Change in Control (whichever occurs later), the number of shares of common stock of the Company that vest shall be equal to the greater of: (x) the target number of shares of common stock of the Company subject to the award; or (y) the number of shares of common stock of the Company subject to that award that would vest based on the treatment set forth in the definitive agreement providing for the Change in Control. Any credited dividend equivalent rights will also become proportionally vested.</w:t>
      </w:r>
    </w:p>
    <w:p>
      <w:pPr>
        <w:spacing w:after="0" w:line="149" w:lineRule="exact"/>
        <w:rPr>
          <w:rFonts w:ascii="Arial" w:cs="Arial" w:eastAsia="Arial" w:hAnsi="Arial"/>
          <w:sz w:val="19"/>
          <w:szCs w:val="19"/>
          <w:color w:val="auto"/>
        </w:rPr>
      </w:pPr>
    </w:p>
    <w:p>
      <w:pPr>
        <w:ind w:left="1280" w:right="20" w:firstLine="634"/>
        <w:spacing w:after="0" w:line="264" w:lineRule="auto"/>
        <w:tabs>
          <w:tab w:leader="none" w:pos="2407" w:val="left"/>
        </w:tabs>
        <w:numPr>
          <w:ilvl w:val="0"/>
          <w:numId w:val="47"/>
        </w:numPr>
        <w:rPr>
          <w:rFonts w:ascii="Arial" w:cs="Arial" w:eastAsia="Arial" w:hAnsi="Arial"/>
          <w:sz w:val="21"/>
          <w:szCs w:val="21"/>
          <w:color w:val="auto"/>
        </w:rPr>
      </w:pPr>
      <w:r>
        <w:rPr>
          <w:rFonts w:ascii="Arial" w:cs="Arial" w:eastAsia="Arial" w:hAnsi="Arial"/>
          <w:sz w:val="21"/>
          <w:szCs w:val="21"/>
          <w:color w:val="auto"/>
        </w:rPr>
        <w:t>With respect to any such award for which the applicable performance period has ended as of the date of the Participant’s termination of employment or the Change in Control (whichever occurs later), vesting shall be based on the actual achievement of the applicable performance goal(s).</w:t>
      </w:r>
    </w:p>
    <w:p>
      <w:pPr>
        <w:sectPr>
          <w:pgSz w:w="11900" w:h="16838" w:orient="portrait"/>
          <w:cols w:equalWidth="0" w:num="1">
            <w:col w:w="11220"/>
          </w:cols>
          <w:pgMar w:left="320" w:top="1397" w:right="359" w:bottom="1440" w:gutter="0" w:footer="0" w:header="0"/>
        </w:sectPr>
      </w:pPr>
    </w:p>
    <w:bookmarkStart w:id="126" w:name="page127"/>
    <w:bookmarkEnd w:id="126"/>
    <w:p>
      <w:pPr>
        <w:spacing w:after="0" w:line="176" w:lineRule="exact"/>
        <w:rPr>
          <w:sz w:val="20"/>
          <w:szCs w:val="20"/>
          <w:color w:val="auto"/>
        </w:rPr>
      </w:pPr>
    </w:p>
    <w:p>
      <w:pPr>
        <w:jc w:val="both"/>
        <w:ind w:left="1280" w:right="120" w:firstLine="634"/>
        <w:spacing w:after="0" w:line="259" w:lineRule="auto"/>
        <w:tabs>
          <w:tab w:leader="none" w:pos="2407" w:val="left"/>
        </w:tabs>
        <w:numPr>
          <w:ilvl w:val="0"/>
          <w:numId w:val="48"/>
        </w:numPr>
        <w:rPr>
          <w:rFonts w:ascii="Arial" w:cs="Arial" w:eastAsia="Arial" w:hAnsi="Arial"/>
          <w:sz w:val="21"/>
          <w:szCs w:val="21"/>
          <w:color w:val="auto"/>
        </w:rPr>
      </w:pPr>
      <w:r>
        <w:rPr>
          <w:rFonts w:ascii="Arial" w:cs="Arial" w:eastAsia="Arial" w:hAnsi="Arial"/>
          <w:sz w:val="21"/>
          <w:szCs w:val="21"/>
          <w:color w:val="auto"/>
        </w:rPr>
        <w:t>With respect to any such award granted on or following the Effective Date, the award shall be payable upon termination. With respect to any such award granted prior to the Effective Date, the award shall be payable in accordance with the original schedule set forth in the applicable award agreement, with no acceleration of the payment date.</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21"/>
          <w:szCs w:val="21"/>
          <w:color w:val="auto"/>
        </w:rPr>
        <w:t>The post-termination settlement and exercisability, as applicable, of such equity awards, as well any payments made in connection with such equity awards, shall be governed by the applicable stock incentive plan, as amended from time to time, and/or award agreement. In the event of a conflict regarding equity award treatment between an applicable award agreement and the Plan, the award agreement controls.</w:t>
      </w:r>
    </w:p>
    <w:p>
      <w:pPr>
        <w:spacing w:after="0" w:line="177" w:lineRule="exact"/>
        <w:rPr>
          <w:sz w:val="20"/>
          <w:szCs w:val="20"/>
          <w:color w:val="auto"/>
        </w:rPr>
      </w:pPr>
    </w:p>
    <w:p>
      <w:pPr>
        <w:ind w:left="640" w:firstLine="638"/>
        <w:spacing w:after="0" w:line="284" w:lineRule="auto"/>
        <w:tabs>
          <w:tab w:leader="none" w:pos="173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COBRA Premium Payment</w:t>
      </w:r>
      <w:r>
        <w:rPr>
          <w:rFonts w:ascii="Arial" w:cs="Arial" w:eastAsia="Arial" w:hAnsi="Arial"/>
          <w:sz w:val="19"/>
          <w:szCs w:val="19"/>
          <w:color w:val="auto"/>
        </w:rPr>
        <w:t>. With respect to a Participant who is a U.S. Eligible Employee as of the date of such Participant’s termination of employment, the Employer shall pay to the Participant a cash payment in an amount equal to the applicable COBRA premium payments (as reasonably determined by the Administrator) that would be payable by the Participant to continue the Participant’s company-provided medical, dental, and/or vision coverage existing as of the Participant’s termination date for a period of 24 months following such Participant’s termination of employment. 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p>
      <w:pPr>
        <w:spacing w:after="0" w:line="184" w:lineRule="exact"/>
        <w:rPr>
          <w:sz w:val="20"/>
          <w:szCs w:val="20"/>
          <w:color w:val="auto"/>
        </w:rPr>
      </w:pPr>
    </w:p>
    <w:p>
      <w:pPr>
        <w:jc w:val="both"/>
        <w:ind w:right="120"/>
        <w:spacing w:after="0" w:line="254"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Payment Timing</w:t>
      </w:r>
      <w:r>
        <w:rPr>
          <w:rFonts w:ascii="Arial" w:cs="Arial" w:eastAsia="Arial" w:hAnsi="Arial"/>
          <w:sz w:val="20"/>
          <w:szCs w:val="20"/>
          <w:color w:val="auto"/>
        </w:rPr>
        <w:t>. Subject to Section 4.4 of the Plan, the payments set forth in Section 1.1 (a), (b) and (d) shall be paid to the Participant in a single lump sum cash payment, subject to applicable tax withholding, no later than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on which the Release becomes effective; provided, that if the period during which the payment of such Severance Benefits can be initiated commences in one taxable year and ends in a second taxable year, such payment shall be made in the second taxable year to the extent required to avoid any tax, interest or penalties under Code Section 409A.</w:t>
      </w:r>
    </w:p>
    <w:p>
      <w:pPr>
        <w:spacing w:after="0" w:line="207"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Participants who are Not U.S. Eligible Employee</w:t>
      </w:r>
      <w:r>
        <w:rPr>
          <w:rFonts w:ascii="Arial" w:cs="Arial" w:eastAsia="Arial" w:hAnsi="Arial"/>
          <w:sz w:val="21"/>
          <w:szCs w:val="21"/>
          <w:color w:val="auto"/>
        </w:rPr>
        <w:t>. The Administrator delegates to the Company’s Chief Human Resources Officer (or equivalent role or any other person the Administrator deems appropriate) the duties of the Administrator set forth in Section 1.3(a) and Section 1.3(b). If a Participant who is not a U.S. Eligible Employee is eligible to receive payments or benefits upon a termination of employment under any applicable local law or Employer policy (“</w:t>
      </w:r>
      <w:r>
        <w:rPr>
          <w:rFonts w:ascii="Arial" w:cs="Arial" w:eastAsia="Arial" w:hAnsi="Arial"/>
          <w:sz w:val="21"/>
          <w:szCs w:val="21"/>
          <w:u w:val="single" w:color="auto"/>
          <w:color w:val="auto"/>
        </w:rPr>
        <w:t>Local Severance</w:t>
      </w:r>
      <w:r>
        <w:rPr>
          <w:rFonts w:ascii="Arial" w:cs="Arial" w:eastAsia="Arial" w:hAnsi="Arial"/>
          <w:sz w:val="21"/>
          <w:szCs w:val="21"/>
          <w:color w:val="auto"/>
        </w:rPr>
        <w:t>”), then the payments and benefits described in this appendix shall be modified as follows:</w:t>
      </w:r>
    </w:p>
    <w:p>
      <w:pPr>
        <w:spacing w:after="0" w:line="204" w:lineRule="exact"/>
        <w:rPr>
          <w:sz w:val="20"/>
          <w:szCs w:val="20"/>
          <w:color w:val="auto"/>
        </w:rPr>
      </w:pPr>
    </w:p>
    <w:p>
      <w:pPr>
        <w:jc w:val="both"/>
        <w:ind w:left="640" w:right="340" w:firstLine="638"/>
        <w:spacing w:after="0" w:line="305" w:lineRule="auto"/>
        <w:tabs>
          <w:tab w:leader="none" w:pos="172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Benefit Comparison</w:t>
      </w:r>
      <w:r>
        <w:rPr>
          <w:rFonts w:ascii="Arial" w:cs="Arial" w:eastAsia="Arial" w:hAnsi="Arial"/>
          <w:sz w:val="19"/>
          <w:szCs w:val="19"/>
          <w:color w:val="auto"/>
        </w:rPr>
        <w:t>. The Administrator shall compare the payments and benefits payable to the Participant under the Local Severance (excluding the value of any equity awards that accelerate in connection with the Participant’s termination of employment) (the “</w:t>
      </w:r>
      <w:r>
        <w:rPr>
          <w:rFonts w:ascii="Arial" w:cs="Arial" w:eastAsia="Arial" w:hAnsi="Arial"/>
          <w:sz w:val="19"/>
          <w:szCs w:val="19"/>
          <w:u w:val="single" w:color="auto"/>
          <w:color w:val="auto"/>
        </w:rPr>
        <w:t>Local Severance Benefits</w:t>
      </w:r>
      <w:r>
        <w:rPr>
          <w:rFonts w:ascii="Arial" w:cs="Arial" w:eastAsia="Arial" w:hAnsi="Arial"/>
          <w:sz w:val="19"/>
          <w:szCs w:val="19"/>
          <w:color w:val="auto"/>
        </w:rPr>
        <w:t>”) with the payments and benefits set forth</w:t>
      </w:r>
    </w:p>
    <w:p>
      <w:pPr>
        <w:sectPr>
          <w:pgSz w:w="11900" w:h="16838" w:orient="portrait"/>
          <w:cols w:equalWidth="0" w:num="1">
            <w:col w:w="11180"/>
          </w:cols>
          <w:pgMar w:left="320" w:top="1440" w:right="399" w:bottom="1440" w:gutter="0" w:footer="0" w:header="0"/>
        </w:sectPr>
      </w:pPr>
    </w:p>
    <w:bookmarkStart w:id="127" w:name="page128"/>
    <w:bookmarkEnd w:id="127"/>
    <w:p>
      <w:pPr>
        <w:ind w:right="420"/>
        <w:spacing w:after="0" w:line="279" w:lineRule="auto"/>
        <w:rPr>
          <w:sz w:val="20"/>
          <w:szCs w:val="20"/>
          <w:color w:val="auto"/>
        </w:rPr>
      </w:pPr>
      <w:r>
        <w:rPr>
          <w:rFonts w:ascii="Arial" w:cs="Arial" w:eastAsia="Arial" w:hAnsi="Arial"/>
          <w:sz w:val="21"/>
          <w:szCs w:val="21"/>
          <w:color w:val="auto"/>
        </w:rPr>
        <w:t>in Section 1.1 of this appendix applicable to the Participant (the “</w:t>
      </w:r>
      <w:r>
        <w:rPr>
          <w:rFonts w:ascii="Arial" w:cs="Arial" w:eastAsia="Arial" w:hAnsi="Arial"/>
          <w:sz w:val="21"/>
          <w:szCs w:val="21"/>
          <w:u w:val="single" w:color="auto"/>
          <w:color w:val="auto"/>
        </w:rPr>
        <w:t>Plan Severance Benefits</w:t>
      </w:r>
      <w:r>
        <w:rPr>
          <w:rFonts w:ascii="Arial" w:cs="Arial" w:eastAsia="Arial" w:hAnsi="Arial"/>
          <w:sz w:val="21"/>
          <w:szCs w:val="21"/>
          <w:color w:val="auto"/>
        </w:rPr>
        <w:t>”). The Administrator has sole discretion to determine the calculation of the Local Severance Benefits.</w:t>
      </w:r>
    </w:p>
    <w:p>
      <w:pPr>
        <w:spacing w:after="0" w:line="181" w:lineRule="exact"/>
        <w:rPr>
          <w:sz w:val="20"/>
          <w:szCs w:val="20"/>
          <w:color w:val="auto"/>
        </w:rPr>
      </w:pPr>
    </w:p>
    <w:p>
      <w:pPr>
        <w:ind w:right="280" w:firstLine="638"/>
        <w:spacing w:after="0" w:line="286" w:lineRule="auto"/>
        <w:tabs>
          <w:tab w:leader="none" w:pos="109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Benefit Calculation</w:t>
      </w:r>
      <w:r>
        <w:rPr>
          <w:rFonts w:ascii="Arial" w:cs="Arial" w:eastAsia="Arial" w:hAnsi="Arial"/>
          <w:sz w:val="19"/>
          <w:szCs w:val="19"/>
          <w:color w:val="auto"/>
        </w:rPr>
        <w:t>. In the event the value of the Local Severance Benefits equals or exceeds the Plan Severance Benefits, as determined by the Administrator in its sole discretion, then the Participant shall not be eligible to receive any portion of the Plan Severance Benefits. In the event the value of the Local Severance Benefits is less than the value of the Plan Severance Benefits, as determined by the Administrator in its sole discretion, then the Participant shall receive the Plan Severance Benefits (excluding the benefits set forth in 1.1(d) (COBRA premium payments) in this Appendix) in place of any Local Severance Benefits. In the event a Participant is eligible to receive a cash payment under this Section 1.3(b), then references in the Plan to “Severance Benefits” shall be deemed to refer to such cash payment.</w:t>
      </w:r>
    </w:p>
    <w:p>
      <w:pPr>
        <w:spacing w:after="0" w:line="178" w:lineRule="exact"/>
        <w:rPr>
          <w:rFonts w:ascii="Arial" w:cs="Arial" w:eastAsia="Arial" w:hAnsi="Arial"/>
          <w:sz w:val="19"/>
          <w:szCs w:val="19"/>
          <w:color w:val="auto"/>
        </w:rPr>
      </w:pPr>
    </w:p>
    <w:p>
      <w:pPr>
        <w:ind w:firstLine="638"/>
        <w:spacing w:after="0" w:line="242" w:lineRule="auto"/>
        <w:tabs>
          <w:tab w:leader="none" w:pos="1083"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Payment Timing</w:t>
      </w:r>
      <w:r>
        <w:rPr>
          <w:rFonts w:ascii="Arial" w:cs="Arial" w:eastAsia="Arial" w:hAnsi="Arial"/>
          <w:sz w:val="21"/>
          <w:szCs w:val="21"/>
          <w:color w:val="auto"/>
        </w:rPr>
        <w:t>. In the event a Participant is eligible to receive a cash payment under the immediately preceding Section 1.3(b), then such payment shall be paid to the Participant in a single lump sum cash payment no later than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date on which the Release becomes effective, subject to applicable tax withholding, local timing rules and subject to Section 4.4; provided, that if the period during which such payment can be made begins in one taxable year and ends in a second taxable year, such payment shall be made in the second taxable year to the extent required to avoid any tax, interest or penalties under Code Section 409A.</w:t>
      </w:r>
    </w:p>
    <w:p>
      <w:pPr>
        <w:spacing w:after="0" w:line="218" w:lineRule="exact"/>
        <w:rPr>
          <w:rFonts w:ascii="Arial" w:cs="Arial" w:eastAsia="Arial" w:hAnsi="Arial"/>
          <w:sz w:val="21"/>
          <w:szCs w:val="21"/>
          <w:color w:val="auto"/>
        </w:rPr>
      </w:pPr>
    </w:p>
    <w:p>
      <w:pPr>
        <w:ind w:right="180" w:firstLine="638"/>
        <w:spacing w:after="0" w:line="259" w:lineRule="auto"/>
        <w:tabs>
          <w:tab w:leader="none" w:pos="109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Retirement-Eligible Vesting</w:t>
      </w:r>
      <w:r>
        <w:rPr>
          <w:rFonts w:ascii="Arial" w:cs="Arial" w:eastAsia="Arial" w:hAnsi="Arial"/>
          <w:sz w:val="21"/>
          <w:szCs w:val="21"/>
          <w:color w:val="auto"/>
        </w:rPr>
        <w:t>. Notwithstanding any provision of this Section 1.3 to the contrary, non-U.S. Eligible Employees who: (a) are retirement-eligible; and (b) receive Local Severance Benefits shall also receive retirement vesting on their applicable equity awards pursuant to the applicable stock incentive plans and/or award agreements governing such equity awards.</w:t>
      </w:r>
    </w:p>
    <w:p>
      <w:pPr>
        <w:sectPr>
          <w:pgSz w:w="11900" w:h="16838" w:orient="portrait"/>
          <w:cols w:equalWidth="0" w:num="1">
            <w:col w:w="10600"/>
          </w:cols>
          <w:pgMar w:left="960" w:top="1403" w:right="339" w:bottom="1440" w:gutter="0" w:footer="0" w:header="0"/>
        </w:sectPr>
      </w:pPr>
    </w:p>
    <w:bookmarkStart w:id="128" w:name="page129"/>
    <w:bookmarkEnd w:id="128"/>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Appendix A-2</w:t>
      </w:r>
    </w:p>
    <w:p>
      <w:pPr>
        <w:spacing w:after="0" w:line="255"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A Participant with a title of Senior Vice President (or its equivalent in the internal records of the Employer) shall be a Tier 2 Participant, and a Participant with a title of Vice President (or its equivalent in the internal records of the Employer) shall be a Tier 3 Participant.</w:t>
      </w:r>
    </w:p>
    <w:p>
      <w:pPr>
        <w:spacing w:after="0" w:line="197" w:lineRule="exact"/>
        <w:rPr>
          <w:sz w:val="20"/>
          <w:szCs w:val="20"/>
          <w:color w:val="auto"/>
        </w:rPr>
      </w:pPr>
    </w:p>
    <w:p>
      <w:pPr>
        <w:ind w:right="500"/>
        <w:spacing w:after="0" w:line="279" w:lineRule="auto"/>
        <w:rPr>
          <w:sz w:val="20"/>
          <w:szCs w:val="20"/>
          <w:color w:val="auto"/>
        </w:rPr>
      </w:pPr>
      <w:r>
        <w:rPr>
          <w:rFonts w:ascii="Arial" w:cs="Arial" w:eastAsia="Arial" w:hAnsi="Arial"/>
          <w:sz w:val="21"/>
          <w:szCs w:val="21"/>
          <w:color w:val="auto"/>
        </w:rPr>
        <w:t xml:space="preserve">Such Participants are subject to all the terms, and are eligible to receive all the Severance Benefits, described in </w:t>
      </w:r>
      <w:r>
        <w:rPr>
          <w:rFonts w:ascii="Arial" w:cs="Arial" w:eastAsia="Arial" w:hAnsi="Arial"/>
          <w:sz w:val="21"/>
          <w:szCs w:val="21"/>
          <w:u w:val="single" w:color="auto"/>
          <w:color w:val="auto"/>
        </w:rPr>
        <w:t>Appendix A-1</w:t>
      </w:r>
      <w:r>
        <w:rPr>
          <w:rFonts w:ascii="Arial" w:cs="Arial" w:eastAsia="Arial" w:hAnsi="Arial"/>
          <w:sz w:val="21"/>
          <w:szCs w:val="21"/>
          <w:color w:val="auto"/>
        </w:rPr>
        <w:t xml:space="preserve"> above, subject to the changes set forth below.</w:t>
      </w:r>
    </w:p>
    <w:p>
      <w:pPr>
        <w:sectPr>
          <w:pgSz w:w="11900" w:h="16838" w:orient="portrait"/>
          <w:cols w:equalWidth="0" w:num="1">
            <w:col w:w="11240"/>
          </w:cols>
          <w:pgMar w:left="320" w:top="1440" w:right="339"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252"/>
        </w:trPr>
        <w:tc>
          <w:tcPr>
            <w:tcW w:w="80" w:type="dxa"/>
            <w:vAlign w:val="bottom"/>
            <w:tcBorders>
              <w:top w:val="single" w:sz="8" w:color="auto"/>
              <w:left w:val="single" w:sz="8" w:color="auto"/>
            </w:tcBorders>
          </w:tcPr>
          <w:p>
            <w:pPr>
              <w:spacing w:after="0"/>
              <w:rPr>
                <w:sz w:val="21"/>
                <w:szCs w:val="21"/>
                <w:color w:val="auto"/>
              </w:rPr>
            </w:pPr>
          </w:p>
        </w:tc>
        <w:tc>
          <w:tcPr>
            <w:tcW w:w="24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1"/>
                <w:szCs w:val="21"/>
                <w:color w:val="auto"/>
              </w:rPr>
              <w:t>Provision</w:t>
            </w:r>
          </w:p>
        </w:tc>
        <w:tc>
          <w:tcPr>
            <w:tcW w:w="60" w:type="dxa"/>
            <w:vAlign w:val="bottom"/>
            <w:tcBorders>
              <w:top w:val="single" w:sz="8" w:color="auto"/>
            </w:tcBorders>
          </w:tcPr>
          <w:p>
            <w:pPr>
              <w:spacing w:after="0"/>
              <w:rPr>
                <w:sz w:val="21"/>
                <w:szCs w:val="21"/>
                <w:color w:val="auto"/>
              </w:rPr>
            </w:pPr>
          </w:p>
        </w:tc>
        <w:tc>
          <w:tcPr>
            <w:tcW w:w="43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1"/>
                <w:szCs w:val="21"/>
                <w:color w:val="auto"/>
              </w:rPr>
              <w:t>Tier 2 Participants</w:t>
            </w:r>
          </w:p>
        </w:tc>
        <w:tc>
          <w:tcPr>
            <w:tcW w:w="43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21"/>
                <w:szCs w:val="21"/>
                <w:color w:val="auto"/>
              </w:rPr>
              <w:t>Tier 3 Participants</w:t>
            </w:r>
          </w:p>
        </w:tc>
      </w:tr>
      <w:tr>
        <w:trPr>
          <w:trHeight w:val="46"/>
        </w:trPr>
        <w:tc>
          <w:tcPr>
            <w:tcW w:w="80" w:type="dxa"/>
            <w:vAlign w:val="bottom"/>
            <w:tcBorders>
              <w:left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60" w:type="dxa"/>
            <w:vAlign w:val="bottom"/>
            <w:tcBorders>
              <w:top w:val="single" w:sz="8" w:color="auto"/>
              <w:bottom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60" w:type="dxa"/>
            <w:vAlign w:val="bottom"/>
            <w:tcBorders>
              <w:top w:val="single" w:sz="8" w:color="auto"/>
              <w:bottom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Section 1.1(a) Cash Severance</w:t>
            </w: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A Participant shall receive a cash severance payment equal</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89"/>
              </w:rPr>
              <w:t>A Participant shall receive a cash severance payment equal</w:t>
            </w:r>
          </w:p>
        </w:tc>
      </w:tr>
      <w:tr>
        <w:trPr>
          <w:trHeight w:val="212"/>
        </w:trPr>
        <w:tc>
          <w:tcPr>
            <w:tcW w:w="8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Payment</w:t>
            </w: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to 1.5 times the sum of (i) the Participant’s Base Pay</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to one times the sum of (i) the Participant’s Base Pay</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 xml:space="preserve">multiplied by 12 months; </w:t>
            </w:r>
            <w:r>
              <w:rPr>
                <w:rFonts w:ascii="Arial" w:cs="Arial" w:eastAsia="Arial" w:hAnsi="Arial"/>
                <w:sz w:val="18"/>
                <w:szCs w:val="18"/>
                <w:i w:val="1"/>
                <w:iCs w:val="1"/>
                <w:color w:val="auto"/>
                <w:w w:val="97"/>
              </w:rPr>
              <w:t>plus</w:t>
            </w:r>
            <w:r>
              <w:rPr>
                <w:rFonts w:ascii="Arial" w:cs="Arial" w:eastAsia="Arial" w:hAnsi="Arial"/>
                <w:sz w:val="18"/>
                <w:szCs w:val="18"/>
                <w:color w:val="auto"/>
                <w:w w:val="97"/>
              </w:rPr>
              <w:t xml:space="preserve"> (ii) the Participant’s target</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 xml:space="preserve">multiplied by 12 months; </w:t>
            </w:r>
            <w:r>
              <w:rPr>
                <w:rFonts w:ascii="Arial" w:cs="Arial" w:eastAsia="Arial" w:hAnsi="Arial"/>
                <w:sz w:val="18"/>
                <w:szCs w:val="18"/>
                <w:i w:val="1"/>
                <w:iCs w:val="1"/>
                <w:color w:val="auto"/>
                <w:w w:val="96"/>
              </w:rPr>
              <w:t>plus</w:t>
            </w:r>
            <w:r>
              <w:rPr>
                <w:rFonts w:ascii="Arial" w:cs="Arial" w:eastAsia="Arial" w:hAnsi="Arial"/>
                <w:sz w:val="18"/>
                <w:szCs w:val="18"/>
                <w:color w:val="auto"/>
                <w:w w:val="96"/>
              </w:rPr>
              <w:t xml:space="preserve"> (ii) the Participant’s target</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incentive opportunity under the incentive program in which</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incentive opportunity under the incentive program in which</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the Participant participates for the incentive cycle in which</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the Participant participates for the incentive cycle in which</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 xml:space="preserve">the Participant’s date of termination occurs; </w:t>
            </w:r>
            <w:r>
              <w:rPr>
                <w:rFonts w:ascii="Arial" w:cs="Arial" w:eastAsia="Arial" w:hAnsi="Arial"/>
                <w:sz w:val="18"/>
                <w:szCs w:val="18"/>
                <w:i w:val="1"/>
                <w:iCs w:val="1"/>
                <w:color w:val="auto"/>
                <w:w w:val="97"/>
              </w:rPr>
              <w:t>plus</w:t>
            </w:r>
            <w:r>
              <w:rPr>
                <w:rFonts w:ascii="Arial" w:cs="Arial" w:eastAsia="Arial" w:hAnsi="Arial"/>
                <w:sz w:val="18"/>
                <w:szCs w:val="18"/>
                <w:color w:val="auto"/>
                <w:w w:val="97"/>
              </w:rPr>
              <w:t xml:space="preserve"> (iii) the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 xml:space="preserve">the Participant’s date of termination occurs; </w:t>
            </w:r>
            <w:r>
              <w:rPr>
                <w:rFonts w:ascii="Arial" w:cs="Arial" w:eastAsia="Arial" w:hAnsi="Arial"/>
                <w:sz w:val="18"/>
                <w:szCs w:val="18"/>
                <w:i w:val="1"/>
                <w:iCs w:val="1"/>
                <w:color w:val="auto"/>
                <w:w w:val="96"/>
              </w:rPr>
              <w:t>plus</w:t>
            </w:r>
            <w:r>
              <w:rPr>
                <w:rFonts w:ascii="Arial" w:cs="Arial" w:eastAsia="Arial" w:hAnsi="Arial"/>
                <w:sz w:val="18"/>
                <w:szCs w:val="18"/>
                <w:color w:val="auto"/>
                <w:w w:val="96"/>
              </w:rPr>
              <w:t xml:space="preserve"> (iii) the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Participant’s annual car allowance; provided, that the Base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Participant’s annual car allowance; provided, that the Base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Pay, target incentive opportunity and annual car allowance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Pay, target incentive opportunity and annual car allowance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89"/>
              </w:rPr>
              <w:t>rates used for purposes of determining such cash severance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88"/>
              </w:rPr>
              <w:t>rates used for purposes of determining such cash severance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89"/>
              </w:rPr>
              <w:t>shall each be based on the rate in effect immediately prior to</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shall each be based on the rate in effect immediately prior</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the Change in Control or date of termination (whichever is</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to the Change in Control or date of termination (whichever</w:t>
            </w:r>
          </w:p>
        </w:tc>
      </w:tr>
      <w:tr>
        <w:trPr>
          <w:trHeight w:val="223"/>
        </w:trPr>
        <w:tc>
          <w:tcPr>
            <w:tcW w:w="8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higher)</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is higher)</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2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Section 1.1(d) COBRA Premium</w:t>
            </w: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With respect to a Participant who is a U.S. Eligible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With respect to a Participant who is a U.S. Eligible</w:t>
            </w:r>
          </w:p>
        </w:tc>
      </w:tr>
      <w:tr>
        <w:trPr>
          <w:trHeight w:val="212"/>
        </w:trPr>
        <w:tc>
          <w:tcPr>
            <w:tcW w:w="8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Payment</w:t>
            </w: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Employee as of the date of such Participant’s termination of</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Employee as of the date of such Participant’s termination</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employment, the Employer shall pay to the Participant a</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of employment, the Employer shall pay to the Participant a</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cash payment in an amount equal to the applicable COBRA</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cash payment in an amount equal to the applicable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premium payments (as reasonably determined by the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COBRA premium payments (as reasonably determined by</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Administrator) that would be payable by the Participant to</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the Administrator) that would be payable by the Participant</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continue the Participant’s company-provided medical,</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to continue the Participant’s company-provided medical,</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dental, and/or vision coverage existing as of the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dental, and/or vision coverage existing as of the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Participant’s termination date for a period of 18 months</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Participant’s termination date for a period of 12 months</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following such Participant’s termination of employment.</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following such Participant’s termination of employment.</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For purposes of clarity, such cash payment shall be made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For purposes of clarity, such cash payment shall be made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regardless of whether the Participant actually elects</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regardless of whether the Participant actually elects</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coverage under COBRA, and shall be determined as of the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coverage under COBRA, and shall be determined as of the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Participant’s termination of employment and not impacted</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Participant’s termination of employment and not impacted</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by, or adjusted for, events occurring after such date</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by, or adjusted for, events occurring after such date</w:t>
            </w:r>
          </w:p>
        </w:tc>
      </w:tr>
      <w:tr>
        <w:trPr>
          <w:trHeight w:val="212"/>
        </w:trPr>
        <w:tc>
          <w:tcPr>
            <w:tcW w:w="8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(including, without limitation, changes in coverage or</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(including, without limitation, changes in coverage or</w:t>
            </w:r>
          </w:p>
        </w:tc>
      </w:tr>
      <w:tr>
        <w:trPr>
          <w:trHeight w:val="223"/>
        </w:trPr>
        <w:tc>
          <w:tcPr>
            <w:tcW w:w="8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premiums).</w:t>
            </w:r>
          </w:p>
        </w:tc>
        <w:tc>
          <w:tcPr>
            <w:tcW w:w="43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premiums).</w:t>
            </w: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8"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10.7</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EXECUTIVE SEVERANCE PLAN</w:t>
      </w:r>
    </w:p>
    <w:p>
      <w:pPr>
        <w:spacing w:after="0" w:line="200"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TERM</w:t>
      </w:r>
    </w:p>
    <w:p>
      <w:pPr>
        <w:spacing w:after="0" w:line="223" w:lineRule="exact"/>
        <w:rPr>
          <w:sz w:val="20"/>
          <w:szCs w:val="20"/>
          <w:color w:val="auto"/>
        </w:rPr>
      </w:pPr>
    </w:p>
    <w:p>
      <w:pPr>
        <w:ind w:firstLine="636"/>
        <w:spacing w:after="0" w:line="318" w:lineRule="auto"/>
        <w:rPr>
          <w:sz w:val="20"/>
          <w:szCs w:val="20"/>
          <w:color w:val="auto"/>
        </w:rPr>
      </w:pPr>
      <w:r>
        <w:rPr>
          <w:rFonts w:ascii="Arial" w:cs="Arial" w:eastAsia="Arial" w:hAnsi="Arial"/>
          <w:sz w:val="15"/>
          <w:szCs w:val="15"/>
          <w:color w:val="auto"/>
        </w:rPr>
        <w:t>Effective as of May 24, 2021 (the “</w:t>
      </w:r>
      <w:r>
        <w:rPr>
          <w:rFonts w:ascii="Arial" w:cs="Arial" w:eastAsia="Arial" w:hAnsi="Arial"/>
          <w:sz w:val="15"/>
          <w:szCs w:val="15"/>
          <w:u w:val="single" w:color="auto"/>
          <w:color w:val="auto"/>
        </w:rPr>
        <w:t>Effective Date</w:t>
      </w:r>
      <w:r>
        <w:rPr>
          <w:rFonts w:ascii="Arial" w:cs="Arial" w:eastAsia="Arial" w:hAnsi="Arial"/>
          <w:sz w:val="15"/>
          <w:szCs w:val="15"/>
          <w:color w:val="auto"/>
        </w:rPr>
        <w:t>”), Western Digital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adopted this Western Digital Corporation Amended and Restated Executive Severance Plan (the “</w:t>
      </w:r>
      <w:r>
        <w:rPr>
          <w:rFonts w:ascii="Arial" w:cs="Arial" w:eastAsia="Arial" w:hAnsi="Arial"/>
          <w:sz w:val="15"/>
          <w:szCs w:val="15"/>
          <w:u w:val="single" w:color="auto"/>
          <w:color w:val="auto"/>
        </w:rPr>
        <w:t>Plan</w:t>
      </w:r>
      <w:r>
        <w:rPr>
          <w:rFonts w:ascii="Arial" w:cs="Arial" w:eastAsia="Arial" w:hAnsi="Arial"/>
          <w:sz w:val="15"/>
          <w:szCs w:val="15"/>
          <w:color w:val="auto"/>
        </w:rPr>
        <w:t>”), which supersedes all prior plans. The Company established the Plan to provide severance benefits to Participants (as defined below) whose employment with the Employer (as defined below) terminates under certain circumstances as described more fully in the Plan. The Plan shall remain in effect until modified or terminated pursuant to Section 8.</w:t>
      </w:r>
    </w:p>
    <w:p>
      <w:pPr>
        <w:spacing w:after="0" w:line="140" w:lineRule="exact"/>
        <w:rPr>
          <w:sz w:val="20"/>
          <w:szCs w:val="20"/>
          <w:color w:val="auto"/>
        </w:rPr>
      </w:pPr>
    </w:p>
    <w:p>
      <w:pPr>
        <w:ind w:left="320" w:hanging="314"/>
        <w:spacing w:after="0"/>
        <w:tabs>
          <w:tab w:leader="none" w:pos="3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 or any delegate of such committee acting pursuant to Section 7.</w:t>
      </w:r>
    </w:p>
    <w:p>
      <w:pPr>
        <w:spacing w:after="0" w:line="217" w:lineRule="exact"/>
        <w:rPr>
          <w:sz w:val="20"/>
          <w:szCs w:val="20"/>
          <w:color w:val="auto"/>
        </w:rPr>
      </w:pPr>
    </w:p>
    <w:p>
      <w:pPr>
        <w:ind w:right="600" w:firstLine="63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Pay</w:t>
      </w:r>
      <w:r>
        <w:rPr>
          <w:rFonts w:ascii="Arial" w:cs="Arial" w:eastAsia="Arial" w:hAnsi="Arial"/>
          <w:sz w:val="18"/>
          <w:szCs w:val="18"/>
          <w:color w:val="auto"/>
        </w:rPr>
        <w:t>” means the Participant’s wages earned on a monthly basis, determined as of the employment termination date, excluding incentive payments and commissions.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7" w:lineRule="exact"/>
        <w:rPr>
          <w:sz w:val="20"/>
          <w:szCs w:val="20"/>
          <w:color w:val="auto"/>
        </w:rPr>
      </w:pPr>
    </w:p>
    <w:p>
      <w:pPr>
        <w:ind w:right="80" w:firstLine="636"/>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means the occurrence or existence of any of the following with respect to a Participant: (a) the Participant’s conviction by, or entry of a plea of guilty or nolo contendere in, a court of competent and final jurisdiction for any crime involving moral turpitude or any felony punishable by imprisonment in the jurisdiction involved; (b) whether prior or subsequent to the Effective Date, the Participant’s willful engaging in dishonest or fraudulent actions or omissions; (c) the Participant’s failure or refusal to perform his or her duties as reasonably required by the Employer; (d) negligence, insubordination, violation by the Participant of any duty (of loyalty or otherwise) owed to the Employer, or any other material misconduct on the part of the Participant; (e) conduct by the Participant which, upon reasonable investigation, is determined by the Company to violate the Employer’s anti-harassment, discrimination or retaliation policies; (f) conduct endangering, or likely to endanger, the health or safety of another employee; (g) falsifying or misrepresenting information on the records of the Employer; (h) the Participant's physical destruction or theft of substantial property or assets of the Employer; or (i) breach of any policy of, or agreement with, the Employer applicable to the Participant or to which the Participant is otherwise bound.</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 Section 409A</w:t>
      </w:r>
      <w:r>
        <w:rPr>
          <w:rFonts w:ascii="Arial" w:cs="Arial" w:eastAsia="Arial" w:hAnsi="Arial"/>
          <w:sz w:val="18"/>
          <w:szCs w:val="18"/>
          <w:color w:val="auto"/>
        </w:rPr>
        <w:t>” means Section 409A of the Code.</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and Talent Committee of the Board.</w:t>
      </w:r>
    </w:p>
    <w:p>
      <w:pPr>
        <w:spacing w:after="0" w:line="217" w:lineRule="exact"/>
        <w:rPr>
          <w:sz w:val="20"/>
          <w:szCs w:val="20"/>
          <w:color w:val="auto"/>
        </w:rPr>
      </w:pPr>
    </w:p>
    <w:p>
      <w:pPr>
        <w:jc w:val="both"/>
        <w:ind w:right="240" w:firstLine="6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occur upon the Participant becoming eligible for disability benefits under the Employer’s long-term disability plan, or, if earlier, upon the Participant becoming eligible for Social Security disability benefits or any comparable state-provided disability benefits for Participants located in non-United States jurisdictions.</w:t>
      </w:r>
    </w:p>
    <w:p>
      <w:pPr>
        <w:spacing w:after="0" w:line="188" w:lineRule="exact"/>
        <w:rPr>
          <w:sz w:val="20"/>
          <w:szCs w:val="20"/>
          <w:color w:val="auto"/>
        </w:rPr>
      </w:pPr>
    </w:p>
    <w:p>
      <w:pPr>
        <w:ind w:right="280" w:firstLine="636"/>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Employee</w:t>
      </w:r>
      <w:r>
        <w:rPr>
          <w:rFonts w:ascii="Arial" w:cs="Arial" w:eastAsia="Arial" w:hAnsi="Arial"/>
          <w:sz w:val="15"/>
          <w:szCs w:val="15"/>
          <w:color w:val="auto"/>
        </w:rPr>
        <w:t>” means an individual who is an employee on the payroll of the Employer. An Eligible Employee shall not include any person providing services to the Employer through a temporary service or on a leased basis or who is engaged by the Employer as an independent contractor, consultant, or otherwise as a person who is not an employee for purposes of applicable withholding taxes, as evidenced by payroll records or a written agreement with the individual, regardless of any contrary governmental agency determination or judicial holding relating to such status or tax withholding.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93" w:right="339" w:bottom="1440" w:gutter="0" w:footer="0" w:header="0"/>
        </w:sectPr>
      </w:pPr>
    </w:p>
    <w:bookmarkStart w:id="131" w:name="page132"/>
    <w:bookmarkEnd w:id="131"/>
    <w:p>
      <w:pPr>
        <w:spacing w:after="0" w:line="172" w:lineRule="exact"/>
        <w:rPr>
          <w:sz w:val="20"/>
          <w:szCs w:val="20"/>
          <w:color w:val="auto"/>
        </w:rPr>
      </w:pPr>
    </w:p>
    <w:p>
      <w:pPr>
        <w:ind w:right="480" w:firstLine="63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Company and its Subsidiaries. For purposes of determining the entity responsible for making payments to a Participant, “Employer” shall mean the legal entity on whose payroll records the Participant is listed.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the related rules and regulations.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JAMS</w:t>
      </w:r>
      <w:r>
        <w:rPr>
          <w:rFonts w:ascii="Arial" w:cs="Arial" w:eastAsia="Arial" w:hAnsi="Arial"/>
          <w:sz w:val="18"/>
          <w:szCs w:val="18"/>
          <w:color w:val="auto"/>
        </w:rPr>
        <w:t>” means the Judicial Arbitration and Mediation Services, Inc., in Orange County, California, or its successor.</w:t>
      </w:r>
    </w:p>
    <w:p>
      <w:pPr>
        <w:spacing w:after="0" w:line="217" w:lineRule="exact"/>
        <w:rPr>
          <w:sz w:val="20"/>
          <w:szCs w:val="20"/>
          <w:color w:val="auto"/>
        </w:rPr>
      </w:pPr>
    </w:p>
    <w:p>
      <w:pPr>
        <w:ind w:right="400" w:firstLine="63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designated by the Board or Administrator to participate in the Plan, in accordance with Section 3.</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 release of any and all claims in a form and manner acceptable to the Company.</w:t>
      </w:r>
    </w:p>
    <w:p>
      <w:pPr>
        <w:spacing w:after="0" w:line="217" w:lineRule="exact"/>
        <w:rPr>
          <w:sz w:val="20"/>
          <w:szCs w:val="20"/>
          <w:color w:val="auto"/>
        </w:rPr>
      </w:pPr>
    </w:p>
    <w:p>
      <w:pPr>
        <w:ind w:right="260" w:firstLine="6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with respect to a Participant, shall mean that the Participant dies, retires, or otherwise has a termination of employment with the Employer that constitutes a “separation from service” within the meaning of Treasury Regulation Section 1.409A-1(h)(1), without regard to the optional alternative definitions available under such regulation.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Severance Benefits</w:t>
      </w:r>
      <w:r>
        <w:rPr>
          <w:rFonts w:ascii="Arial" w:cs="Arial" w:eastAsia="Arial" w:hAnsi="Arial"/>
          <w:sz w:val="15"/>
          <w:szCs w:val="15"/>
          <w:color w:val="auto"/>
        </w:rPr>
        <w:t xml:space="preserve">” means the severance payments and benefits specified for a Participant in </w:t>
      </w:r>
      <w:r>
        <w:rPr>
          <w:rFonts w:ascii="Arial" w:cs="Arial" w:eastAsia="Arial" w:hAnsi="Arial"/>
          <w:sz w:val="15"/>
          <w:szCs w:val="15"/>
          <w:u w:val="single" w:color="auto"/>
          <w:color w:val="auto"/>
        </w:rPr>
        <w:t>Appendix A-1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Appendix A-2</w:t>
      </w:r>
      <w:r>
        <w:rPr>
          <w:rFonts w:ascii="Arial" w:cs="Arial" w:eastAsia="Arial" w:hAnsi="Arial"/>
          <w:sz w:val="15"/>
          <w:szCs w:val="15"/>
          <w:color w:val="auto"/>
        </w:rPr>
        <w:t>, as applicable.</w:t>
      </w:r>
    </w:p>
    <w:p>
      <w:pPr>
        <w:spacing w:after="0" w:line="252" w:lineRule="exact"/>
        <w:rPr>
          <w:sz w:val="20"/>
          <w:szCs w:val="20"/>
          <w:color w:val="auto"/>
        </w:rPr>
      </w:pPr>
    </w:p>
    <w:p>
      <w:pPr>
        <w:ind w:right="240" w:firstLine="63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a majority of whose outstanding voting stock or voting power is beneficially owned directly or indirectly by the Company.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Eligible Employee</w:t>
      </w:r>
      <w:r>
        <w:rPr>
          <w:rFonts w:ascii="Arial" w:cs="Arial" w:eastAsia="Arial" w:hAnsi="Arial"/>
          <w:sz w:val="18"/>
          <w:szCs w:val="18"/>
          <w:color w:val="auto"/>
        </w:rPr>
        <w:t>” means any Eligible Employee who is paid from the United States payroll of the Employer.</w:t>
      </w:r>
    </w:p>
    <w:p>
      <w:pPr>
        <w:spacing w:after="0" w:line="211" w:lineRule="exact"/>
        <w:rPr>
          <w:sz w:val="20"/>
          <w:szCs w:val="20"/>
          <w:color w:val="auto"/>
        </w:rPr>
      </w:pPr>
    </w:p>
    <w:p>
      <w:pPr>
        <w:ind w:left="320" w:hanging="314"/>
        <w:spacing w:after="0"/>
        <w:tabs>
          <w:tab w:leader="none" w:pos="3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w:t>
      </w:r>
    </w:p>
    <w:p>
      <w:pPr>
        <w:spacing w:after="0" w:line="223" w:lineRule="exact"/>
        <w:rPr>
          <w:sz w:val="20"/>
          <w:szCs w:val="20"/>
          <w:color w:val="auto"/>
        </w:rPr>
      </w:pPr>
    </w:p>
    <w:p>
      <w:pPr>
        <w:jc w:val="both"/>
        <w:ind w:right="100" w:firstLine="636"/>
        <w:spacing w:after="0" w:line="255" w:lineRule="auto"/>
        <w:rPr>
          <w:sz w:val="20"/>
          <w:szCs w:val="20"/>
          <w:color w:val="auto"/>
        </w:rPr>
      </w:pPr>
      <w:r>
        <w:rPr>
          <w:rFonts w:ascii="Arial" w:cs="Arial" w:eastAsia="Arial" w:hAnsi="Arial"/>
          <w:sz w:val="18"/>
          <w:szCs w:val="18"/>
          <w:color w:val="auto"/>
        </w:rPr>
        <w:t>The Administrator may, from time to time, designate Eligible Employees as Participants; provided, that the Administrator shall limit the group of all persons eligible to participate in the Plan to a “select group of management or highly compensated employees” within the meaning of 29 C.F.R. 2520-104-23 or any similar successor provision.</w:t>
      </w:r>
    </w:p>
    <w:p>
      <w:pPr>
        <w:spacing w:after="0" w:line="188" w:lineRule="exact"/>
        <w:rPr>
          <w:sz w:val="20"/>
          <w:szCs w:val="20"/>
          <w:color w:val="auto"/>
        </w:rPr>
      </w:pPr>
    </w:p>
    <w:p>
      <w:pPr>
        <w:ind w:right="260" w:firstLine="636"/>
        <w:spacing w:after="0" w:line="255" w:lineRule="auto"/>
        <w:rPr>
          <w:sz w:val="20"/>
          <w:szCs w:val="20"/>
          <w:color w:val="auto"/>
        </w:rPr>
      </w:pPr>
      <w:r>
        <w:rPr>
          <w:rFonts w:ascii="Arial" w:cs="Arial" w:eastAsia="Arial" w:hAnsi="Arial"/>
          <w:sz w:val="18"/>
          <w:szCs w:val="18"/>
          <w:color w:val="auto"/>
        </w:rPr>
        <w:t xml:space="preserve">The Administrator designates Participants into one of the following three categories: Tier 1 Participant per </w:t>
      </w:r>
      <w:r>
        <w:rPr>
          <w:rFonts w:ascii="Arial" w:cs="Arial" w:eastAsia="Arial" w:hAnsi="Arial"/>
          <w:sz w:val="18"/>
          <w:szCs w:val="18"/>
          <w:u w:val="single" w:color="auto"/>
          <w:color w:val="auto"/>
        </w:rPr>
        <w:t>Appendix A-1</w:t>
      </w:r>
      <w:r>
        <w:rPr>
          <w:rFonts w:ascii="Arial" w:cs="Arial" w:eastAsia="Arial" w:hAnsi="Arial"/>
          <w:sz w:val="18"/>
          <w:szCs w:val="18"/>
          <w:color w:val="auto"/>
        </w:rPr>
        <w:t xml:space="preserve">, Tier 2 Participant per </w:t>
      </w:r>
      <w:r>
        <w:rPr>
          <w:rFonts w:ascii="Arial" w:cs="Arial" w:eastAsia="Arial" w:hAnsi="Arial"/>
          <w:sz w:val="18"/>
          <w:szCs w:val="18"/>
          <w:u w:val="single" w:color="auto"/>
          <w:color w:val="auto"/>
        </w:rPr>
        <w:t>Appendix A-2</w:t>
      </w:r>
      <w:r>
        <w:rPr>
          <w:rFonts w:ascii="Arial" w:cs="Arial" w:eastAsia="Arial" w:hAnsi="Arial"/>
          <w:sz w:val="18"/>
          <w:szCs w:val="18"/>
          <w:color w:val="auto"/>
        </w:rPr>
        <w:t xml:space="preserve"> or Tier 3 Participant per </w:t>
      </w:r>
      <w:r>
        <w:rPr>
          <w:rFonts w:ascii="Arial" w:cs="Arial" w:eastAsia="Arial" w:hAnsi="Arial"/>
          <w:sz w:val="18"/>
          <w:szCs w:val="18"/>
          <w:u w:val="single" w:color="auto"/>
          <w:color w:val="auto"/>
        </w:rPr>
        <w:t>Appendix A-2</w:t>
      </w:r>
      <w:r>
        <w:rPr>
          <w:rFonts w:ascii="Arial" w:cs="Arial" w:eastAsia="Arial" w:hAnsi="Arial"/>
          <w:sz w:val="18"/>
          <w:szCs w:val="18"/>
          <w:color w:val="auto"/>
        </w:rPr>
        <w:t xml:space="preserve">. The Administrator may, in its sole discretion, remove a Participant from the Plan or modify existing Participant tier designations, regardless of the general designations in </w:t>
      </w:r>
      <w:r>
        <w:rPr>
          <w:rFonts w:ascii="Arial" w:cs="Arial" w:eastAsia="Arial" w:hAnsi="Arial"/>
          <w:sz w:val="18"/>
          <w:szCs w:val="18"/>
          <w:u w:val="single" w:color="auto"/>
          <w:color w:val="auto"/>
        </w:rPr>
        <w:t>Appendix A-1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Appendix A-2</w:t>
      </w:r>
      <w:r>
        <w:rPr>
          <w:rFonts w:ascii="Arial" w:cs="Arial" w:eastAsia="Arial" w:hAnsi="Arial"/>
          <w:sz w:val="18"/>
          <w:szCs w:val="18"/>
          <w:color w:val="auto"/>
        </w:rPr>
        <w:t>.</w:t>
      </w:r>
    </w:p>
    <w:p>
      <w:pPr>
        <w:spacing w:after="0" w:line="182" w:lineRule="exact"/>
        <w:rPr>
          <w:sz w:val="20"/>
          <w:szCs w:val="20"/>
          <w:color w:val="auto"/>
        </w:rPr>
      </w:pPr>
    </w:p>
    <w:p>
      <w:pPr>
        <w:ind w:left="320" w:hanging="314"/>
        <w:spacing w:after="0"/>
        <w:tabs>
          <w:tab w:leader="none" w:pos="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RIGHTS; SEVERANCE BENEFITS</w:t>
      </w:r>
    </w:p>
    <w:p>
      <w:pPr>
        <w:spacing w:after="0" w:line="223" w:lineRule="exact"/>
        <w:rPr>
          <w:sz w:val="20"/>
          <w:szCs w:val="20"/>
          <w:color w:val="auto"/>
        </w:rPr>
      </w:pPr>
    </w:p>
    <w:p>
      <w:pPr>
        <w:ind w:firstLine="636"/>
        <w:spacing w:after="0" w:line="24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Accrued Rights</w:t>
      </w:r>
      <w:r>
        <w:rPr>
          <w:rFonts w:ascii="Arial" w:cs="Arial" w:eastAsia="Arial" w:hAnsi="Arial"/>
          <w:sz w:val="18"/>
          <w:szCs w:val="18"/>
          <w:color w:val="auto"/>
        </w:rPr>
        <w:t>. Upon a termination of the Participant’s employment for any reason, the Participant (or the Participant’s estate) shall be entitled to receive the sum of the Participant’s Base Pay through the date of termination that is unpaid; the monetary equivalent of any accrued but unused vacation days; any reasonable business expenses incurred in the performance of his or her duties to the Employer in accordance with applicable expense reimbursement policies and procedures and that remain unpaid as of the date of termination; and any amount owed to the Participant in connection with employee benefit plans (including without limitation, any disability or life insurance benefit plans, programs or arrangements), payable in accordance with the terms and conditions of such employee benefit plans.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72" w:lineRule="exact"/>
        <w:rPr>
          <w:sz w:val="20"/>
          <w:szCs w:val="20"/>
          <w:color w:val="auto"/>
        </w:rPr>
      </w:pPr>
    </w:p>
    <w:p>
      <w:pPr>
        <w:ind w:right="60" w:firstLine="636"/>
        <w:spacing w:after="0" w:line="264"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Severance Benefits</w:t>
      </w:r>
      <w:r>
        <w:rPr>
          <w:rFonts w:ascii="Arial" w:cs="Arial" w:eastAsia="Arial" w:hAnsi="Arial"/>
          <w:sz w:val="17"/>
          <w:szCs w:val="17"/>
          <w:color w:val="auto"/>
        </w:rPr>
        <w:t xml:space="preserve">. A Participant whose employment with the Employer is terminated without Cause (excluding by reason of death or Disability) shall be entitled to receive the Severance Benefits from his or her Employer subject to the conditions set forth in Section 5. In no event shall a Participant become entitled to a duplication of benefits under the Plan and any other severance plan or program of the Employer (including the Company’s Amended and Restated Change in Control Severance Plan). In the event a Participant is eligible to receive benefits under the Plan and any other severance plan or program of the Employer (including the Company’s Amended and Restated Change in Control Severance Plan), Participant shall only receive benefits pursuant to the arrangement that yields the greatest benefit to the Participant. Notwithstanding any provision of the Plan to the contrary, to the extent that any Participant is entitled to any period of paid notice under Federal or state law including, but not limited to, the Worker Adjustment Retraining Notification Act, 29 U.S.C. Sections 2101 </w:t>
      </w:r>
      <w:r>
        <w:rPr>
          <w:rFonts w:ascii="Arial" w:cs="Arial" w:eastAsia="Arial" w:hAnsi="Arial"/>
          <w:sz w:val="17"/>
          <w:szCs w:val="17"/>
          <w:u w:val="single" w:color="auto"/>
          <w:color w:val="auto"/>
        </w:rPr>
        <w:t>et seq</w:t>
      </w:r>
      <w:r>
        <w:rPr>
          <w:rFonts w:ascii="Arial" w:cs="Arial" w:eastAsia="Arial" w:hAnsi="Arial"/>
          <w:sz w:val="17"/>
          <w:szCs w:val="17"/>
          <w:color w:val="auto"/>
        </w:rPr>
        <w:t>., the benefits and amounts payable under the Plan shall be reduced (but not below zero) by the Base Pay received by the Participant during the period of such paid notice.</w:t>
      </w:r>
    </w:p>
    <w:p>
      <w:pPr>
        <w:spacing w:after="0" w:line="185" w:lineRule="exact"/>
        <w:rPr>
          <w:sz w:val="20"/>
          <w:szCs w:val="20"/>
          <w:color w:val="auto"/>
        </w:rPr>
      </w:pPr>
    </w:p>
    <w:p>
      <w:pPr>
        <w:ind w:right="100" w:firstLine="636"/>
        <w:spacing w:after="0" w:line="306"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Specified Employees</w:t>
      </w:r>
      <w:r>
        <w:rPr>
          <w:rFonts w:ascii="Arial" w:cs="Arial" w:eastAsia="Arial" w:hAnsi="Arial"/>
          <w:sz w:val="15"/>
          <w:szCs w:val="15"/>
          <w:color w:val="auto"/>
        </w:rPr>
        <w:t>. It is the Company’s intent that the Severance Benefits be exempt from Section 409A as a “short-term deferral” or separation pay due to an involuntary separation from service within the meaning of Code Section 409A. If the Severance Benefits (or any portion thereof) constitute non-exempt “deferred compensation” (within the meaning of Section 409A), then a Participant who is a “specified employee” within the meaning of Code Section 409A shall not be entitled to any such benefits hereunder until the earlier of (i) the date which is six months after the Participant’s Separation from Service for any reason other than death, or (ii) the date of the Participant’s death. Any amounts otherwise payable to the Participant upon or in the six-month period following the Participant’s Separation from Service that are not paid by reason of this Section 4.3 shall be paid (without interest) as soon as practicable (and in all events within 30 days) after (x) the required six-month period or, if earlier (y) the date of the Participant’s death.</w:t>
      </w:r>
    </w:p>
    <w:p>
      <w:pPr>
        <w:spacing w:after="0" w:line="151" w:lineRule="exact"/>
        <w:rPr>
          <w:sz w:val="20"/>
          <w:szCs w:val="20"/>
          <w:color w:val="auto"/>
        </w:rPr>
      </w:pPr>
    </w:p>
    <w:p>
      <w:pPr>
        <w:ind w:left="320" w:hanging="314"/>
        <w:spacing w:after="0"/>
        <w:tabs>
          <w:tab w:leader="none" w:pos="3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SEVERANCE BENEFITS</w:t>
      </w:r>
    </w:p>
    <w:p>
      <w:pPr>
        <w:spacing w:after="0" w:line="223"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Release</w:t>
      </w:r>
      <w:r>
        <w:rPr>
          <w:rFonts w:ascii="Arial" w:cs="Arial" w:eastAsia="Arial" w:hAnsi="Arial"/>
          <w:sz w:val="15"/>
          <w:szCs w:val="15"/>
          <w:color w:val="auto"/>
        </w:rPr>
        <w:t>. The Employer’s obligation to pay the Severance Benefits to a Participant is subject to: (i) the Participant’s execution of a Release; and</w:t>
      </w:r>
    </w:p>
    <w:p>
      <w:pPr>
        <w:spacing w:after="0" w:line="16" w:lineRule="exact"/>
        <w:rPr>
          <w:sz w:val="20"/>
          <w:szCs w:val="20"/>
          <w:color w:val="auto"/>
        </w:rPr>
      </w:pPr>
    </w:p>
    <w:p>
      <w:pPr>
        <w:ind w:right="180" w:firstLine="6"/>
        <w:spacing w:after="0" w:line="248"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Release not being revoked by the Participant (pursuant to any revocation rights afforded by applicable law) or otherwise rendered unenforceable by the Participant. The Employer will have no obligation to pay any of the Severance Benefits to the Participant under the Plan until such Release becomes effective.</w:t>
      </w:r>
    </w:p>
    <w:p>
      <w:pPr>
        <w:spacing w:after="0" w:line="195" w:lineRule="exact"/>
        <w:rPr>
          <w:sz w:val="20"/>
          <w:szCs w:val="20"/>
          <w:color w:val="auto"/>
        </w:rPr>
      </w:pPr>
    </w:p>
    <w:p>
      <w:pPr>
        <w:ind w:right="660" w:firstLine="636"/>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Departure and Entitlement Procedure</w:t>
      </w:r>
      <w:r>
        <w:rPr>
          <w:rFonts w:ascii="Arial" w:cs="Arial" w:eastAsia="Arial" w:hAnsi="Arial"/>
          <w:sz w:val="18"/>
          <w:szCs w:val="18"/>
          <w:color w:val="auto"/>
        </w:rPr>
        <w:t>. As a condition to receiving the Severance Benefits, the Participant must return and deliver to the Employer all Employer property within seven days of the Participant’s termination date.</w:t>
      </w:r>
    </w:p>
    <w:p>
      <w:pPr>
        <w:spacing w:after="0" w:line="207" w:lineRule="exact"/>
        <w:rPr>
          <w:sz w:val="20"/>
          <w:szCs w:val="20"/>
          <w:color w:val="auto"/>
        </w:rPr>
      </w:pPr>
    </w:p>
    <w:p>
      <w:pPr>
        <w:ind w:right="140" w:firstLine="636"/>
        <w:spacing w:after="0" w:line="25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Other Employment; Limitation On Employee Rights</w:t>
      </w:r>
      <w:r>
        <w:rPr>
          <w:rFonts w:ascii="Arial" w:cs="Arial" w:eastAsia="Arial" w:hAnsi="Arial"/>
          <w:sz w:val="18"/>
          <w:szCs w:val="18"/>
          <w:color w:val="auto"/>
        </w:rPr>
        <w:t>. A Participant shall not be required to mitigate the amount of any payments provided by the Plan by seeking employment or otherwise. The Employer reserves the right to offset the benefits payable under the Plan by any advanced monies the Participant owes the Employer. The Plan shall not give any employee the right to be retained in the service of the Employer or to interfere with or restrict the right of the Employer to discharge any employee at any time, with or without Cause.</w:t>
      </w:r>
    </w:p>
    <w:p>
      <w:pPr>
        <w:spacing w:after="0" w:line="185" w:lineRule="exact"/>
        <w:rPr>
          <w:sz w:val="20"/>
          <w:szCs w:val="20"/>
          <w:color w:val="auto"/>
        </w:rPr>
      </w:pPr>
    </w:p>
    <w:p>
      <w:pPr>
        <w:ind w:left="320" w:hanging="314"/>
        <w:spacing w:after="0"/>
        <w:tabs>
          <w:tab w:leader="none" w:pos="3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RESOLUTION OF DISPUTES</w:t>
      </w:r>
    </w:p>
    <w:p>
      <w:pPr>
        <w:spacing w:after="0" w:line="223" w:lineRule="exact"/>
        <w:rPr>
          <w:sz w:val="20"/>
          <w:szCs w:val="20"/>
          <w:color w:val="auto"/>
        </w:rPr>
      </w:pPr>
    </w:p>
    <w:p>
      <w:pPr>
        <w:ind w:firstLine="636"/>
        <w:spacing w:after="0" w:line="26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Claim</w:t>
      </w:r>
      <w:r>
        <w:rPr>
          <w:rFonts w:ascii="Arial" w:cs="Arial" w:eastAsia="Arial" w:hAnsi="Arial"/>
          <w:sz w:val="17"/>
          <w:szCs w:val="17"/>
          <w:color w:val="auto"/>
        </w:rPr>
        <w:t>. Any Participant or other person who believes he or she is entitled to any payment under the Plan (referred to in this section as “claimant”)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expected date of the Administrator’s decision.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2" w:lineRule="exact"/>
        <w:rPr>
          <w:sz w:val="20"/>
          <w:szCs w:val="20"/>
          <w:color w:val="auto"/>
        </w:rPr>
      </w:pPr>
    </w:p>
    <w:p>
      <w:pPr>
        <w:ind w:right="40" w:firstLine="636"/>
        <w:spacing w:after="0" w:line="26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Appeal Procedure</w:t>
      </w:r>
      <w:r>
        <w:rPr>
          <w:rFonts w:ascii="Arial" w:cs="Arial" w:eastAsia="Arial" w:hAnsi="Arial"/>
          <w:sz w:val="17"/>
          <w:szCs w:val="17"/>
          <w:color w:val="auto"/>
        </w:rPr>
        <w:t>. If the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then has the right to review and obtain copies of all documents and other information relevant to the claim, upon request and at no charge, and to submit issues and comments in writing within ten business days after receiving documents and other information relevant to the claim. The Administrator will provide written notice of its decision on review within 60 days after it receives a review request. If additional time (up to 60 days) is needed to review the request, the claimant will be given written notice of the reason for the delay. This notice of extension will indicate the special circumstances requiring the extension of time and the expected date of the Administrator’s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188" w:lineRule="exact"/>
        <w:rPr>
          <w:sz w:val="20"/>
          <w:szCs w:val="20"/>
          <w:color w:val="auto"/>
        </w:rPr>
      </w:pPr>
    </w:p>
    <w:p>
      <w:pPr>
        <w:ind w:firstLine="636"/>
        <w:spacing w:after="0" w:line="24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A claimant who followed the procedures in Sections 6.1 through 6.2, but has not obtained full relief on his or her claim for benefits, may, within 90 days following his or her receipt of the Administrator’s written decision on review pursuant to Section 6.2, apply in writing to the Administrator for expedited and binding arbitration of his or her claim in Orange County, California, before a sole arbitrator selected from JAMS, or if JAMS is no longer able to supply the arbitrator, such arbitrator shall be selected from the American Arbitration Association, and shall be conducted in accordance with the provisions of California Code of Civil Procedure §§ 1280 </w:t>
      </w:r>
      <w:r>
        <w:rPr>
          <w:rFonts w:ascii="Arial" w:cs="Arial" w:eastAsia="Arial" w:hAnsi="Arial"/>
          <w:sz w:val="18"/>
          <w:szCs w:val="18"/>
          <w:u w:val="single" w:color="auto"/>
          <w:color w:val="auto"/>
        </w:rPr>
        <w:t>et seq</w:t>
      </w:r>
      <w:r>
        <w:rPr>
          <w:rFonts w:ascii="Arial" w:cs="Arial" w:eastAsia="Arial" w:hAnsi="Arial"/>
          <w:sz w:val="18"/>
          <w:szCs w:val="18"/>
          <w:color w:val="auto"/>
        </w:rPr>
        <w:t>. as the exclusive forum for the resolution of such dispute. Any award or relief granted by the arbitrator shall be final and binding on the parties hereto and may be enforced by any court of competent jurisdiction. Any rights to trial by jury in any action, proceeding or counterclaim brought by any of the Company, a Subsidiary or a Participant in connection with any matter whatsoever arising out of or in any way connected with the Plan are hereby waived. The Employer shall be responsible for payment of the forum costs of any arbitration hereunder, including the arbitrator’s fee.</w:t>
      </w:r>
    </w:p>
    <w:p>
      <w:pPr>
        <w:spacing w:after="0" w:line="195" w:lineRule="exact"/>
        <w:rPr>
          <w:sz w:val="20"/>
          <w:szCs w:val="20"/>
          <w:color w:val="auto"/>
        </w:rPr>
      </w:pPr>
    </w:p>
    <w:p>
      <w:pPr>
        <w:ind w:right="140" w:firstLine="636"/>
        <w:spacing w:after="0" w:line="25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Legal Fees and Expenses</w:t>
      </w:r>
      <w:r>
        <w:rPr>
          <w:rFonts w:ascii="Arial" w:cs="Arial" w:eastAsia="Arial" w:hAnsi="Arial"/>
          <w:sz w:val="18"/>
          <w:szCs w:val="18"/>
          <w:color w:val="auto"/>
        </w:rPr>
        <w:t>. If any dispute arises between the parties with respect to the interpretation or performance of the Plan, the prevailing party in any arbitration or proceeding shall be entitled to recover from the other party its attorneys’ fees or court costs and other expenses incurred in connection with any such proceeding. Amounts, if any, paid to the Participant under this Section 6.4 shall be in addition to all other amounts due to the Participant pursuant to the Plan.</w:t>
      </w:r>
    </w:p>
    <w:p>
      <w:pPr>
        <w:spacing w:after="0" w:line="185" w:lineRule="exact"/>
        <w:rPr>
          <w:sz w:val="20"/>
          <w:szCs w:val="20"/>
          <w:color w:val="auto"/>
        </w:rPr>
      </w:pPr>
    </w:p>
    <w:p>
      <w:pPr>
        <w:ind w:left="320" w:hanging="314"/>
        <w:spacing w:after="0"/>
        <w:tabs>
          <w:tab w:leader="none" w:pos="3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223" w:lineRule="exact"/>
        <w:rPr>
          <w:sz w:val="20"/>
          <w:szCs w:val="20"/>
          <w:color w:val="auto"/>
        </w:rPr>
      </w:pPr>
    </w:p>
    <w:p>
      <w:pPr>
        <w:ind w:right="100" w:firstLine="636"/>
        <w:spacing w:after="0" w:line="252" w:lineRule="auto"/>
        <w:rPr>
          <w:sz w:val="20"/>
          <w:szCs w:val="20"/>
          <w:color w:val="auto"/>
        </w:rPr>
      </w:pPr>
      <w:r>
        <w:rPr>
          <w:rFonts w:ascii="Arial" w:cs="Arial" w:eastAsia="Arial" w:hAnsi="Arial"/>
          <w:sz w:val="18"/>
          <w:szCs w:val="18"/>
          <w:color w:val="auto"/>
        </w:rPr>
        <w:t>The Plan shall be administered and operated by the Administrator. The Administrator is empowered to construe and interpret the provisions of the Plan and to decide all questions of eligibility for benefits under the Plan and shall make such determinations in its sole and absolute discretion. The Administrator may at any time delegate to any other named person or body, or reassume from any delegate, any of its responsibilities or administrative duties with respect to the Plan.</w:t>
      </w:r>
    </w:p>
    <w:p>
      <w:pPr>
        <w:spacing w:after="0" w:line="185" w:lineRule="exact"/>
        <w:rPr>
          <w:sz w:val="20"/>
          <w:szCs w:val="20"/>
          <w:color w:val="auto"/>
        </w:rPr>
      </w:pPr>
    </w:p>
    <w:p>
      <w:pPr>
        <w:ind w:left="320" w:hanging="314"/>
        <w:spacing w:after="0"/>
        <w:tabs>
          <w:tab w:leader="none" w:pos="3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223" w:lineRule="exact"/>
        <w:rPr>
          <w:sz w:val="20"/>
          <w:szCs w:val="20"/>
          <w:color w:val="auto"/>
        </w:rPr>
      </w:pPr>
    </w:p>
    <w:p>
      <w:pPr>
        <w:jc w:val="both"/>
        <w:ind w:right="240" w:firstLine="636"/>
        <w:spacing w:after="0" w:line="255" w:lineRule="auto"/>
        <w:rPr>
          <w:sz w:val="20"/>
          <w:szCs w:val="20"/>
          <w:color w:val="auto"/>
        </w:rPr>
      </w:pPr>
      <w:r>
        <w:rPr>
          <w:rFonts w:ascii="Arial" w:cs="Arial" w:eastAsia="Arial" w:hAnsi="Arial"/>
          <w:sz w:val="18"/>
          <w:szCs w:val="18"/>
          <w:color w:val="auto"/>
        </w:rPr>
        <w:t>The Administrator (or the Board) reserves the right to amend, suspend and/or terminate the Plan at any time in its sole discretion. No amendment, suspension or termination shall diminish benefits payable to a Participant who is already entitled to payment under the Plan at the time of such amendment, suspension or termination.</w:t>
      </w:r>
    </w:p>
    <w:p>
      <w:pPr>
        <w:spacing w:after="0" w:line="182" w:lineRule="exact"/>
        <w:rPr>
          <w:sz w:val="20"/>
          <w:szCs w:val="20"/>
          <w:color w:val="auto"/>
        </w:rPr>
      </w:pPr>
    </w:p>
    <w:p>
      <w:pPr>
        <w:ind w:left="320" w:hanging="314"/>
        <w:spacing w:after="0"/>
        <w:tabs>
          <w:tab w:leader="none" w:pos="3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p>
    <w:p>
      <w:pPr>
        <w:spacing w:after="0" w:line="223" w:lineRule="exact"/>
        <w:rPr>
          <w:sz w:val="20"/>
          <w:szCs w:val="20"/>
          <w:color w:val="auto"/>
        </w:rPr>
      </w:pPr>
    </w:p>
    <w:p>
      <w:pPr>
        <w:ind w:right="20" w:firstLine="636"/>
        <w:spacing w:after="0" w:line="365" w:lineRule="auto"/>
        <w:rPr>
          <w:sz w:val="20"/>
          <w:szCs w:val="20"/>
          <w:color w:val="auto"/>
        </w:rPr>
      </w:pPr>
      <w:r>
        <w:rPr>
          <w:rFonts w:ascii="Arial" w:cs="Arial" w:eastAsia="Arial" w:hAnsi="Arial"/>
          <w:sz w:val="15"/>
          <w:szCs w:val="15"/>
          <w:color w:val="auto"/>
        </w:rPr>
        <w:t>Each Participant shall be solely responsible for his or her own tax liability with respect to participation in the Plan. The Employer may withhold from any amounts payable under the Plan such federal, state and local income, employment, or other applicable taxes as may be required to be withheld.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66" w:lineRule="exact"/>
        <w:rPr>
          <w:sz w:val="20"/>
          <w:szCs w:val="20"/>
          <w:color w:val="auto"/>
        </w:rPr>
      </w:pPr>
    </w:p>
    <w:p>
      <w:pPr>
        <w:ind w:left="400" w:hanging="394"/>
        <w:spacing w:after="0"/>
        <w:tabs>
          <w:tab w:leader="none" w:pos="4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p>
    <w:p>
      <w:pPr>
        <w:spacing w:after="0" w:line="223" w:lineRule="exact"/>
        <w:rPr>
          <w:sz w:val="20"/>
          <w:szCs w:val="20"/>
          <w:color w:val="auto"/>
        </w:rPr>
      </w:pPr>
    </w:p>
    <w:p>
      <w:pPr>
        <w:ind w:right="240" w:firstLine="636"/>
        <w:spacing w:after="0" w:line="318"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Assignment by Participants</w:t>
      </w:r>
      <w:r>
        <w:rPr>
          <w:rFonts w:ascii="Arial" w:cs="Arial" w:eastAsia="Arial" w:hAnsi="Arial"/>
          <w:sz w:val="15"/>
          <w:szCs w:val="15"/>
          <w:color w:val="auto"/>
        </w:rPr>
        <w:t>. None of the amounts payable pursuant to the Plan shall be subject to any claim of any creditor and shall not be subject to attachment or garnishment or other legal process by any creditor. Participants may not alienate, anticipate, commute, pledge, encumber or assign any of the amounts payable pursuant to the Plan. The amounts payable pursuant to the Plan shall inure to the benefit of and be enforceable by each Participant’s personal or legal representatives, executors, administrators, successors, heirs, distributees, devisees, and legatees.</w:t>
      </w:r>
    </w:p>
    <w:p>
      <w:pPr>
        <w:spacing w:after="0" w:line="146" w:lineRule="exact"/>
        <w:rPr>
          <w:sz w:val="20"/>
          <w:szCs w:val="20"/>
          <w:color w:val="auto"/>
        </w:rPr>
      </w:pPr>
    </w:p>
    <w:p>
      <w:pPr>
        <w:ind w:firstLine="636"/>
        <w:spacing w:after="0" w:line="250"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Binding Effect</w:t>
      </w:r>
      <w:r>
        <w:rPr>
          <w:rFonts w:ascii="Arial" w:cs="Arial" w:eastAsia="Arial" w:hAnsi="Arial"/>
          <w:sz w:val="18"/>
          <w:szCs w:val="18"/>
          <w:color w:val="auto"/>
        </w:rPr>
        <w:t>. The Employer will require any successor to all or substantially all of the business and/or assets of the Company or applicable Subsidiary to expressly assume and agree to perform all of the obligations of the Company or applicable Subsidiary under the Plan (including the obligation to cause any subsequent successor to also assume the obligations of the Plan) unless such assumption occurs by operation of law. For the avoidance of doubt, in the event that a successor of a Subsidiary assumes the Subsidiary’s obligations under the Plan, the Company will have no obligations under the Plan with respect to the Participants employed by such Subsidiary.</w:t>
      </w:r>
    </w:p>
    <w:p>
      <w:pPr>
        <w:spacing w:after="0" w:line="194" w:lineRule="exact"/>
        <w:rPr>
          <w:sz w:val="20"/>
          <w:szCs w:val="20"/>
          <w:color w:val="auto"/>
        </w:rPr>
      </w:pPr>
    </w:p>
    <w:p>
      <w:pPr>
        <w:jc w:val="both"/>
        <w:ind w:right="60" w:firstLine="636"/>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w:t>
      </w:r>
      <w:r>
        <w:rPr>
          <w:rFonts w:ascii="Arial" w:cs="Arial" w:eastAsia="Arial" w:hAnsi="Arial"/>
          <w:sz w:val="18"/>
          <w:szCs w:val="18"/>
          <w:color w:val="auto"/>
        </w:rPr>
        <w:t>. No waiver of any term, provision or condition of the Plan, whether by conduct or otherwise, in any one or more instances shall be deemed or be construed as a further or continuing waiver of any such term, provision or condition or as a waiver of any other term, provision or condition of the Plan.</w:t>
      </w:r>
    </w:p>
    <w:p>
      <w:pPr>
        <w:spacing w:after="0" w:line="188" w:lineRule="exact"/>
        <w:rPr>
          <w:sz w:val="20"/>
          <w:szCs w:val="20"/>
          <w:color w:val="auto"/>
        </w:rPr>
      </w:pPr>
    </w:p>
    <w:p>
      <w:pPr>
        <w:ind w:right="20" w:firstLine="636"/>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Expenses; Unsecured General Creditor</w:t>
      </w:r>
      <w:r>
        <w:rPr>
          <w:rFonts w:ascii="Arial" w:cs="Arial" w:eastAsia="Arial" w:hAnsi="Arial"/>
          <w:sz w:val="18"/>
          <w:szCs w:val="18"/>
          <w:color w:val="auto"/>
        </w:rPr>
        <w:t>. The benefits and costs of the Plan shall be paid by the Employer out of its general assets. The status of a claim against the Employer with respect to the benefits provided by the Plan shall be the same as the status of a claim against the Employer by any general or unsecured creditor.</w:t>
      </w:r>
    </w:p>
    <w:p>
      <w:pPr>
        <w:spacing w:after="0" w:line="188" w:lineRule="exact"/>
        <w:rPr>
          <w:sz w:val="20"/>
          <w:szCs w:val="20"/>
          <w:color w:val="auto"/>
        </w:rPr>
      </w:pPr>
    </w:p>
    <w:p>
      <w:pPr>
        <w:ind w:right="520" w:firstLine="636"/>
        <w:spacing w:after="0" w:line="365"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ERISA</w:t>
      </w:r>
      <w:r>
        <w:rPr>
          <w:rFonts w:ascii="Arial" w:cs="Arial" w:eastAsia="Arial" w:hAnsi="Arial"/>
          <w:sz w:val="15"/>
          <w:szCs w:val="15"/>
          <w:color w:val="auto"/>
        </w:rPr>
        <w:t>. The Plan is an unfunded compensation arrangement for a select group of management or highly compensated employees of the Company or a Subsidiary and any exemptions under ERISA applicable to such an arrangement shall be applicable to the Plan.</w:t>
      </w:r>
    </w:p>
    <w:p>
      <w:pPr>
        <w:spacing w:after="0" w:line="111" w:lineRule="exact"/>
        <w:rPr>
          <w:sz w:val="20"/>
          <w:szCs w:val="20"/>
          <w:color w:val="auto"/>
        </w:rPr>
      </w:pPr>
    </w:p>
    <w:p>
      <w:pPr>
        <w:ind w:right="300" w:firstLine="636"/>
        <w:spacing w:after="0" w:line="365"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WARN Act</w:t>
      </w:r>
      <w:r>
        <w:rPr>
          <w:rFonts w:ascii="Arial" w:cs="Arial" w:eastAsia="Arial" w:hAnsi="Arial"/>
          <w:sz w:val="15"/>
          <w:szCs w:val="15"/>
          <w:color w:val="auto"/>
        </w:rPr>
        <w:t>. Benefits payable under the Plan are intended to satisfy, where applicable, any Employer obligations under the Federal Worker Adjustment and Retraining Notification Act and any similar obligations that the Employer may have under any successor or other severance pay statute.</w:t>
      </w:r>
    </w:p>
    <w:p>
      <w:pPr>
        <w:spacing w:after="0" w:line="111" w:lineRule="exact"/>
        <w:rPr>
          <w:sz w:val="20"/>
          <w:szCs w:val="20"/>
          <w:color w:val="auto"/>
        </w:rPr>
      </w:pPr>
    </w:p>
    <w:p>
      <w:pPr>
        <w:ind w:right="620" w:firstLine="636"/>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will be construed, administered and enforced in accordance with ERISA and, to the extent applicable, the laws of the State of California without regard to its choice of law provisions.</w:t>
      </w:r>
    </w:p>
    <w:p>
      <w:pPr>
        <w:spacing w:after="0" w:line="181" w:lineRule="exact"/>
        <w:rPr>
          <w:sz w:val="20"/>
          <w:szCs w:val="20"/>
          <w:color w:val="auto"/>
        </w:rPr>
      </w:pPr>
    </w:p>
    <w:p>
      <w:pPr>
        <w:ind w:right="80" w:firstLine="636"/>
        <w:spacing w:after="0" w:line="267"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is held to be illegal, invalid or unenforceable under any present or future law, and if the rights or obligations of any party hereto under the Plan will not be materially and adversely affected hereby, (i) such provision will be fully severable, (ii) the Plan will be construed and enforced as if such illegal, invalid or unenforceable provision had never comprised a part hereof, (iii) the remaining provisions of the Plan will remain in full force and effect and will not be affected by the illegal, invalid or unenforceable provision or by its severance from here and (iv) in lieu of such illegal, invalid or unenforceable provision, there will be added automatically as a part of the Plan a legal, valid and enforceable provision as similar in terms to such illegal, invalid or unenforceable provision as may be possible.</w:t>
      </w:r>
    </w:p>
    <w:p>
      <w:pPr>
        <w:spacing w:after="0" w:line="206"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u w:val="single" w:color="auto"/>
          <w:color w:val="auto"/>
        </w:rPr>
        <w:t>Additional Information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3600" w:type="dxa"/>
            <w:vAlign w:val="bottom"/>
          </w:tcPr>
          <w:p>
            <w:pPr>
              <w:spacing w:after="0"/>
              <w:rPr>
                <w:sz w:val="20"/>
                <w:szCs w:val="20"/>
                <w:color w:val="auto"/>
              </w:rPr>
            </w:pPr>
            <w:r>
              <w:rPr>
                <w:rFonts w:ascii="Arial" w:cs="Arial" w:eastAsia="Arial" w:hAnsi="Arial"/>
                <w:sz w:val="18"/>
                <w:szCs w:val="18"/>
                <w:b w:val="1"/>
                <w:bCs w:val="1"/>
                <w:color w:val="auto"/>
              </w:rPr>
              <w:t>Plan Name:</w:t>
            </w:r>
          </w:p>
        </w:tc>
        <w:tc>
          <w:tcPr>
            <w:tcW w:w="6540" w:type="dxa"/>
            <w:vAlign w:val="bottom"/>
          </w:tcPr>
          <w:p>
            <w:pPr>
              <w:ind w:left="980"/>
              <w:spacing w:after="0"/>
              <w:rPr>
                <w:sz w:val="20"/>
                <w:szCs w:val="20"/>
                <w:color w:val="auto"/>
              </w:rPr>
            </w:pPr>
            <w:r>
              <w:rPr>
                <w:rFonts w:ascii="Arial" w:cs="Arial" w:eastAsia="Arial" w:hAnsi="Arial"/>
                <w:sz w:val="18"/>
                <w:szCs w:val="18"/>
                <w:color w:val="auto"/>
                <w:w w:val="87"/>
              </w:rPr>
              <w:t>Western Digital Corporation Amended and Restated Executive Severance Plan</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Arial" w:cs="Arial" w:eastAsia="Arial" w:hAnsi="Arial"/>
                <w:sz w:val="18"/>
                <w:szCs w:val="18"/>
                <w:b w:val="1"/>
                <w:bCs w:val="1"/>
                <w:color w:val="auto"/>
              </w:rPr>
              <w:t>Plan Sponsor:</w:t>
            </w:r>
          </w:p>
        </w:tc>
        <w:tc>
          <w:tcPr>
            <w:tcW w:w="6540" w:type="dxa"/>
            <w:vAlign w:val="bottom"/>
          </w:tcPr>
          <w:p>
            <w:pPr>
              <w:ind w:left="980"/>
              <w:spacing w:after="0"/>
              <w:rPr>
                <w:sz w:val="20"/>
                <w:szCs w:val="20"/>
                <w:color w:val="auto"/>
              </w:rPr>
            </w:pPr>
            <w:r>
              <w:rPr>
                <w:rFonts w:ascii="Arial" w:cs="Arial" w:eastAsia="Arial" w:hAnsi="Arial"/>
                <w:sz w:val="18"/>
                <w:szCs w:val="18"/>
                <w:color w:val="auto"/>
              </w:rPr>
              <w:t>Western Digital Corporation</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Arial" w:cs="Arial" w:eastAsia="Arial" w:hAnsi="Arial"/>
                <w:sz w:val="18"/>
                <w:szCs w:val="18"/>
                <w:b w:val="1"/>
                <w:bCs w:val="1"/>
                <w:color w:val="auto"/>
              </w:rPr>
              <w:t>Identification Numbers:</w:t>
            </w:r>
          </w:p>
        </w:tc>
        <w:tc>
          <w:tcPr>
            <w:tcW w:w="6540" w:type="dxa"/>
            <w:vAlign w:val="bottom"/>
            <w:vMerge w:val="restart"/>
          </w:tcPr>
          <w:p>
            <w:pPr>
              <w:ind w:left="980"/>
              <w:spacing w:after="0"/>
              <w:rPr>
                <w:sz w:val="20"/>
                <w:szCs w:val="20"/>
                <w:color w:val="auto"/>
              </w:rPr>
            </w:pPr>
            <w:r>
              <w:rPr>
                <w:rFonts w:ascii="Arial" w:cs="Arial" w:eastAsia="Arial" w:hAnsi="Arial"/>
                <w:sz w:val="18"/>
                <w:szCs w:val="18"/>
                <w:b w:val="1"/>
                <w:bCs w:val="1"/>
                <w:color w:val="auto"/>
              </w:rPr>
              <w:t xml:space="preserve">EIN: </w:t>
            </w:r>
            <w:r>
              <w:rPr>
                <w:rFonts w:ascii="Arial" w:cs="Arial" w:eastAsia="Arial" w:hAnsi="Arial"/>
                <w:sz w:val="18"/>
                <w:szCs w:val="18"/>
                <w:color w:val="auto"/>
              </w:rPr>
              <w:t>33-0956711</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6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3600" w:type="dxa"/>
            <w:vAlign w:val="bottom"/>
          </w:tcPr>
          <w:p>
            <w:pPr>
              <w:spacing w:after="0"/>
              <w:rPr>
                <w:sz w:val="24"/>
                <w:szCs w:val="24"/>
                <w:color w:val="auto"/>
              </w:rPr>
            </w:pPr>
          </w:p>
        </w:tc>
        <w:tc>
          <w:tcPr>
            <w:tcW w:w="6540" w:type="dxa"/>
            <w:vAlign w:val="bottom"/>
          </w:tcPr>
          <w:p>
            <w:pPr>
              <w:ind w:left="98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2"/>
        </w:trPr>
        <w:tc>
          <w:tcPr>
            <w:tcW w:w="3600" w:type="dxa"/>
            <w:vAlign w:val="bottom"/>
          </w:tcPr>
          <w:p>
            <w:pPr>
              <w:spacing w:after="0"/>
              <w:rPr>
                <w:sz w:val="20"/>
                <w:szCs w:val="20"/>
                <w:color w:val="auto"/>
              </w:rPr>
            </w:pPr>
            <w:r>
              <w:rPr>
                <w:rFonts w:ascii="Arial" w:cs="Arial" w:eastAsia="Arial" w:hAnsi="Arial"/>
                <w:sz w:val="18"/>
                <w:szCs w:val="18"/>
                <w:b w:val="1"/>
                <w:bCs w:val="1"/>
                <w:color w:val="auto"/>
              </w:rPr>
              <w:t>Plan Year:</w:t>
            </w:r>
          </w:p>
        </w:tc>
        <w:tc>
          <w:tcPr>
            <w:tcW w:w="6540" w:type="dxa"/>
            <w:vAlign w:val="bottom"/>
          </w:tcPr>
          <w:p>
            <w:pPr>
              <w:ind w:left="980"/>
              <w:spacing w:after="0"/>
              <w:rPr>
                <w:sz w:val="20"/>
                <w:szCs w:val="20"/>
                <w:color w:val="auto"/>
              </w:rPr>
            </w:pPr>
            <w:r>
              <w:rPr>
                <w:rFonts w:ascii="Arial" w:cs="Arial" w:eastAsia="Arial" w:hAnsi="Arial"/>
                <w:sz w:val="18"/>
                <w:szCs w:val="18"/>
                <w:color w:val="auto"/>
              </w:rPr>
              <w:t>January 1 to December 31</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Arial" w:cs="Arial" w:eastAsia="Arial" w:hAnsi="Arial"/>
                <w:sz w:val="18"/>
                <w:szCs w:val="18"/>
                <w:b w:val="1"/>
                <w:bCs w:val="1"/>
                <w:color w:val="auto"/>
              </w:rPr>
              <w:t>Plan Administrator:</w:t>
            </w:r>
          </w:p>
        </w:tc>
        <w:tc>
          <w:tcPr>
            <w:tcW w:w="6540" w:type="dxa"/>
            <w:vAlign w:val="bottom"/>
            <w:vMerge w:val="restart"/>
          </w:tcPr>
          <w:p>
            <w:pPr>
              <w:ind w:left="980"/>
              <w:spacing w:after="0"/>
              <w:rPr>
                <w:sz w:val="20"/>
                <w:szCs w:val="20"/>
                <w:color w:val="auto"/>
              </w:rPr>
            </w:pPr>
            <w:r>
              <w:rPr>
                <w:rFonts w:ascii="Arial" w:cs="Arial" w:eastAsia="Arial" w:hAnsi="Arial"/>
                <w:sz w:val="18"/>
                <w:szCs w:val="18"/>
                <w:color w:val="auto"/>
              </w:rPr>
              <w:t>Western Digital Corporation</w:t>
            </w:r>
          </w:p>
        </w:tc>
        <w:tc>
          <w:tcPr>
            <w:tcW w:w="0" w:type="dxa"/>
            <w:vAlign w:val="bottom"/>
          </w:tcPr>
          <w:p>
            <w:pPr>
              <w:spacing w:after="0"/>
              <w:rPr>
                <w:sz w:val="1"/>
                <w:szCs w:val="1"/>
                <w:color w:val="auto"/>
              </w:rPr>
            </w:pPr>
          </w:p>
        </w:tc>
      </w:tr>
      <w:tr>
        <w:trPr>
          <w:trHeight w:val="201"/>
        </w:trPr>
        <w:tc>
          <w:tcPr>
            <w:tcW w:w="3600" w:type="dxa"/>
            <w:vAlign w:val="bottom"/>
          </w:tcPr>
          <w:p>
            <w:pPr>
              <w:spacing w:after="0"/>
              <w:rPr>
                <w:sz w:val="17"/>
                <w:szCs w:val="17"/>
                <w:color w:val="auto"/>
              </w:rPr>
            </w:pPr>
          </w:p>
        </w:tc>
        <w:tc>
          <w:tcPr>
            <w:tcW w:w="6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5601 Great Oaks Parkway</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San Jose, California 95119</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Attention: Compensation and Talent Committee</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(408) 717-6000</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Arial" w:cs="Arial" w:eastAsia="Arial" w:hAnsi="Arial"/>
                <w:sz w:val="18"/>
                <w:szCs w:val="18"/>
                <w:b w:val="1"/>
                <w:bCs w:val="1"/>
                <w:color w:val="auto"/>
              </w:rPr>
              <w:t>Agent for Service of Legal Process:</w:t>
            </w:r>
          </w:p>
        </w:tc>
        <w:tc>
          <w:tcPr>
            <w:tcW w:w="6540" w:type="dxa"/>
            <w:vAlign w:val="bottom"/>
            <w:vMerge w:val="restart"/>
          </w:tcPr>
          <w:p>
            <w:pPr>
              <w:ind w:left="980"/>
              <w:spacing w:after="0"/>
              <w:rPr>
                <w:sz w:val="20"/>
                <w:szCs w:val="20"/>
                <w:color w:val="auto"/>
              </w:rPr>
            </w:pPr>
            <w:r>
              <w:rPr>
                <w:rFonts w:ascii="Arial" w:cs="Arial" w:eastAsia="Arial" w:hAnsi="Arial"/>
                <w:sz w:val="18"/>
                <w:szCs w:val="18"/>
                <w:color w:val="auto"/>
              </w:rPr>
              <w:t>Western Digital Corporation</w:t>
            </w:r>
          </w:p>
        </w:tc>
        <w:tc>
          <w:tcPr>
            <w:tcW w:w="0" w:type="dxa"/>
            <w:vAlign w:val="bottom"/>
          </w:tcPr>
          <w:p>
            <w:pPr>
              <w:spacing w:after="0"/>
              <w:rPr>
                <w:sz w:val="1"/>
                <w:szCs w:val="1"/>
                <w:color w:val="auto"/>
              </w:rPr>
            </w:pPr>
          </w:p>
        </w:tc>
      </w:tr>
      <w:tr>
        <w:trPr>
          <w:trHeight w:val="201"/>
        </w:trPr>
        <w:tc>
          <w:tcPr>
            <w:tcW w:w="3600" w:type="dxa"/>
            <w:vAlign w:val="bottom"/>
          </w:tcPr>
          <w:p>
            <w:pPr>
              <w:spacing w:after="0"/>
              <w:rPr>
                <w:sz w:val="17"/>
                <w:szCs w:val="17"/>
                <w:color w:val="auto"/>
              </w:rPr>
            </w:pPr>
          </w:p>
        </w:tc>
        <w:tc>
          <w:tcPr>
            <w:tcW w:w="6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251 Little Falls Drive</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Wilmington, Delaware 19807</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6540" w:type="dxa"/>
            <w:vAlign w:val="bottom"/>
          </w:tcPr>
          <w:p>
            <w:pPr>
              <w:ind w:left="980"/>
              <w:spacing w:after="0"/>
              <w:rPr>
                <w:sz w:val="20"/>
                <w:szCs w:val="20"/>
                <w:color w:val="auto"/>
              </w:rPr>
            </w:pPr>
            <w:r>
              <w:rPr>
                <w:rFonts w:ascii="Arial" w:cs="Arial" w:eastAsia="Arial" w:hAnsi="Arial"/>
                <w:sz w:val="18"/>
                <w:szCs w:val="18"/>
                <w:color w:val="auto"/>
              </w:rPr>
              <w:t>Attention: Corporation Service Company</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Arial" w:cs="Arial" w:eastAsia="Arial" w:hAnsi="Arial"/>
                <w:sz w:val="18"/>
                <w:szCs w:val="18"/>
                <w:b w:val="1"/>
                <w:bCs w:val="1"/>
                <w:color w:val="auto"/>
              </w:rPr>
              <w:t>Type of Plan:</w:t>
            </w:r>
          </w:p>
        </w:tc>
        <w:tc>
          <w:tcPr>
            <w:tcW w:w="6540" w:type="dxa"/>
            <w:vAlign w:val="bottom"/>
          </w:tcPr>
          <w:p>
            <w:pPr>
              <w:ind w:left="980"/>
              <w:spacing w:after="0"/>
              <w:rPr>
                <w:sz w:val="20"/>
                <w:szCs w:val="20"/>
                <w:color w:val="auto"/>
              </w:rPr>
            </w:pPr>
            <w:r>
              <w:rPr>
                <w:rFonts w:ascii="Arial" w:cs="Arial" w:eastAsia="Arial" w:hAnsi="Arial"/>
                <w:sz w:val="18"/>
                <w:szCs w:val="18"/>
                <w:color w:val="auto"/>
              </w:rPr>
              <w:t>Severance Plan/Employee Welfare Benefit Plan</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Arial" w:cs="Arial" w:eastAsia="Arial" w:hAnsi="Arial"/>
                <w:sz w:val="18"/>
                <w:szCs w:val="18"/>
                <w:b w:val="1"/>
                <w:bCs w:val="1"/>
                <w:color w:val="auto"/>
              </w:rPr>
              <w:t>Plan Costs:</w:t>
            </w:r>
          </w:p>
        </w:tc>
        <w:tc>
          <w:tcPr>
            <w:tcW w:w="6540" w:type="dxa"/>
            <w:vAlign w:val="bottom"/>
          </w:tcPr>
          <w:p>
            <w:pPr>
              <w:ind w:left="980"/>
              <w:spacing w:after="0"/>
              <w:rPr>
                <w:sz w:val="20"/>
                <w:szCs w:val="20"/>
                <w:color w:val="auto"/>
              </w:rPr>
            </w:pPr>
            <w:r>
              <w:rPr>
                <w:rFonts w:ascii="Arial" w:cs="Arial" w:eastAsia="Arial" w:hAnsi="Arial"/>
                <w:sz w:val="18"/>
                <w:szCs w:val="18"/>
                <w:color w:val="auto"/>
              </w:rPr>
              <w:t>The cost of the Plan is paid by 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u w:val="single" w:color="auto"/>
          <w:color w:val="auto"/>
        </w:rPr>
        <w:t>Statement of ERISA Rights</w:t>
      </w:r>
      <w:r>
        <w:rPr>
          <w:rFonts w:ascii="Arial" w:cs="Arial" w:eastAsia="Arial" w:hAnsi="Arial"/>
          <w:sz w:val="15"/>
          <w:szCs w:val="15"/>
          <w:color w:val="auto"/>
        </w:rPr>
        <w:t>. As a Participant under the Plan, you have certain rights and protections under ERISA:</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You may examine (without charge) all Plan documents, including any amendments and copies of all documents filed with the U.S. Department of Labor.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These documents are available for your review in the Company’s Human Resources Department.</w:t>
      </w:r>
    </w:p>
    <w:p>
      <w:pPr>
        <w:spacing w:after="0" w:line="17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You may obtain copies of all Plan documents and other Plan information upon written request to the Administrator. A reasonable charge may be made for such copies.</w:t>
      </w:r>
    </w:p>
    <w:p>
      <w:pPr>
        <w:spacing w:after="0" w:line="180"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6 above.</w:t>
      </w:r>
    </w:p>
    <w:p>
      <w:pPr>
        <w:spacing w:after="0" w:line="136" w:lineRule="exact"/>
        <w:rPr>
          <w:sz w:val="20"/>
          <w:szCs w:val="20"/>
          <w:color w:val="auto"/>
        </w:rPr>
      </w:pPr>
    </w:p>
    <w:p>
      <w:pPr>
        <w:ind w:right="40" w:firstLine="636"/>
        <w:spacing w:after="0" w:line="252" w:lineRule="auto"/>
        <w:rPr>
          <w:sz w:val="20"/>
          <w:szCs w:val="20"/>
          <w:color w:val="auto"/>
        </w:rPr>
      </w:pPr>
      <w:r>
        <w:rPr>
          <w:rFonts w:ascii="Arial" w:cs="Arial" w:eastAsia="Arial" w:hAnsi="Arial"/>
          <w:sz w:val="17"/>
          <w:szCs w:val="17"/>
          <w:color w:val="auto"/>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spacing w:after="0" w:line="180" w:lineRule="exact"/>
        <w:rPr>
          <w:sz w:val="20"/>
          <w:szCs w:val="20"/>
          <w:color w:val="auto"/>
        </w:rPr>
      </w:pPr>
    </w:p>
    <w:p>
      <w:pPr>
        <w:ind w:right="160" w:firstLine="636"/>
        <w:spacing w:after="0" w:line="347" w:lineRule="auto"/>
        <w:rPr>
          <w:sz w:val="20"/>
          <w:szCs w:val="20"/>
          <w:color w:val="auto"/>
        </w:rPr>
      </w:pPr>
      <w:r>
        <w:rPr>
          <w:rFonts w:ascii="Arial" w:cs="Arial" w:eastAsia="Arial" w:hAnsi="Arial"/>
          <w:sz w:val="15"/>
          <w:szCs w:val="15"/>
          <w:color w:val="auto"/>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spacing w:after="0" w:line="111" w:lineRule="exact"/>
        <w:rPr>
          <w:sz w:val="20"/>
          <w:szCs w:val="20"/>
          <w:color w:val="auto"/>
        </w:rPr>
      </w:pPr>
    </w:p>
    <w:p>
      <w:pPr>
        <w:ind w:right="280" w:firstLine="636"/>
        <w:spacing w:after="0" w:line="271" w:lineRule="auto"/>
        <w:rPr>
          <w:sz w:val="20"/>
          <w:szCs w:val="20"/>
          <w:color w:val="auto"/>
        </w:rPr>
      </w:pPr>
      <w:r>
        <w:rPr>
          <w:rFonts w:ascii="Arial" w:cs="Arial" w:eastAsia="Arial" w:hAnsi="Arial"/>
          <w:sz w:val="17"/>
          <w:szCs w:val="17"/>
          <w:color w:val="auto"/>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7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also may obtain certain publications about your rights and responsibilities under ERISA by calling the publications hotline of the Employee Benefits Security Administration.</w:t>
      </w:r>
    </w:p>
    <w:p>
      <w:pPr>
        <w:spacing w:after="0" w:line="181"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u w:val="single" w:color="auto"/>
          <w:color w:val="auto"/>
        </w:rPr>
        <w:t>Section 280G</w:t>
      </w:r>
      <w:r>
        <w:rPr>
          <w:rFonts w:ascii="Arial" w:cs="Arial" w:eastAsia="Arial" w:hAnsi="Arial"/>
          <w:sz w:val="15"/>
          <w:szCs w:val="15"/>
          <w:color w:val="auto"/>
        </w:rPr>
        <w:t>.</w:t>
      </w:r>
    </w:p>
    <w:p>
      <w:pPr>
        <w:spacing w:after="0" w:line="217" w:lineRule="exact"/>
        <w:rPr>
          <w:sz w:val="20"/>
          <w:szCs w:val="20"/>
          <w:color w:val="auto"/>
        </w:rPr>
      </w:pPr>
    </w:p>
    <w:p>
      <w:pPr>
        <w:ind w:firstLine="636"/>
        <w:spacing w:after="0" w:line="301" w:lineRule="auto"/>
        <w:rPr>
          <w:sz w:val="20"/>
          <w:szCs w:val="20"/>
          <w:color w:val="auto"/>
        </w:rPr>
      </w:pPr>
      <w:r>
        <w:rPr>
          <w:rFonts w:ascii="Arial" w:cs="Arial" w:eastAsia="Arial" w:hAnsi="Arial"/>
          <w:sz w:val="15"/>
          <w:szCs w:val="15"/>
          <w:color w:val="auto"/>
        </w:rPr>
        <w:t>Notwithstanding anything to the contrary in the Plan, if a Participant is a “disqualified individual” (as defined in Section 280G(c) of the Code), and the Severance Benefits provided for under the Plan, together with any other payments and benefits which the Participant has the right to receive from the Employer, would constitute a “parachute payment” (as defined in Section 280G(b)(2) of the Code), then the Severance Benefits provided for under the Plan shall be either (a) reduced (but not below zero) so that the present value of such total amounts and benefits received by the Participant from the Employer will be $1.00 less than three times the Participant’s “base amount” (as defined in Section 280G(b)(3) of the Code) and so that no portion of such amounts and benefits received by the Participant shall be subject to the excise tax imposed by Section 4999 of the Code, or (b) paid in full, whichever produces the better net after-tax position to the Participant (taking into account any applicable excise tax under Section 4999 of the Code and any other applicable taxes). The determination as to whether any such reduction in the amount of the payments provided hereunder is necessary shall be made by the Employer in good faith. If a reduced payment is made or provided and through error or otherwise that payment, when aggregated with other payments and benefits from the Employer used in determining if a parachute payment exists, exceeds $1.00 less than three times the Participant’s base amount, then the Participant shall immediately repay such excess to the Employer upon notification that an overpayment has been made. Nothing in the Plan shall require the Employer to be responsible for, or have any liability or obligation with respect to, the Participant’s excise tax liabilities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u w:val="single" w:color="auto"/>
          <w:color w:val="auto"/>
        </w:rPr>
        <w:t>Appendix A-1</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 Participant with a title of Executive Vice President (or its equivalent in the internal records of the Employer) or who is an officer of the Company within the meaning of Section 16 of the Exchange Act shall be a Tier 1 Participant. Such a Participant shall be eligible to receive the Severance Benefits described in this </w:t>
      </w:r>
      <w:r>
        <w:rPr>
          <w:rFonts w:ascii="Arial" w:cs="Arial" w:eastAsia="Arial" w:hAnsi="Arial"/>
          <w:sz w:val="18"/>
          <w:szCs w:val="18"/>
          <w:u w:val="single" w:color="auto"/>
          <w:color w:val="auto"/>
        </w:rPr>
        <w:t>Appendix A-1</w:t>
      </w:r>
      <w:r>
        <w:rPr>
          <w:rFonts w:ascii="Arial" w:cs="Arial" w:eastAsia="Arial" w:hAnsi="Arial"/>
          <w:sz w:val="18"/>
          <w:szCs w:val="18"/>
          <w:color w:val="auto"/>
        </w:rPr>
        <w:t>.</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Severance Benefits:</w:t>
      </w:r>
    </w:p>
    <w:p>
      <w:pPr>
        <w:spacing w:after="0" w:line="217" w:lineRule="exact"/>
        <w:rPr>
          <w:sz w:val="20"/>
          <w:szCs w:val="20"/>
          <w:color w:val="auto"/>
        </w:rPr>
      </w:pPr>
    </w:p>
    <w:p>
      <w:pPr>
        <w:ind w:left="1660" w:hanging="382"/>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Cash Severance Payment</w:t>
      </w:r>
      <w:r>
        <w:rPr>
          <w:rFonts w:ascii="Arial" w:cs="Arial" w:eastAsia="Arial" w:hAnsi="Arial"/>
          <w:sz w:val="15"/>
          <w:szCs w:val="15"/>
          <w:color w:val="auto"/>
        </w:rPr>
        <w:t>. A Participant shall receive a severance payment equal to the Participant’s Base Pay multiplied by 24 months.</w:t>
      </w:r>
    </w:p>
    <w:p>
      <w:pPr>
        <w:spacing w:after="0" w:line="251" w:lineRule="exact"/>
        <w:rPr>
          <w:rFonts w:ascii="Arial" w:cs="Arial" w:eastAsia="Arial" w:hAnsi="Arial"/>
          <w:sz w:val="15"/>
          <w:szCs w:val="15"/>
          <w:color w:val="auto"/>
        </w:rPr>
      </w:pPr>
    </w:p>
    <w:p>
      <w:pPr>
        <w:ind w:left="640" w:firstLine="638"/>
        <w:spacing w:after="0" w:line="264" w:lineRule="auto"/>
        <w:tabs>
          <w:tab w:leader="none" w:pos="165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Earned Yet Unpaid Incentive Payments</w:t>
      </w:r>
      <w:r>
        <w:rPr>
          <w:rFonts w:ascii="Arial" w:cs="Arial" w:eastAsia="Arial" w:hAnsi="Arial"/>
          <w:sz w:val="18"/>
          <w:szCs w:val="18"/>
          <w:color w:val="auto"/>
        </w:rPr>
        <w:t>. A Participant shall receive payment for any incentive that was earned through a prior incentive cycle but has not yet been paid.</w:t>
      </w:r>
    </w:p>
    <w:p>
      <w:pPr>
        <w:spacing w:after="0" w:line="180" w:lineRule="exact"/>
        <w:rPr>
          <w:rFonts w:ascii="Arial" w:cs="Arial" w:eastAsia="Arial" w:hAnsi="Arial"/>
          <w:sz w:val="18"/>
          <w:szCs w:val="18"/>
          <w:color w:val="auto"/>
        </w:rPr>
      </w:pPr>
    </w:p>
    <w:p>
      <w:pPr>
        <w:ind w:left="640" w:right="40" w:firstLine="638"/>
        <w:spacing w:after="0" w:line="250" w:lineRule="auto"/>
        <w:tabs>
          <w:tab w:leader="none" w:pos="164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Prorated Incentive Payments</w:t>
      </w:r>
      <w:r>
        <w:rPr>
          <w:rFonts w:ascii="Arial" w:cs="Arial" w:eastAsia="Arial" w:hAnsi="Arial"/>
          <w:sz w:val="18"/>
          <w:szCs w:val="18"/>
          <w:color w:val="auto"/>
        </w:rPr>
        <w:t>. A Participant shall receive a pro-rata portion of an incentive for the incentive cycle in which the Participant’s date of termination occurs. Such proration shall assume target performance and shall be based on the following formula: a fraction with a numerator equal to the total number of calendar days from the first day of the incentive cycle through and including the Participant’s termination of employment and a denominator equal to the total number of calendar days from the first day of the incentive cycle through and including the last day of the incentive cycle.</w:t>
      </w:r>
    </w:p>
    <w:p>
      <w:pPr>
        <w:spacing w:after="0" w:line="193" w:lineRule="exact"/>
        <w:rPr>
          <w:rFonts w:ascii="Arial" w:cs="Arial" w:eastAsia="Arial" w:hAnsi="Arial"/>
          <w:sz w:val="18"/>
          <w:szCs w:val="18"/>
          <w:color w:val="auto"/>
        </w:rPr>
      </w:pPr>
    </w:p>
    <w:p>
      <w:pPr>
        <w:ind w:left="640" w:right="20" w:firstLine="638"/>
        <w:spacing w:after="0" w:line="264" w:lineRule="auto"/>
        <w:tabs>
          <w:tab w:leader="none" w:pos="165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xml:space="preserve">. Equity awards granted by the Company prior to September 4, 2019 shall be treated as described in </w:t>
      </w:r>
      <w:r>
        <w:rPr>
          <w:rFonts w:ascii="Arial" w:cs="Arial" w:eastAsia="Arial" w:hAnsi="Arial"/>
          <w:sz w:val="18"/>
          <w:szCs w:val="18"/>
          <w:u w:val="single" w:color="auto"/>
          <w:color w:val="auto"/>
        </w:rPr>
        <w:t>Appendix B</w:t>
      </w:r>
      <w:r>
        <w:rPr>
          <w:rFonts w:ascii="Arial" w:cs="Arial" w:eastAsia="Arial" w:hAnsi="Arial"/>
          <w:sz w:val="18"/>
          <w:szCs w:val="18"/>
          <w:color w:val="auto"/>
        </w:rPr>
        <w:t>. Equity awards granted on or following September 4, 2019 shall be treated as follows:</w:t>
      </w:r>
    </w:p>
    <w:p>
      <w:pPr>
        <w:spacing w:after="0" w:line="180" w:lineRule="exact"/>
        <w:rPr>
          <w:rFonts w:ascii="Arial" w:cs="Arial" w:eastAsia="Arial" w:hAnsi="Arial"/>
          <w:sz w:val="18"/>
          <w:szCs w:val="18"/>
          <w:color w:val="auto"/>
        </w:rPr>
      </w:pPr>
    </w:p>
    <w:p>
      <w:pPr>
        <w:ind w:left="1280" w:firstLine="634"/>
        <w:spacing w:after="0" w:line="264" w:lineRule="auto"/>
        <w:tabs>
          <w:tab w:leader="none" w:pos="2259"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 equity awards that are only subject to time-based vesting, a prorated portion of the award will vest and become exercisable or payable, as applicable, based on the following formula:</w:t>
      </w:r>
    </w:p>
    <w:p>
      <w:pPr>
        <w:spacing w:after="0" w:line="181" w:lineRule="exact"/>
        <w:rPr>
          <w:sz w:val="20"/>
          <w:szCs w:val="20"/>
          <w:color w:val="auto"/>
        </w:rPr>
      </w:pPr>
    </w:p>
    <w:p>
      <w:pPr>
        <w:ind w:left="1280" w:firstLine="634"/>
        <w:spacing w:after="0" w:line="268" w:lineRule="auto"/>
        <w:tabs>
          <w:tab w:leader="none" w:pos="2205"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(x) a fraction with a numerator equal to the total number of calendar days from the grant date of the award through and including the Participant’s termination of employment and a denominator equal to the total number of calendar days from the grant date of the award through and including the last scheduled vesting date applicable to the award </w:t>
      </w:r>
      <w:r>
        <w:rPr>
          <w:rFonts w:ascii="Arial" w:cs="Arial" w:eastAsia="Arial" w:hAnsi="Arial"/>
          <w:sz w:val="17"/>
          <w:szCs w:val="17"/>
          <w:b w:val="1"/>
          <w:bCs w:val="1"/>
          <w:i w:val="1"/>
          <w:iCs w:val="1"/>
          <w:u w:val="single" w:color="auto"/>
          <w:color w:val="auto"/>
        </w:rPr>
        <w:t>multiplied b</w:t>
      </w:r>
      <w:r>
        <w:rPr>
          <w:rFonts w:ascii="Arial" w:cs="Arial" w:eastAsia="Arial" w:hAnsi="Arial"/>
          <w:sz w:val="17"/>
          <w:szCs w:val="17"/>
          <w:b w:val="1"/>
          <w:bCs w:val="1"/>
          <w:u w:val="single" w:color="auto"/>
          <w:color w:val="auto"/>
        </w:rPr>
        <w:t>y</w:t>
      </w:r>
      <w:r>
        <w:rPr>
          <w:rFonts w:ascii="Arial" w:cs="Arial" w:eastAsia="Arial" w:hAnsi="Arial"/>
          <w:sz w:val="17"/>
          <w:szCs w:val="17"/>
          <w:color w:val="auto"/>
        </w:rPr>
        <w:t xml:space="preserve"> (y) the total number of shares of common stock of the Company originally subject to the award (subject to adjustment as provided in the Plan, if applicable, but before taking into account any crediting (if applicable) of dividend equivalent rights); </w:t>
      </w:r>
      <w:r>
        <w:rPr>
          <w:rFonts w:ascii="Arial" w:cs="Arial" w:eastAsia="Arial" w:hAnsi="Arial"/>
          <w:sz w:val="17"/>
          <w:szCs w:val="17"/>
          <w:b w:val="1"/>
          <w:bCs w:val="1"/>
          <w:i w:val="1"/>
          <w:iCs w:val="1"/>
          <w:u w:val="single" w:color="auto"/>
          <w:color w:val="auto"/>
        </w:rPr>
        <w:t>minus</w:t>
      </w:r>
    </w:p>
    <w:p>
      <w:pPr>
        <w:spacing w:after="0" w:line="180" w:lineRule="exact"/>
        <w:rPr>
          <w:rFonts w:ascii="Arial" w:cs="Arial" w:eastAsia="Arial" w:hAnsi="Arial"/>
          <w:sz w:val="17"/>
          <w:szCs w:val="17"/>
          <w:color w:val="auto"/>
        </w:rPr>
      </w:pPr>
    </w:p>
    <w:p>
      <w:pPr>
        <w:jc w:val="both"/>
        <w:ind w:left="1280" w:right="500" w:firstLine="634"/>
        <w:spacing w:after="0" w:line="330" w:lineRule="auto"/>
        <w:tabs>
          <w:tab w:leader="none" w:pos="2196"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number of shares of common stock of the Company that have already vested or have already become exercisable, as applicable on or prior to the Participant’s termination of employment (before taking the acceleration contemplated by this section into account and before taking into account any crediting (if applicable) of dividend equivalent rights).</w:t>
      </w:r>
    </w:p>
    <w:p>
      <w:pPr>
        <w:spacing w:after="0" w:line="13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Any credited dividend equivalent rights will also become proportionately vested.</w:t>
      </w:r>
    </w:p>
    <w:p>
      <w:pPr>
        <w:spacing w:after="0" w:line="217" w:lineRule="exact"/>
        <w:rPr>
          <w:sz w:val="20"/>
          <w:szCs w:val="20"/>
          <w:color w:val="auto"/>
        </w:rPr>
      </w:pPr>
    </w:p>
    <w:p>
      <w:pPr>
        <w:ind w:left="1280" w:right="200" w:firstLine="634"/>
        <w:spacing w:after="0" w:line="294" w:lineRule="auto"/>
        <w:tabs>
          <w:tab w:leader="none" w:pos="23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For equity awards that are subject to performance-based vesting, the award shall be payable in accordance with the original schedule set forth in the applicable award agreement, with no acceleration, and the award will vest as follows:</w:t>
      </w:r>
    </w:p>
    <w:p>
      <w:pPr>
        <w:spacing w:after="0" w:line="157" w:lineRule="exact"/>
        <w:rPr>
          <w:sz w:val="20"/>
          <w:szCs w:val="20"/>
          <w:color w:val="auto"/>
        </w:rPr>
      </w:pPr>
    </w:p>
    <w:p>
      <w:pPr>
        <w:ind w:left="1280" w:right="120" w:firstLine="634"/>
        <w:spacing w:after="0" w:line="250" w:lineRule="auto"/>
        <w:tabs>
          <w:tab w:leader="none" w:pos="23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any such award for which the applicable performance period has not ended as of the date of the Participant’s termination of employment, the award will remain outstanding and vest, if at all, based on the actual achievement of the applicable performance goal(s) (with the number of shares vesting determined before taking the crediting of (if applicable) dividend equivalent rights into account) provided that the number of shares of common stock that becomes vested, if any, will be prorated based on the length of employment during the applicable</w:t>
      </w:r>
    </w:p>
    <w:p>
      <w:pPr>
        <w:sectPr>
          <w:pgSz w:w="11900" w:h="16838" w:orient="portrait"/>
          <w:cols w:equalWidth="0" w:num="1">
            <w:col w:w="11220"/>
          </w:cols>
          <w:pgMar w:left="320" w:top="1393" w:right="359" w:bottom="1440" w:gutter="0" w:footer="0" w:header="0"/>
        </w:sectPr>
      </w:pPr>
    </w:p>
    <w:bookmarkStart w:id="138" w:name="page139"/>
    <w:bookmarkEnd w:id="138"/>
    <w:p>
      <w:pPr>
        <w:spacing w:after="0" w:line="172" w:lineRule="exact"/>
        <w:rPr>
          <w:sz w:val="20"/>
          <w:szCs w:val="20"/>
          <w:color w:val="auto"/>
        </w:rPr>
      </w:pPr>
    </w:p>
    <w:p>
      <w:pPr>
        <w:ind w:left="1280" w:right="840"/>
        <w:spacing w:after="0" w:line="264" w:lineRule="auto"/>
        <w:rPr>
          <w:sz w:val="20"/>
          <w:szCs w:val="20"/>
          <w:color w:val="auto"/>
        </w:rPr>
      </w:pPr>
      <w:r>
        <w:rPr>
          <w:rFonts w:ascii="Arial" w:cs="Arial" w:eastAsia="Arial" w:hAnsi="Arial"/>
          <w:sz w:val="18"/>
          <w:szCs w:val="18"/>
          <w:color w:val="auto"/>
        </w:rPr>
        <w:t>performance period. Any credited dividend equivalent rights will also remain outstanding and eligible to vest based on the actual achievement of the applicable performance goal(s).</w:t>
      </w:r>
    </w:p>
    <w:p>
      <w:pPr>
        <w:spacing w:after="0" w:line="181" w:lineRule="exact"/>
        <w:rPr>
          <w:sz w:val="20"/>
          <w:szCs w:val="20"/>
          <w:color w:val="auto"/>
        </w:rPr>
      </w:pPr>
    </w:p>
    <w:p>
      <w:pPr>
        <w:ind w:left="1280" w:right="200" w:firstLine="636"/>
        <w:spacing w:after="0" w:line="255" w:lineRule="auto"/>
        <w:rPr>
          <w:sz w:val="20"/>
          <w:szCs w:val="20"/>
          <w:color w:val="auto"/>
        </w:rPr>
      </w:pPr>
      <w:r>
        <w:rPr>
          <w:rFonts w:ascii="Arial" w:cs="Arial" w:eastAsia="Arial" w:hAnsi="Arial"/>
          <w:sz w:val="18"/>
          <w:szCs w:val="18"/>
          <w:color w:val="auto"/>
        </w:rPr>
        <w:t>The prorated portion is a fraction with a numerator equal to the total number of calendar days from the first day of the applicable performance period through and including the Participant’s termination of employment and a denominator equal to the total number of calendar days in the applicable performance period.</w:t>
      </w:r>
    </w:p>
    <w:p>
      <w:pPr>
        <w:spacing w:after="0" w:line="188" w:lineRule="exact"/>
        <w:rPr>
          <w:sz w:val="20"/>
          <w:szCs w:val="20"/>
          <w:color w:val="auto"/>
        </w:rPr>
      </w:pPr>
    </w:p>
    <w:p>
      <w:pPr>
        <w:ind w:left="1280" w:right="400" w:firstLine="634"/>
        <w:spacing w:after="0" w:line="365" w:lineRule="auto"/>
        <w:tabs>
          <w:tab w:leader="none" w:pos="2325" w:val="left"/>
        </w:tabs>
        <w:numPr>
          <w:ilvl w:val="0"/>
          <w:numId w:val="67"/>
        </w:numPr>
        <w:rPr>
          <w:rFonts w:ascii="Arial" w:cs="Arial" w:eastAsia="Arial" w:hAnsi="Arial"/>
          <w:sz w:val="15"/>
          <w:szCs w:val="15"/>
          <w:color w:val="auto"/>
        </w:rPr>
      </w:pPr>
      <w:r>
        <w:rPr>
          <w:rFonts w:ascii="Arial" w:cs="Arial" w:eastAsia="Arial" w:hAnsi="Arial"/>
          <w:sz w:val="15"/>
          <w:szCs w:val="15"/>
          <w:color w:val="auto"/>
        </w:rPr>
        <w:t>With respect to any such award for which the applicable performance period has ended as of the date of the Participant’s termination of employment, vesting shall be based on the actual achievement of the applicable performance goal(s).</w:t>
      </w:r>
    </w:p>
    <w:p>
      <w:pPr>
        <w:spacing w:after="0" w:line="111" w:lineRule="exact"/>
        <w:rPr>
          <w:sz w:val="20"/>
          <w:szCs w:val="20"/>
          <w:color w:val="auto"/>
        </w:rPr>
      </w:pPr>
    </w:p>
    <w:p>
      <w:pPr>
        <w:ind w:left="640" w:firstLine="636"/>
        <w:spacing w:after="0" w:line="330" w:lineRule="auto"/>
        <w:rPr>
          <w:sz w:val="20"/>
          <w:szCs w:val="20"/>
          <w:color w:val="auto"/>
        </w:rPr>
      </w:pPr>
      <w:r>
        <w:rPr>
          <w:rFonts w:ascii="Arial" w:cs="Arial" w:eastAsia="Arial" w:hAnsi="Arial"/>
          <w:sz w:val="15"/>
          <w:szCs w:val="15"/>
          <w:color w:val="auto"/>
        </w:rPr>
        <w:t>The post-termination settlement and exercisability, as applicable, of such equity awards, as well any payments made in connection with such equity awards, shall be governed by the applicable stock incentive plan, as amended from time to time, and/or award agreement. In the event of a conflict regarding equity award treatment between an applicable award agreement and the Plan, the award agreement controls.</w:t>
      </w:r>
    </w:p>
    <w:p>
      <w:pPr>
        <w:spacing w:after="0" w:line="137" w:lineRule="exact"/>
        <w:rPr>
          <w:sz w:val="20"/>
          <w:szCs w:val="20"/>
          <w:color w:val="auto"/>
        </w:rPr>
      </w:pPr>
    </w:p>
    <w:p>
      <w:pPr>
        <w:ind w:left="640" w:right="120" w:firstLine="638"/>
        <w:spacing w:after="0" w:line="255" w:lineRule="auto"/>
        <w:tabs>
          <w:tab w:leader="none" w:pos="164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A Participant who is a U.S. Eligible Employee as of the date of such Participant’s termination of employment shall be eligible for outplacement services for up to 12 months following the Participant’s termination of employment. Such services shall be provided by a vendor chosen by the Employer in its sole discretion.</w:t>
      </w:r>
    </w:p>
    <w:p>
      <w:pPr>
        <w:spacing w:after="0" w:line="188" w:lineRule="exact"/>
        <w:rPr>
          <w:rFonts w:ascii="Arial" w:cs="Arial" w:eastAsia="Arial" w:hAnsi="Arial"/>
          <w:sz w:val="18"/>
          <w:szCs w:val="18"/>
          <w:color w:val="auto"/>
        </w:rPr>
      </w:pPr>
    </w:p>
    <w:p>
      <w:pPr>
        <w:ind w:left="640" w:firstLine="638"/>
        <w:spacing w:after="0" w:line="265" w:lineRule="auto"/>
        <w:tabs>
          <w:tab w:leader="none" w:pos="1629"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COBRA Premium Payment</w:t>
      </w:r>
      <w:r>
        <w:rPr>
          <w:rFonts w:ascii="Arial" w:cs="Arial" w:eastAsia="Arial" w:hAnsi="Arial"/>
          <w:sz w:val="17"/>
          <w:szCs w:val="17"/>
          <w:color w:val="auto"/>
        </w:rPr>
        <w:t>. With respect to a Participant who is a U.S. Eligible Employee as of the date of such Participant’s termination of employment, the Employer shall pay to the Participant a cash payment in an amount equal to the applicable COBRA premium payments (as reasonably determined by the Administrator) that would be payable by the Participant to continue the Participant’s company-provided medical, dental, and/or vision coverage existing as of the Participant’s termination date for a period of 18 months following such Participant’s termination of employment. 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Payment Timing</w:t>
      </w:r>
      <w:r>
        <w:rPr>
          <w:rFonts w:ascii="Arial" w:cs="Arial" w:eastAsia="Arial" w:hAnsi="Arial"/>
          <w:sz w:val="16"/>
          <w:szCs w:val="16"/>
          <w:color w:val="auto"/>
        </w:rPr>
        <w:t>. Subject to Section 4.3 of the Plan, the payments set forth in Section 1.1 (a), (b), (c) and (f) shall be paid to the Participant in a single lump sum cash payment, subject to applicable tax withholding, no later than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date on which the Release becomes effective; provided, that if the period during which the payment of such Severance Benefits can be initiated commences in one taxable year and ends in a second taxable year, such payment shall be made in the second taxable year to the extent required to avoid any tax, interest or penalties under Code Section 409A.</w:t>
      </w: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Participants who are Not U.S. Eligible Employee</w:t>
      </w:r>
      <w:r>
        <w:rPr>
          <w:rFonts w:ascii="Arial" w:cs="Arial" w:eastAsia="Arial" w:hAnsi="Arial"/>
          <w:sz w:val="17"/>
          <w:szCs w:val="17"/>
          <w:color w:val="auto"/>
        </w:rPr>
        <w:t>. The Administrator delegates to the Company’s Chief Human Resources Officer (or equivalent role or any other person the Administrator deems appropriate) the duties of the Administrator set forth in Section 1.3(a) and Section 1.3(b). If a Participant who is not a U.S. Eligible Employee is eligible to receive payments or benefits upon a termination of employment under any applicable local law or Employer policy (“</w:t>
      </w:r>
      <w:r>
        <w:rPr>
          <w:rFonts w:ascii="Arial" w:cs="Arial" w:eastAsia="Arial" w:hAnsi="Arial"/>
          <w:sz w:val="17"/>
          <w:szCs w:val="17"/>
          <w:u w:val="single" w:color="auto"/>
          <w:color w:val="auto"/>
        </w:rPr>
        <w:t>Local Severance</w:t>
      </w:r>
      <w:r>
        <w:rPr>
          <w:rFonts w:ascii="Arial" w:cs="Arial" w:eastAsia="Arial" w:hAnsi="Arial"/>
          <w:sz w:val="17"/>
          <w:szCs w:val="17"/>
          <w:color w:val="auto"/>
        </w:rPr>
        <w:t>”), then the payments and benefits described in this appendix shall be modified as follows:</w:t>
      </w:r>
    </w:p>
    <w:p>
      <w:pPr>
        <w:spacing w:after="0" w:line="204" w:lineRule="exact"/>
        <w:rPr>
          <w:sz w:val="20"/>
          <w:szCs w:val="20"/>
          <w:color w:val="auto"/>
        </w:rPr>
      </w:pPr>
    </w:p>
    <w:p>
      <w:pPr>
        <w:ind w:left="640" w:right="60" w:firstLine="638"/>
        <w:spacing w:after="0" w:line="271" w:lineRule="auto"/>
        <w:tabs>
          <w:tab w:leader="none" w:pos="164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Benefit Comparison</w:t>
      </w:r>
      <w:r>
        <w:rPr>
          <w:rFonts w:ascii="Arial" w:cs="Arial" w:eastAsia="Arial" w:hAnsi="Arial"/>
          <w:sz w:val="17"/>
          <w:szCs w:val="17"/>
          <w:color w:val="auto"/>
        </w:rPr>
        <w:t>. The Administrator shall compare the payments and benefits payable to the Participant under the Local Severance (excluding the value of any equity awards that accelerate in connection with the Participant’s termination of employment) (the “</w:t>
      </w:r>
      <w:r>
        <w:rPr>
          <w:rFonts w:ascii="Arial" w:cs="Arial" w:eastAsia="Arial" w:hAnsi="Arial"/>
          <w:sz w:val="17"/>
          <w:szCs w:val="17"/>
          <w:u w:val="single" w:color="auto"/>
          <w:color w:val="auto"/>
        </w:rPr>
        <w:t>Local Severance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Benefits</w:t>
      </w:r>
      <w:r>
        <w:rPr>
          <w:rFonts w:ascii="Arial" w:cs="Arial" w:eastAsia="Arial" w:hAnsi="Arial"/>
          <w:sz w:val="17"/>
          <w:szCs w:val="17"/>
          <w:color w:val="auto"/>
        </w:rPr>
        <w:t>”) with the payments and benefits set forth in Section 1.1 of this appendix applicable to the Participant (the “</w:t>
      </w:r>
      <w:r>
        <w:rPr>
          <w:rFonts w:ascii="Arial" w:cs="Arial" w:eastAsia="Arial" w:hAnsi="Arial"/>
          <w:sz w:val="17"/>
          <w:szCs w:val="17"/>
          <w:u w:val="single" w:color="auto"/>
          <w:color w:val="auto"/>
        </w:rPr>
        <w:t>Plan Severance Benefits</w:t>
      </w:r>
      <w:r>
        <w:rPr>
          <w:rFonts w:ascii="Arial" w:cs="Arial" w:eastAsia="Arial" w:hAnsi="Arial"/>
          <w:sz w:val="17"/>
          <w:szCs w:val="17"/>
          <w:color w:val="auto"/>
        </w:rPr>
        <w:t>”). The Administrator has sole discretion to determine the calculation of the Local Severance Benefits.</w:t>
      </w:r>
    </w:p>
    <w:p>
      <w:pPr>
        <w:sectPr>
          <w:pgSz w:w="11900" w:h="16838" w:orient="portrait"/>
          <w:cols w:equalWidth="0" w:num="1">
            <w:col w:w="11220"/>
          </w:cols>
          <w:pgMar w:left="320" w:top="1440" w:right="359" w:bottom="1440" w:gutter="0" w:footer="0" w:header="0"/>
        </w:sectPr>
      </w:pPr>
    </w:p>
    <w:bookmarkStart w:id="139" w:name="page140"/>
    <w:bookmarkEnd w:id="139"/>
    <w:p>
      <w:pPr>
        <w:ind w:right="80" w:firstLine="638"/>
        <w:spacing w:after="0" w:line="298" w:lineRule="auto"/>
        <w:tabs>
          <w:tab w:leader="none" w:pos="1018"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Benefit Calculation</w:t>
      </w:r>
      <w:r>
        <w:rPr>
          <w:rFonts w:ascii="Arial" w:cs="Arial" w:eastAsia="Arial" w:hAnsi="Arial"/>
          <w:sz w:val="15"/>
          <w:szCs w:val="15"/>
          <w:color w:val="auto"/>
        </w:rPr>
        <w:t>. In the event the value of the Local Severance Benefits equals or exceeds the Plan Severance Benefits, as determined by the Administrator in its sole discretion, then the Participant shall not be eligible to receive any portion of the Plan Severance Benefits. In the event the value of the Local Severance Benefits is less than the value of the Plan Severance Benefits, as determined by the Administrator in its sole discretion, then the Participant shall receive the Plan Severance Benefits (excluding the benefits set forth in 1.1(e) (outplacement services) and</w:t>
      </w:r>
    </w:p>
    <w:p>
      <w:pPr>
        <w:spacing w:after="0" w:line="2" w:lineRule="exact"/>
        <w:rPr>
          <w:rFonts w:ascii="Arial" w:cs="Arial" w:eastAsia="Arial" w:hAnsi="Arial"/>
          <w:sz w:val="15"/>
          <w:szCs w:val="15"/>
          <w:color w:val="auto"/>
        </w:rPr>
      </w:pPr>
    </w:p>
    <w:p>
      <w:pPr>
        <w:spacing w:after="0" w:line="349" w:lineRule="auto"/>
        <w:rPr>
          <w:rFonts w:ascii="Arial" w:cs="Arial" w:eastAsia="Arial" w:hAnsi="Arial"/>
          <w:sz w:val="15"/>
          <w:szCs w:val="15"/>
          <w:color w:val="auto"/>
        </w:rPr>
      </w:pPr>
      <w:r>
        <w:rPr>
          <w:rFonts w:ascii="Arial" w:cs="Arial" w:eastAsia="Arial" w:hAnsi="Arial"/>
          <w:sz w:val="15"/>
          <w:szCs w:val="15"/>
          <w:color w:val="auto"/>
        </w:rPr>
        <w:t>1.1(f) (COBRA premium payments) in this Appendix) in place of any Local Severance Benefits. In the event a Participant is eligible to receive a cash payment under this Section 1.3(b), then references in the Plan to “Severance Benefits” shall be deemed to refer to such cash payment.</w:t>
      </w:r>
    </w:p>
    <w:p>
      <w:pPr>
        <w:spacing w:after="0" w:line="149" w:lineRule="exact"/>
        <w:rPr>
          <w:rFonts w:ascii="Arial" w:cs="Arial" w:eastAsia="Arial" w:hAnsi="Arial"/>
          <w:sz w:val="15"/>
          <w:szCs w:val="15"/>
          <w:color w:val="auto"/>
        </w:rPr>
      </w:pPr>
    </w:p>
    <w:p>
      <w:pPr>
        <w:ind w:right="100" w:firstLine="638"/>
        <w:spacing w:after="0" w:line="253" w:lineRule="auto"/>
        <w:tabs>
          <w:tab w:leader="none" w:pos="1008"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Payment Timing</w:t>
      </w:r>
      <w:r>
        <w:rPr>
          <w:rFonts w:ascii="Arial" w:cs="Arial" w:eastAsia="Arial" w:hAnsi="Arial"/>
          <w:sz w:val="17"/>
          <w:szCs w:val="17"/>
          <w:color w:val="auto"/>
        </w:rPr>
        <w:t>. In the event a Participant is eligible to receive a cash payment under the immediately preceding Section 1.3(b), then such payment shall be paid to the Participant in a single lump sum cash payment no later than the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the Release becomes effective, subject to applicable tax withholding, local timing rules and subject to Section 4.3; provided, that if the period during which such payment can be made begins in one taxable year and ends in a second taxable year, such payment shall be made in the second taxable year to the extent required to avoid any tax, interest or penalties under Code Section 409A.</w:t>
      </w:r>
    </w:p>
    <w:p>
      <w:pPr>
        <w:spacing w:after="0" w:line="219" w:lineRule="exact"/>
        <w:rPr>
          <w:rFonts w:ascii="Arial" w:cs="Arial" w:eastAsia="Arial" w:hAnsi="Arial"/>
          <w:sz w:val="17"/>
          <w:szCs w:val="17"/>
          <w:color w:val="auto"/>
        </w:rPr>
      </w:pPr>
    </w:p>
    <w:p>
      <w:pPr>
        <w:ind w:right="140" w:firstLine="638"/>
        <w:spacing w:after="0" w:line="255" w:lineRule="auto"/>
        <w:tabs>
          <w:tab w:leader="none" w:pos="101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Retirement-Eligible Vesting</w:t>
      </w:r>
      <w:r>
        <w:rPr>
          <w:rFonts w:ascii="Arial" w:cs="Arial" w:eastAsia="Arial" w:hAnsi="Arial"/>
          <w:sz w:val="18"/>
          <w:szCs w:val="18"/>
          <w:color w:val="auto"/>
        </w:rPr>
        <w:t>. Notwithstanding any provision of this Section 1.3 to the contrary, non-U.S. Eligible Employees who: (a) are retirement-eligible; and (b) receive Local Severance Benefits shall also receive retirement vesting on their applicable equity awards pursuant to the applicable stock incentive plans and/or award agreements governing such equity awards.</w:t>
      </w:r>
    </w:p>
    <w:p>
      <w:pPr>
        <w:sectPr>
          <w:pgSz w:w="11900" w:h="16838" w:orient="portrait"/>
          <w:cols w:equalWidth="0" w:num="1">
            <w:col w:w="10600"/>
          </w:cols>
          <w:pgMar w:left="960" w:top="1399" w:right="339" w:bottom="1440" w:gutter="0" w:footer="0" w:header="0"/>
        </w:sectPr>
      </w:pPr>
    </w:p>
    <w:bookmarkStart w:id="140" w:name="page141"/>
    <w:bookmarkEnd w:id="140"/>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Appendix A-2</w:t>
      </w:r>
    </w:p>
    <w:p>
      <w:pPr>
        <w:spacing w:after="0" w:line="2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Participant with a title of Senior Vice President (or its equivalent in the internal records of the Employer) shall be a Tier 2 Participant, and a Participant with a title of Vice President (or its equivalent in the internal records of the Employer) shall be a Tier 3 Participant.</w:t>
      </w:r>
    </w:p>
    <w:p>
      <w:pPr>
        <w:spacing w:after="0" w:line="20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Such Participants are subject to all the terms, and are eligible to receive all the Severance Benefits, described in </w:t>
      </w:r>
      <w:r>
        <w:rPr>
          <w:rFonts w:ascii="Arial" w:cs="Arial" w:eastAsia="Arial" w:hAnsi="Arial"/>
          <w:sz w:val="18"/>
          <w:szCs w:val="18"/>
          <w:u w:val="single" w:color="auto"/>
          <w:color w:val="auto"/>
        </w:rPr>
        <w:t>Appendix A-1</w:t>
      </w:r>
      <w:r>
        <w:rPr>
          <w:rFonts w:ascii="Arial" w:cs="Arial" w:eastAsia="Arial" w:hAnsi="Arial"/>
          <w:sz w:val="18"/>
          <w:szCs w:val="18"/>
          <w:color w:val="auto"/>
        </w:rPr>
        <w:t xml:space="preserve"> above, subject to the changes set forth below.</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80" w:type="dxa"/>
            <w:vAlign w:val="bottom"/>
            <w:tcBorders>
              <w:top w:val="single" w:sz="8" w:color="auto"/>
              <w:left w:val="single" w:sz="8" w:color="auto"/>
            </w:tcBorders>
          </w:tcPr>
          <w:p>
            <w:pPr>
              <w:spacing w:after="0"/>
              <w:rPr>
                <w:sz w:val="18"/>
                <w:szCs w:val="18"/>
                <w:color w:val="auto"/>
              </w:rPr>
            </w:pPr>
          </w:p>
        </w:tc>
        <w:tc>
          <w:tcPr>
            <w:tcW w:w="36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Provision</w:t>
            </w:r>
          </w:p>
        </w:tc>
        <w:tc>
          <w:tcPr>
            <w:tcW w:w="376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Tier 2 Participants</w:t>
            </w:r>
          </w:p>
        </w:tc>
        <w:tc>
          <w:tcPr>
            <w:tcW w:w="60" w:type="dxa"/>
            <w:vAlign w:val="bottom"/>
            <w:tcBorders>
              <w:top w:val="single" w:sz="8" w:color="auto"/>
            </w:tcBorders>
          </w:tcPr>
          <w:p>
            <w:pPr>
              <w:spacing w:after="0"/>
              <w:rPr>
                <w:sz w:val="18"/>
                <w:szCs w:val="18"/>
                <w:color w:val="auto"/>
              </w:rPr>
            </w:pPr>
          </w:p>
        </w:tc>
        <w:tc>
          <w:tcPr>
            <w:tcW w:w="36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Tier 3 Participants</w:t>
            </w:r>
          </w:p>
        </w:tc>
      </w:tr>
      <w:tr>
        <w:trPr>
          <w:trHeight w:val="46"/>
        </w:trPr>
        <w:tc>
          <w:tcPr>
            <w:tcW w:w="80" w:type="dxa"/>
            <w:vAlign w:val="bottom"/>
            <w:tcBorders>
              <w:left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3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Section 1.1(a) Cash Severance Payment</w:t>
            </w:r>
          </w:p>
        </w:tc>
        <w:tc>
          <w:tcPr>
            <w:tcW w:w="3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A Participant shall receive a severance payment</w:t>
            </w:r>
          </w:p>
        </w:tc>
        <w:tc>
          <w:tcPr>
            <w:tcW w:w="60" w:type="dxa"/>
            <w:vAlign w:val="bottom"/>
          </w:tcPr>
          <w:p>
            <w:pPr>
              <w:spacing w:after="0"/>
              <w:rPr>
                <w:sz w:val="19"/>
                <w:szCs w:val="19"/>
                <w:color w:val="auto"/>
              </w:rPr>
            </w:pPr>
          </w:p>
        </w:tc>
        <w:tc>
          <w:tcPr>
            <w:tcW w:w="3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A Participant shall receive a severance payment</w:t>
            </w:r>
          </w:p>
        </w:tc>
      </w:tr>
      <w:tr>
        <w:trPr>
          <w:trHeight w:val="212"/>
        </w:trPr>
        <w:tc>
          <w:tcPr>
            <w:tcW w:w="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equal to the Participant’s Base Pay multiplied by</w:t>
            </w:r>
          </w:p>
        </w:tc>
        <w:tc>
          <w:tcPr>
            <w:tcW w:w="60" w:type="dxa"/>
            <w:vAlign w:val="bottom"/>
          </w:tcPr>
          <w:p>
            <w:pPr>
              <w:spacing w:after="0"/>
              <w:rPr>
                <w:sz w:val="18"/>
                <w:szCs w:val="18"/>
                <w:color w:val="auto"/>
              </w:rPr>
            </w:pPr>
          </w:p>
        </w:tc>
        <w:tc>
          <w:tcPr>
            <w:tcW w:w="3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equal to the Participant’s Base Pay multiplied by</w:t>
            </w:r>
          </w:p>
        </w:tc>
      </w:tr>
      <w:tr>
        <w:trPr>
          <w:trHeight w:val="223"/>
        </w:trPr>
        <w:tc>
          <w:tcPr>
            <w:tcW w:w="80" w:type="dxa"/>
            <w:vAlign w:val="bottom"/>
            <w:tcBorders>
              <w:lef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00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18 months</w:t>
            </w:r>
          </w:p>
        </w:tc>
        <w:tc>
          <w:tcPr>
            <w:tcW w:w="60" w:type="dxa"/>
            <w:vAlign w:val="bottom"/>
          </w:tcPr>
          <w:p>
            <w:pPr>
              <w:spacing w:after="0"/>
              <w:rPr>
                <w:sz w:val="19"/>
                <w:szCs w:val="19"/>
                <w:color w:val="auto"/>
              </w:rPr>
            </w:pPr>
          </w:p>
        </w:tc>
        <w:tc>
          <w:tcPr>
            <w:tcW w:w="3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12 months</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3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Section 1.1(f) COBRA Premium Payment</w:t>
            </w: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6"/>
              </w:rPr>
              <w:t>With respect to a Participant who is a U.S. Eligible Employee as of the date of such Participant’s</w:t>
            </w:r>
          </w:p>
        </w:tc>
      </w:tr>
      <w:tr>
        <w:trPr>
          <w:trHeight w:val="212"/>
        </w:trPr>
        <w:tc>
          <w:tcPr>
            <w:tcW w:w="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4"/>
              </w:rPr>
              <w:t>termination of employment, the Employer shall pay to the Participant a cash payment in an amount</w:t>
            </w:r>
          </w:p>
        </w:tc>
      </w:tr>
      <w:tr>
        <w:trPr>
          <w:trHeight w:val="212"/>
        </w:trPr>
        <w:tc>
          <w:tcPr>
            <w:tcW w:w="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2"/>
              </w:rPr>
              <w:t>equal to the applicable COBRA premium payments (as reasonably determined by the Administrator)</w:t>
            </w:r>
          </w:p>
        </w:tc>
      </w:tr>
      <w:tr>
        <w:trPr>
          <w:trHeight w:val="212"/>
        </w:trPr>
        <w:tc>
          <w:tcPr>
            <w:tcW w:w="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6"/>
              </w:rPr>
              <w:t>that would be payable by the Participant to continue the Participant’s company-provided medical,</w:t>
            </w:r>
          </w:p>
        </w:tc>
      </w:tr>
      <w:tr>
        <w:trPr>
          <w:trHeight w:val="212"/>
        </w:trPr>
        <w:tc>
          <w:tcPr>
            <w:tcW w:w="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89"/>
              </w:rPr>
              <w:t>dental, and/or vision coverage existing as of the Participant’s termination date for a period of 12 months</w:t>
            </w:r>
          </w:p>
        </w:tc>
      </w:tr>
      <w:tr>
        <w:trPr>
          <w:trHeight w:val="212"/>
        </w:trPr>
        <w:tc>
          <w:tcPr>
            <w:tcW w:w="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4"/>
              </w:rPr>
              <w:t>following such Participant’s termination of employment. For purposes of clarity, such cash payment</w:t>
            </w:r>
          </w:p>
        </w:tc>
      </w:tr>
      <w:tr>
        <w:trPr>
          <w:trHeight w:val="212"/>
        </w:trPr>
        <w:tc>
          <w:tcPr>
            <w:tcW w:w="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1"/>
              </w:rPr>
              <w:t>shall be made regardless of whether the Participant actually elects coverage under COBRA, and shall</w:t>
            </w:r>
          </w:p>
        </w:tc>
      </w:tr>
      <w:tr>
        <w:trPr>
          <w:trHeight w:val="212"/>
        </w:trPr>
        <w:tc>
          <w:tcPr>
            <w:tcW w:w="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1"/>
              </w:rPr>
              <w:t>be determined as of the Participant’s termination of employment and not impacted by, or adjusted for,</w:t>
            </w:r>
          </w:p>
        </w:tc>
      </w:tr>
      <w:tr>
        <w:trPr>
          <w:trHeight w:val="223"/>
        </w:trPr>
        <w:tc>
          <w:tcPr>
            <w:tcW w:w="80" w:type="dxa"/>
            <w:vAlign w:val="bottom"/>
            <w:tcBorders>
              <w:lef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00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w w:val="95"/>
              </w:rPr>
              <w:t>events occurring after such date (including, without limitation, changes in coverage or premiums).</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8"/>
          <w:szCs w:val="18"/>
          <w:b w:val="1"/>
          <w:bCs w:val="1"/>
          <w:u w:val="single" w:color="auto"/>
          <w:color w:val="auto"/>
        </w:rPr>
        <w:t>Appendix B</w:t>
      </w:r>
    </w:p>
    <w:p>
      <w:pPr>
        <w:spacing w:after="0" w:line="2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describes the treatment of equity awards granted to a Participant prior to September 4, 2019, subject to the terms and conditions set forth in the applicable stock incentive plan, as amended from time to time and/or award agreement. The settlement and exercisability, as applicable, of such equity awards, as well any payments made in connection with such equity awards, shall be governed by the applicable stock incentive plan, as amended from time to time and/or award agreement.</w:t>
      </w:r>
    </w:p>
    <w:p>
      <w:pPr>
        <w:spacing w:after="0" w:line="2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In the event of any conflict between the terms described in this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and the terms and conditions set forth in the applicable stock incentive plan, as amended from time to time and/or award agreement, the terms and conditions set forth in the applicable stock incentive plan, as amended from time to time and/or award agreement shall control. Notwithstanding the foregoing and for avoidance of doubt, if the applicable stock incentive plan, as amended from time to time and/or award agreement is silent, the language in this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shall apply.</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108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Date of</w:t>
            </w:r>
          </w:p>
        </w:tc>
        <w:tc>
          <w:tcPr>
            <w:tcW w:w="3140" w:type="dxa"/>
            <w:vAlign w:val="bottom"/>
            <w:tcBorders>
              <w:top w:val="single" w:sz="8" w:color="auto"/>
            </w:tcBorders>
          </w:tcPr>
          <w:p>
            <w:pPr>
              <w:spacing w:after="0"/>
              <w:rPr>
                <w:sz w:val="21"/>
                <w:szCs w:val="21"/>
                <w:color w:val="auto"/>
              </w:rPr>
            </w:pPr>
          </w:p>
        </w:tc>
        <w:tc>
          <w:tcPr>
            <w:tcW w:w="3820" w:type="dxa"/>
            <w:vAlign w:val="bottom"/>
            <w:tcBorders>
              <w:top w:val="single" w:sz="8" w:color="auto"/>
            </w:tcBorders>
            <w:gridSpan w:val="3"/>
          </w:tcPr>
          <w:p>
            <w:pPr>
              <w:ind w:left="1160"/>
              <w:spacing w:after="0"/>
              <w:rPr>
                <w:sz w:val="20"/>
                <w:szCs w:val="20"/>
                <w:color w:val="auto"/>
              </w:rPr>
            </w:pPr>
            <w:r>
              <w:rPr>
                <w:rFonts w:ascii="Arial" w:cs="Arial" w:eastAsia="Arial" w:hAnsi="Arial"/>
                <w:sz w:val="18"/>
                <w:szCs w:val="18"/>
                <w:color w:val="auto"/>
              </w:rPr>
              <w:t>Type of Equity Award</w:t>
            </w:r>
          </w:p>
        </w:tc>
        <w:tc>
          <w:tcPr>
            <w:tcW w:w="32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080" w:type="dxa"/>
            <w:vAlign w:val="bottom"/>
            <w:tcBorders>
              <w:left w:val="single" w:sz="8" w:color="auto"/>
              <w:right w:val="single" w:sz="8" w:color="auto"/>
            </w:tcBorders>
            <w:vMerge w:val="continue"/>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w:t>
            </w:r>
          </w:p>
        </w:tc>
        <w:tc>
          <w:tcPr>
            <w:tcW w:w="31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Stock Option</w:t>
            </w:r>
          </w:p>
        </w:tc>
        <w:tc>
          <w:tcPr>
            <w:tcW w:w="3820" w:type="dxa"/>
            <w:vAlign w:val="bottom"/>
            <w:tcBorders>
              <w:right w:val="single" w:sz="8" w:color="auto"/>
            </w:tcBorders>
            <w:gridSpan w:val="3"/>
          </w:tcPr>
          <w:p>
            <w:pPr>
              <w:ind w:left="1140"/>
              <w:spacing w:after="0"/>
              <w:rPr>
                <w:sz w:val="20"/>
                <w:szCs w:val="20"/>
                <w:color w:val="auto"/>
              </w:rPr>
            </w:pPr>
            <w:r>
              <w:rPr>
                <w:rFonts w:ascii="Arial" w:cs="Arial" w:eastAsia="Arial" w:hAnsi="Arial"/>
                <w:sz w:val="18"/>
                <w:szCs w:val="18"/>
                <w:color w:val="auto"/>
              </w:rPr>
              <w:t>Restricted Stock Unit</w:t>
            </w:r>
          </w:p>
        </w:tc>
        <w:tc>
          <w:tcPr>
            <w:tcW w:w="32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Performance Stock Unit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080" w:type="dxa"/>
            <w:vAlign w:val="bottom"/>
            <w:tcBorders>
              <w:left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Prior to</w:t>
            </w:r>
          </w:p>
        </w:tc>
        <w:tc>
          <w:tcPr>
            <w:tcW w:w="314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18"/>
                <w:szCs w:val="18"/>
                <w:color w:val="auto"/>
                <w:w w:val="99"/>
              </w:rPr>
              <w:t>If the Participant is not eligible to retire</w:t>
            </w:r>
          </w:p>
        </w:tc>
        <w:tc>
          <w:tcPr>
            <w:tcW w:w="3820" w:type="dxa"/>
            <w:vAlign w:val="bottom"/>
            <w:tcBorders>
              <w:right w:val="single" w:sz="8" w:color="auto"/>
            </w:tcBorders>
            <w:gridSpan w:val="3"/>
          </w:tcPr>
          <w:p>
            <w:pPr>
              <w:ind w:left="60"/>
              <w:spacing w:after="0" w:line="192" w:lineRule="exact"/>
              <w:rPr>
                <w:sz w:val="20"/>
                <w:szCs w:val="20"/>
                <w:color w:val="auto"/>
              </w:rPr>
            </w:pPr>
            <w:r>
              <w:rPr>
                <w:rFonts w:ascii="Arial" w:cs="Arial" w:eastAsia="Arial" w:hAnsi="Arial"/>
                <w:sz w:val="18"/>
                <w:szCs w:val="18"/>
                <w:color w:val="auto"/>
                <w:w w:val="96"/>
              </w:rPr>
              <w:t>The Restricted Stock Units (“RSUs”) (including a</w:t>
            </w:r>
          </w:p>
        </w:tc>
        <w:tc>
          <w:tcPr>
            <w:tcW w:w="322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tcPr>
          <w:p>
            <w:pPr>
              <w:spacing w:after="0" w:line="20" w:lineRule="exact"/>
              <w:rPr>
                <w:sz w:val="1"/>
                <w:szCs w:val="1"/>
                <w:color w:val="auto"/>
              </w:rPr>
            </w:pPr>
          </w:p>
        </w:tc>
        <w:tc>
          <w:tcPr>
            <w:tcW w:w="3140" w:type="dxa"/>
            <w:vAlign w:val="bottom"/>
            <w:tcBorders>
              <w:right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8/30/2018</w:t>
            </w: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 the date of the Participant’s</w:t>
            </w:r>
          </w:p>
        </w:tc>
        <w:tc>
          <w:tcPr>
            <w:tcW w:w="38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proportional number of dividend equivalent rights</w:t>
            </w:r>
          </w:p>
        </w:tc>
        <w:tc>
          <w:tcPr>
            <w:tcW w:w="3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termination of employment (as</w:t>
            </w:r>
          </w:p>
        </w:tc>
        <w:tc>
          <w:tcPr>
            <w:tcW w:w="38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(if applicable)) will vest and become payable as if</w:t>
            </w: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determined pursuant to the applicable</w:t>
            </w:r>
          </w:p>
        </w:tc>
        <w:tc>
          <w:tcPr>
            <w:tcW w:w="38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the Participant had remained employed with the</w:t>
            </w: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 incentive plan and/or award</w:t>
            </w:r>
          </w:p>
        </w:tc>
        <w:tc>
          <w:tcPr>
            <w:tcW w:w="38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Company or a Subsidiary for an additional six</w:t>
            </w: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agreement), then the stock option will</w:t>
            </w:r>
          </w:p>
        </w:tc>
        <w:tc>
          <w:tcPr>
            <w:tcW w:w="38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months.</w:t>
            </w: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vest and become exercisable as if the</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Participant had remained employed with</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or a Subsidiary for an</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additional six months. After the date of</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termination, the Participant will have</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three months to exercise any vested and</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outstanding stock options, subject to the</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expiration date of the stock options.</w:t>
            </w:r>
          </w:p>
        </w:tc>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80" w:type="dxa"/>
            <w:vAlign w:val="bottom"/>
            <w:tcBorders>
              <w:left w:val="single" w:sz="8" w:color="auto"/>
              <w:right w:val="single" w:sz="8" w:color="auto"/>
            </w:tcBorders>
          </w:tcPr>
          <w:p>
            <w:pPr>
              <w:spacing w:after="0"/>
              <w:rPr>
                <w:sz w:val="24"/>
                <w:szCs w:val="24"/>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If the Participant is eligible to retire on</w:t>
            </w: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the date of the Participant’s termination of</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employment (as determined pursuant to</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the applicable stock incentive plan and/or</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award agreement), then the stock option</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will vest and become exercisable in its</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entirety. After the date of termination, the</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Participant will have three years to</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9"/>
              </w:rPr>
              <w:t>exercise any vested and outstanding stock</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options, subject to the expiration date of</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Borders>
              <w:left w:val="single" w:sz="8" w:color="auto"/>
              <w:right w:val="single" w:sz="8" w:color="auto"/>
            </w:tcBorders>
          </w:tcPr>
          <w:p>
            <w:pPr>
              <w:spacing w:after="0"/>
              <w:rPr>
                <w:sz w:val="19"/>
                <w:szCs w:val="19"/>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stock options.</w:t>
            </w:r>
          </w:p>
        </w:tc>
        <w:tc>
          <w:tcPr>
            <w:tcW w:w="2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080" w:type="dxa"/>
            <w:vAlign w:val="bottom"/>
            <w:tcBorders>
              <w:left w:val="single" w:sz="8" w:color="auto"/>
              <w:bottom w:val="single" w:sz="8" w:color="auto"/>
              <w:right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spacing w:after="0"/>
              <w:rPr>
                <w:sz w:val="23"/>
                <w:szCs w:val="23"/>
                <w:color w:val="auto"/>
              </w:rPr>
            </w:pPr>
          </w:p>
        </w:tc>
        <w:tc>
          <w:tcPr>
            <w:tcW w:w="3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93" w:right="31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913130</wp:posOffset>
            </wp:positionV>
            <wp:extent cx="7143115" cy="3180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7143115" cy="3180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10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8/30/2018 to</w:t>
            </w: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Not Applicable.</w:t>
            </w:r>
          </w:p>
        </w:tc>
        <w:tc>
          <w:tcPr>
            <w:tcW w:w="60" w:type="dxa"/>
            <w:vAlign w:val="bottom"/>
          </w:tcPr>
          <w:p>
            <w:pPr>
              <w:spacing w:after="0"/>
              <w:rPr>
                <w:sz w:val="20"/>
                <w:szCs w:val="20"/>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0"/>
              </w:rPr>
              <w:t>If the Participant is not eligible to retire on the date</w:t>
            </w:r>
          </w:p>
        </w:tc>
      </w:tr>
      <w:tr>
        <w:trPr>
          <w:trHeight w:val="212"/>
        </w:trPr>
        <w:tc>
          <w:tcPr>
            <w:tcW w:w="1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9/3/2019</w:t>
            </w: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2"/>
              </w:rPr>
              <w:t>of the Participant’s termination of employment (as</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rPr>
              <w:t>determined pursuant to the applicable stock</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2"/>
              </w:rPr>
              <w:t>incentive plan and/or award agreement), then the</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0"/>
              </w:rPr>
              <w:t>RSUs (including a proportional number of dividend</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rPr>
              <w:t>equivalent rights (if applicable)) will vest and</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89"/>
              </w:rPr>
              <w:t>become payable as if the Participant had remained</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0"/>
              </w:rPr>
              <w:t>employed with the Company or a Subsidiary for an</w:t>
            </w:r>
          </w:p>
        </w:tc>
      </w:tr>
      <w:tr>
        <w:trPr>
          <w:trHeight w:val="185"/>
        </w:trPr>
        <w:tc>
          <w:tcPr>
            <w:tcW w:w="100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60" w:type="dxa"/>
            <w:vAlign w:val="bottom"/>
            <w:gridSpan w:val="7"/>
          </w:tcPr>
          <w:p>
            <w:pPr>
              <w:spacing w:after="0" w:line="185" w:lineRule="exact"/>
              <w:rPr>
                <w:sz w:val="20"/>
                <w:szCs w:val="20"/>
                <w:color w:val="auto"/>
              </w:rPr>
            </w:pPr>
            <w:r>
              <w:rPr>
                <w:rFonts w:ascii="Arial" w:cs="Arial" w:eastAsia="Arial" w:hAnsi="Arial"/>
                <w:sz w:val="18"/>
                <w:szCs w:val="18"/>
                <w:color w:val="auto"/>
              </w:rPr>
              <w:t>additional six months (“Standard Accelerated</w:t>
            </w:r>
          </w:p>
        </w:tc>
      </w:tr>
      <w:tr>
        <w:trPr>
          <w:trHeight w:val="192"/>
        </w:trPr>
        <w:tc>
          <w:tcPr>
            <w:tcW w:w="100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3"/>
          </w:tcPr>
          <w:p>
            <w:pPr>
              <w:spacing w:after="0" w:line="192" w:lineRule="exact"/>
              <w:rPr>
                <w:sz w:val="20"/>
                <w:szCs w:val="20"/>
                <w:color w:val="auto"/>
              </w:rPr>
            </w:pPr>
            <w:r>
              <w:rPr>
                <w:rFonts w:ascii="Arial" w:cs="Arial" w:eastAsia="Arial" w:hAnsi="Arial"/>
                <w:sz w:val="18"/>
                <w:szCs w:val="18"/>
                <w:color w:val="auto"/>
              </w:rPr>
              <w:t>Vesting Schedule”).</w:t>
            </w:r>
          </w:p>
        </w:tc>
        <w:tc>
          <w:tcPr>
            <w:tcW w:w="1500" w:type="dxa"/>
            <w:vAlign w:val="bottom"/>
            <w:tcBorders>
              <w:top w:val="single" w:sz="8" w:color="auto"/>
            </w:tcBorders>
            <w:gridSpan w:val="2"/>
          </w:tcPr>
          <w:p>
            <w:pPr>
              <w:spacing w:after="0"/>
              <w:rPr>
                <w:sz w:val="16"/>
                <w:szCs w:val="16"/>
                <w:color w:val="auto"/>
              </w:rPr>
            </w:pPr>
          </w:p>
        </w:tc>
        <w:tc>
          <w:tcPr>
            <w:tcW w:w="460" w:type="dxa"/>
            <w:vAlign w:val="bottom"/>
            <w:gridSpan w:val="2"/>
          </w:tcPr>
          <w:p>
            <w:pPr>
              <w:spacing w:after="0"/>
              <w:rPr>
                <w:sz w:val="16"/>
                <w:szCs w:val="16"/>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3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8"/>
        </w:trPr>
        <w:tc>
          <w:tcPr>
            <w:tcW w:w="1000" w:type="dxa"/>
            <w:vAlign w:val="bottom"/>
            <w:tcBorders>
              <w:right w:val="single" w:sz="8" w:color="auto"/>
            </w:tcBorders>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3"/>
              </w:rPr>
              <w:t>If the Participant is eligible to retire on the date of</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7"/>
              </w:rPr>
              <w:t>the Participant’s termination of employment (as</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rPr>
              <w:t>determined pursuant to the applicable stock</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2"/>
              </w:rPr>
              <w:t>incentive plan and/or award agreement), then the</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0"/>
              </w:rPr>
              <w:t>RSUs (including a proportional number of dividend</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rPr>
              <w:t>equivalent rights (if applicable)) will vest and</w:t>
            </w:r>
          </w:p>
        </w:tc>
      </w:tr>
      <w:tr>
        <w:trPr>
          <w:trHeight w:val="212"/>
        </w:trPr>
        <w:tc>
          <w:tcPr>
            <w:tcW w:w="100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w w:val="96"/>
              </w:rPr>
              <w:t>become payable in accordance with the vesting</w:t>
            </w:r>
          </w:p>
        </w:tc>
      </w:tr>
      <w:tr>
        <w:trPr>
          <w:trHeight w:val="185"/>
        </w:trPr>
        <w:tc>
          <w:tcPr>
            <w:tcW w:w="100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60" w:type="dxa"/>
            <w:vAlign w:val="bottom"/>
            <w:gridSpan w:val="7"/>
          </w:tcPr>
          <w:p>
            <w:pPr>
              <w:spacing w:after="0" w:line="185" w:lineRule="exact"/>
              <w:rPr>
                <w:sz w:val="20"/>
                <w:szCs w:val="20"/>
                <w:color w:val="auto"/>
              </w:rPr>
            </w:pPr>
            <w:r>
              <w:rPr>
                <w:rFonts w:ascii="Arial" w:cs="Arial" w:eastAsia="Arial" w:hAnsi="Arial"/>
                <w:sz w:val="18"/>
                <w:szCs w:val="18"/>
                <w:color w:val="auto"/>
                <w:w w:val="91"/>
              </w:rPr>
              <w:t>formula described above in Appendix A-1; Section</w:t>
            </w: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3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100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60" w:type="dxa"/>
            <w:vAlign w:val="bottom"/>
            <w:gridSpan w:val="7"/>
          </w:tcPr>
          <w:p>
            <w:pPr>
              <w:spacing w:after="0" w:line="192" w:lineRule="exact"/>
              <w:rPr>
                <w:sz w:val="20"/>
                <w:szCs w:val="20"/>
                <w:color w:val="auto"/>
              </w:rPr>
            </w:pPr>
            <w:r>
              <w:rPr>
                <w:rFonts w:ascii="Arial" w:cs="Arial" w:eastAsia="Arial" w:hAnsi="Arial"/>
                <w:sz w:val="18"/>
                <w:szCs w:val="18"/>
                <w:color w:val="auto"/>
                <w:w w:val="93"/>
              </w:rPr>
              <w:t>1.</w:t>
            </w:r>
            <w:r>
              <w:rPr>
                <w:rFonts w:ascii="Arial" w:cs="Arial" w:eastAsia="Arial" w:hAnsi="Arial"/>
                <w:sz w:val="18"/>
                <w:szCs w:val="18"/>
                <w:u w:val="single" w:color="auto"/>
                <w:color w:val="auto"/>
                <w:w w:val="93"/>
              </w:rPr>
              <w:t>1(d)(i)</w:t>
            </w:r>
            <w:r>
              <w:rPr>
                <w:rFonts w:ascii="Arial" w:cs="Arial" w:eastAsia="Arial" w:hAnsi="Arial"/>
                <w:sz w:val="18"/>
                <w:szCs w:val="18"/>
                <w:color w:val="auto"/>
                <w:w w:val="93"/>
              </w:rPr>
              <w:t xml:space="preserve"> in the event such formula yields a higher</w:t>
            </w: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3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r>
      <w:tr>
        <w:trPr>
          <w:trHeight w:val="219"/>
        </w:trPr>
        <w:tc>
          <w:tcPr>
            <w:tcW w:w="100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rPr>
              <w:t>number of RSUs becoming vested than the</w:t>
            </w:r>
          </w:p>
        </w:tc>
      </w:tr>
      <w:tr>
        <w:trPr>
          <w:trHeight w:val="223"/>
        </w:trPr>
        <w:tc>
          <w:tcPr>
            <w:tcW w:w="100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gridSpan w:val="7"/>
          </w:tcPr>
          <w:p>
            <w:pPr>
              <w:spacing w:after="0"/>
              <w:rPr>
                <w:sz w:val="20"/>
                <w:szCs w:val="20"/>
                <w:color w:val="auto"/>
              </w:rPr>
            </w:pPr>
            <w:r>
              <w:rPr>
                <w:rFonts w:ascii="Arial" w:cs="Arial" w:eastAsia="Arial" w:hAnsi="Arial"/>
                <w:sz w:val="18"/>
                <w:szCs w:val="18"/>
                <w:color w:val="auto"/>
              </w:rPr>
              <w:t>Standard Accelerated Vesting Schedule.</w:t>
            </w:r>
          </w:p>
        </w:tc>
      </w:tr>
      <w:tr>
        <w:trPr>
          <w:trHeight w:val="279"/>
        </w:trPr>
        <w:tc>
          <w:tcPr>
            <w:tcW w:w="1000" w:type="dxa"/>
            <w:vAlign w:val="bottom"/>
            <w:tcBorders>
              <w:right w:val="single" w:sz="8" w:color="auto"/>
            </w:tcBorders>
          </w:tcPr>
          <w:p>
            <w:pPr>
              <w:spacing w:after="0"/>
              <w:rPr>
                <w:sz w:val="24"/>
                <w:szCs w:val="24"/>
                <w:color w:val="auto"/>
              </w:rPr>
            </w:pPr>
          </w:p>
        </w:tc>
        <w:tc>
          <w:tcPr>
            <w:tcW w:w="3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For equity awards that are subject to performance-based vesting, the award shall be payable in accordance with the original schedule set forth in the applicable award agreement, with no acceleration, and the award will vest as described above in </w:t>
      </w:r>
      <w:r>
        <w:rPr>
          <w:rFonts w:ascii="Arial" w:cs="Arial" w:eastAsia="Arial" w:hAnsi="Arial"/>
          <w:sz w:val="18"/>
          <w:szCs w:val="18"/>
          <w:u w:val="single" w:color="auto"/>
          <w:color w:val="auto"/>
        </w:rPr>
        <w:t>Appendix A-1; Section 1.1(d)(ii)(A)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ectPr>
          <w:pgSz w:w="11900" w:h="16838" w:orient="portrait"/>
          <w:cols w:equalWidth="0" w:num="2">
            <w:col w:w="7860" w:space="160"/>
            <w:col w:w="3060"/>
          </w:cols>
          <w:pgMar w:left="400" w:top="1438" w:right="4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WESTERN DIGITAL CORPORATION</w:t>
            </w:r>
          </w:p>
        </w:tc>
      </w:tr>
      <w:tr>
        <w:trPr>
          <w:trHeight w:val="229"/>
        </w:trPr>
        <w:tc>
          <w:tcPr>
            <w:tcW w:w="398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b w:val="1"/>
                <w:bCs w:val="1"/>
                <w:color w:val="auto"/>
              </w:rPr>
              <w:t>SUBSIDIARIES OF THE COMPANY</w:t>
            </w:r>
          </w:p>
        </w:tc>
      </w:tr>
      <w:tr>
        <w:trPr>
          <w:trHeight w:val="619"/>
        </w:trPr>
        <w:tc>
          <w:tcPr>
            <w:tcW w:w="3980" w:type="dxa"/>
            <w:vAlign w:val="bottom"/>
          </w:tcPr>
          <w:p>
            <w:pPr>
              <w:spacing w:after="0"/>
              <w:rPr>
                <w:sz w:val="24"/>
                <w:szCs w:val="24"/>
                <w:color w:val="auto"/>
              </w:rPr>
            </w:pPr>
          </w:p>
        </w:tc>
        <w:tc>
          <w:tcPr>
            <w:tcW w:w="7260" w:type="dxa"/>
            <w:vAlign w:val="bottom"/>
          </w:tcPr>
          <w:p>
            <w:pPr>
              <w:ind w:left="3940"/>
              <w:spacing w:after="0"/>
              <w:rPr>
                <w:sz w:val="20"/>
                <w:szCs w:val="20"/>
                <w:color w:val="auto"/>
              </w:rPr>
            </w:pPr>
            <w:r>
              <w:rPr>
                <w:rFonts w:ascii="Arial" w:cs="Arial" w:eastAsia="Arial" w:hAnsi="Arial"/>
                <w:sz w:val="18"/>
                <w:szCs w:val="18"/>
                <w:b w:val="1"/>
                <w:bCs w:val="1"/>
                <w:color w:val="auto"/>
              </w:rPr>
              <w:t>State or Other Jurisdiction of</w:t>
            </w:r>
          </w:p>
        </w:tc>
      </w:tr>
      <w:tr>
        <w:trPr>
          <w:trHeight w:val="256"/>
        </w:trPr>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Name of Entity</w:t>
            </w:r>
          </w:p>
        </w:tc>
        <w:tc>
          <w:tcPr>
            <w:tcW w:w="7260" w:type="dxa"/>
            <w:vAlign w:val="bottom"/>
          </w:tcPr>
          <w:p>
            <w:pPr>
              <w:ind w:left="3940"/>
              <w:spacing w:after="0"/>
              <w:rPr>
                <w:sz w:val="20"/>
                <w:szCs w:val="20"/>
                <w:color w:val="auto"/>
              </w:rPr>
            </w:pPr>
            <w:r>
              <w:rPr>
                <w:rFonts w:ascii="Arial" w:cs="Arial" w:eastAsia="Arial" w:hAnsi="Arial"/>
                <w:sz w:val="18"/>
                <w:szCs w:val="18"/>
                <w:b w:val="1"/>
                <w:bCs w:val="1"/>
                <w:color w:val="auto"/>
              </w:rPr>
              <w:t>Incorporation or Organization</w:t>
            </w:r>
          </w:p>
        </w:tc>
      </w:tr>
      <w:tr>
        <w:trPr>
          <w:trHeight w:val="28"/>
        </w:trPr>
        <w:tc>
          <w:tcPr>
            <w:tcW w:w="398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r>
      <w:tr>
        <w:trPr>
          <w:trHeight w:val="231"/>
        </w:trPr>
        <w:tc>
          <w:tcPr>
            <w:tcW w:w="3980" w:type="dxa"/>
            <w:vAlign w:val="bottom"/>
          </w:tcPr>
          <w:p>
            <w:pPr>
              <w:ind w:left="80"/>
              <w:spacing w:after="0"/>
              <w:rPr>
                <w:sz w:val="20"/>
                <w:szCs w:val="20"/>
                <w:color w:val="auto"/>
              </w:rPr>
            </w:pPr>
            <w:r>
              <w:rPr>
                <w:rFonts w:ascii="Arial" w:cs="Arial" w:eastAsia="Arial" w:hAnsi="Arial"/>
                <w:sz w:val="18"/>
                <w:szCs w:val="18"/>
                <w:color w:val="auto"/>
              </w:rPr>
              <w:t>Amplidata N.V.</w:t>
            </w:r>
          </w:p>
        </w:tc>
        <w:tc>
          <w:tcPr>
            <w:tcW w:w="7260" w:type="dxa"/>
            <w:vAlign w:val="bottom"/>
          </w:tcPr>
          <w:p>
            <w:pPr>
              <w:ind w:left="3940"/>
              <w:spacing w:after="0"/>
              <w:rPr>
                <w:sz w:val="20"/>
                <w:szCs w:val="20"/>
                <w:color w:val="auto"/>
              </w:rPr>
            </w:pPr>
            <w:r>
              <w:rPr>
                <w:rFonts w:ascii="Arial" w:cs="Arial" w:eastAsia="Arial" w:hAnsi="Arial"/>
                <w:sz w:val="18"/>
                <w:szCs w:val="18"/>
                <w:color w:val="auto"/>
              </w:rPr>
              <w:t>Belgium</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EasyStore Memory Limited</w:t>
            </w:r>
          </w:p>
        </w:tc>
        <w:tc>
          <w:tcPr>
            <w:tcW w:w="7260" w:type="dxa"/>
            <w:vAlign w:val="bottom"/>
          </w:tcPr>
          <w:p>
            <w:pPr>
              <w:ind w:left="3940"/>
              <w:spacing w:after="0"/>
              <w:rPr>
                <w:sz w:val="20"/>
                <w:szCs w:val="20"/>
                <w:color w:val="auto"/>
              </w:rPr>
            </w:pPr>
            <w:r>
              <w:rPr>
                <w:rFonts w:ascii="Arial" w:cs="Arial" w:eastAsia="Arial" w:hAnsi="Arial"/>
                <w:sz w:val="18"/>
                <w:szCs w:val="18"/>
                <w:color w:val="auto"/>
              </w:rPr>
              <w:t>Ireland</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Fusion-io (Beijing) Info Tech Co., Ltd</w:t>
            </w:r>
          </w:p>
        </w:tc>
        <w:tc>
          <w:tcPr>
            <w:tcW w:w="7260" w:type="dxa"/>
            <w:vAlign w:val="bottom"/>
          </w:tcPr>
          <w:p>
            <w:pPr>
              <w:ind w:left="3940"/>
              <w:spacing w:after="0"/>
              <w:rPr>
                <w:sz w:val="20"/>
                <w:szCs w:val="20"/>
                <w:color w:val="auto"/>
              </w:rPr>
            </w:pPr>
            <w:r>
              <w:rPr>
                <w:rFonts w:ascii="Arial" w:cs="Arial" w:eastAsia="Arial" w:hAnsi="Arial"/>
                <w:sz w:val="18"/>
                <w:szCs w:val="18"/>
                <w:color w:val="auto"/>
              </w:rPr>
              <w:t>China</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Fusion-io LLC</w:t>
            </w:r>
          </w:p>
        </w:tc>
        <w:tc>
          <w:tcPr>
            <w:tcW w:w="7260" w:type="dxa"/>
            <w:vAlign w:val="bottom"/>
          </w:tcPr>
          <w:p>
            <w:pPr>
              <w:ind w:left="3940"/>
              <w:spacing w:after="0"/>
              <w:rPr>
                <w:sz w:val="20"/>
                <w:szCs w:val="20"/>
                <w:color w:val="auto"/>
              </w:rPr>
            </w:pPr>
            <w:r>
              <w:rPr>
                <w:rFonts w:ascii="Arial" w:cs="Arial" w:eastAsia="Arial" w:hAnsi="Arial"/>
                <w:sz w:val="18"/>
                <w:szCs w:val="18"/>
                <w:color w:val="auto"/>
              </w:rPr>
              <w:t>Delaware</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Fusion-io Poland SP.Z.O.O.</w:t>
            </w:r>
          </w:p>
        </w:tc>
        <w:tc>
          <w:tcPr>
            <w:tcW w:w="7260" w:type="dxa"/>
            <w:vAlign w:val="bottom"/>
          </w:tcPr>
          <w:p>
            <w:pPr>
              <w:ind w:left="3940"/>
              <w:spacing w:after="0"/>
              <w:rPr>
                <w:sz w:val="20"/>
                <w:szCs w:val="20"/>
                <w:color w:val="auto"/>
              </w:rPr>
            </w:pPr>
            <w:r>
              <w:rPr>
                <w:rFonts w:ascii="Arial" w:cs="Arial" w:eastAsia="Arial" w:hAnsi="Arial"/>
                <w:sz w:val="18"/>
                <w:szCs w:val="18"/>
                <w:color w:val="auto"/>
              </w:rPr>
              <w:t>Poland</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Fusion-io Singapore Private Ltd</w:t>
            </w:r>
          </w:p>
        </w:tc>
        <w:tc>
          <w:tcPr>
            <w:tcW w:w="7260" w:type="dxa"/>
            <w:vAlign w:val="bottom"/>
          </w:tcPr>
          <w:p>
            <w:pPr>
              <w:ind w:left="3940"/>
              <w:spacing w:after="0"/>
              <w:rPr>
                <w:sz w:val="20"/>
                <w:szCs w:val="20"/>
                <w:color w:val="auto"/>
              </w:rPr>
            </w:pPr>
            <w:r>
              <w:rPr>
                <w:rFonts w:ascii="Arial" w:cs="Arial" w:eastAsia="Arial" w:hAnsi="Arial"/>
                <w:sz w:val="18"/>
                <w:szCs w:val="18"/>
                <w:color w:val="auto"/>
              </w:rPr>
              <w:t>Singapore</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(Shenzhen) Co., Ltd.</w:t>
            </w:r>
          </w:p>
        </w:tc>
        <w:tc>
          <w:tcPr>
            <w:tcW w:w="7260" w:type="dxa"/>
            <w:vAlign w:val="bottom"/>
          </w:tcPr>
          <w:p>
            <w:pPr>
              <w:ind w:left="3940"/>
              <w:spacing w:after="0"/>
              <w:rPr>
                <w:sz w:val="20"/>
                <w:szCs w:val="20"/>
                <w:color w:val="auto"/>
              </w:rPr>
            </w:pPr>
            <w:r>
              <w:rPr>
                <w:rFonts w:ascii="Arial" w:cs="Arial" w:eastAsia="Arial" w:hAnsi="Arial"/>
                <w:sz w:val="18"/>
                <w:szCs w:val="18"/>
                <w:color w:val="auto"/>
              </w:rPr>
              <w:t>China</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Consulting (Shanghai) Co., Ltd.</w:t>
            </w:r>
          </w:p>
        </w:tc>
        <w:tc>
          <w:tcPr>
            <w:tcW w:w="7260" w:type="dxa"/>
            <w:vAlign w:val="bottom"/>
          </w:tcPr>
          <w:p>
            <w:pPr>
              <w:ind w:left="3940"/>
              <w:spacing w:after="0"/>
              <w:rPr>
                <w:sz w:val="20"/>
                <w:szCs w:val="20"/>
                <w:color w:val="auto"/>
              </w:rPr>
            </w:pPr>
            <w:r>
              <w:rPr>
                <w:rFonts w:ascii="Arial" w:cs="Arial" w:eastAsia="Arial" w:hAnsi="Arial"/>
                <w:sz w:val="18"/>
                <w:szCs w:val="18"/>
                <w:color w:val="auto"/>
              </w:rPr>
              <w:t>China</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Europe, Ltd.</w:t>
            </w:r>
          </w:p>
        </w:tc>
        <w:tc>
          <w:tcPr>
            <w:tcW w:w="7260" w:type="dxa"/>
            <w:vAlign w:val="bottom"/>
          </w:tcPr>
          <w:p>
            <w:pPr>
              <w:ind w:left="3940"/>
              <w:spacing w:after="0"/>
              <w:rPr>
                <w:sz w:val="20"/>
                <w:szCs w:val="20"/>
                <w:color w:val="auto"/>
              </w:rPr>
            </w:pPr>
            <w:r>
              <w:rPr>
                <w:rFonts w:ascii="Arial" w:cs="Arial" w:eastAsia="Arial" w:hAnsi="Arial"/>
                <w:sz w:val="18"/>
                <w:szCs w:val="18"/>
                <w:color w:val="auto"/>
              </w:rPr>
              <w:t>United Kingdom</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Japan, Ltd.</w:t>
            </w:r>
          </w:p>
        </w:tc>
        <w:tc>
          <w:tcPr>
            <w:tcW w:w="7260" w:type="dxa"/>
            <w:vAlign w:val="bottom"/>
          </w:tcPr>
          <w:p>
            <w:pPr>
              <w:ind w:left="3940"/>
              <w:spacing w:after="0"/>
              <w:rPr>
                <w:sz w:val="20"/>
                <w:szCs w:val="20"/>
                <w:color w:val="auto"/>
              </w:rPr>
            </w:pPr>
            <w:r>
              <w:rPr>
                <w:rFonts w:ascii="Arial" w:cs="Arial" w:eastAsia="Arial" w:hAnsi="Arial"/>
                <w:sz w:val="18"/>
                <w:szCs w:val="18"/>
                <w:color w:val="auto"/>
              </w:rPr>
              <w:t>Japan</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Malaysia Sdn. Bhd.</w:t>
            </w:r>
          </w:p>
        </w:tc>
        <w:tc>
          <w:tcPr>
            <w:tcW w:w="7260" w:type="dxa"/>
            <w:vAlign w:val="bottom"/>
          </w:tcPr>
          <w:p>
            <w:pPr>
              <w:ind w:left="3940"/>
              <w:spacing w:after="0"/>
              <w:rPr>
                <w:sz w:val="20"/>
                <w:szCs w:val="20"/>
                <w:color w:val="auto"/>
              </w:rPr>
            </w:pPr>
            <w:r>
              <w:rPr>
                <w:rFonts w:ascii="Arial" w:cs="Arial" w:eastAsia="Arial" w:hAnsi="Arial"/>
                <w:sz w:val="18"/>
                <w:szCs w:val="18"/>
                <w:color w:val="auto"/>
              </w:rPr>
              <w:t>Malaysia</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Netherlands B.V.</w:t>
            </w:r>
          </w:p>
        </w:tc>
        <w:tc>
          <w:tcPr>
            <w:tcW w:w="7260" w:type="dxa"/>
            <w:vAlign w:val="bottom"/>
          </w:tcPr>
          <w:p>
            <w:pPr>
              <w:ind w:left="3940"/>
              <w:spacing w:after="0"/>
              <w:rPr>
                <w:sz w:val="20"/>
                <w:szCs w:val="20"/>
                <w:color w:val="auto"/>
              </w:rPr>
            </w:pPr>
            <w:r>
              <w:rPr>
                <w:rFonts w:ascii="Arial" w:cs="Arial" w:eastAsia="Arial" w:hAnsi="Arial"/>
                <w:sz w:val="18"/>
                <w:szCs w:val="18"/>
                <w:color w:val="auto"/>
              </w:rPr>
              <w:t>Netherlands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Singapore Pte. Ltd.</w:t>
            </w:r>
          </w:p>
        </w:tc>
        <w:tc>
          <w:tcPr>
            <w:tcW w:w="7260" w:type="dxa"/>
            <w:vAlign w:val="bottom"/>
          </w:tcPr>
          <w:p>
            <w:pPr>
              <w:ind w:left="3940"/>
              <w:spacing w:after="0"/>
              <w:rPr>
                <w:sz w:val="20"/>
                <w:szCs w:val="20"/>
                <w:color w:val="auto"/>
              </w:rPr>
            </w:pPr>
            <w:r>
              <w:rPr>
                <w:rFonts w:ascii="Arial" w:cs="Arial" w:eastAsia="Arial" w:hAnsi="Arial"/>
                <w:sz w:val="18"/>
                <w:szCs w:val="18"/>
                <w:color w:val="auto"/>
              </w:rPr>
              <w:t>Singapore</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Technologies India Private Limited</w:t>
            </w:r>
          </w:p>
        </w:tc>
        <w:tc>
          <w:tcPr>
            <w:tcW w:w="7260" w:type="dxa"/>
            <w:vAlign w:val="bottom"/>
          </w:tcPr>
          <w:p>
            <w:pPr>
              <w:ind w:left="3940"/>
              <w:spacing w:after="0"/>
              <w:rPr>
                <w:sz w:val="20"/>
                <w:szCs w:val="20"/>
                <w:color w:val="auto"/>
              </w:rPr>
            </w:pPr>
            <w:r>
              <w:rPr>
                <w:rFonts w:ascii="Arial" w:cs="Arial" w:eastAsia="Arial" w:hAnsi="Arial"/>
                <w:sz w:val="18"/>
                <w:szCs w:val="18"/>
                <w:color w:val="auto"/>
              </w:rPr>
              <w:t>India</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HGST Technologies Malaysia Sdn. Bhd.</w:t>
            </w:r>
          </w:p>
        </w:tc>
        <w:tc>
          <w:tcPr>
            <w:tcW w:w="7260" w:type="dxa"/>
            <w:vAlign w:val="bottom"/>
          </w:tcPr>
          <w:p>
            <w:pPr>
              <w:ind w:left="3940"/>
              <w:spacing w:after="0"/>
              <w:rPr>
                <w:sz w:val="20"/>
                <w:szCs w:val="20"/>
                <w:color w:val="auto"/>
              </w:rPr>
            </w:pPr>
            <w:r>
              <w:rPr>
                <w:rFonts w:ascii="Arial" w:cs="Arial" w:eastAsia="Arial" w:hAnsi="Arial"/>
                <w:sz w:val="18"/>
                <w:szCs w:val="18"/>
                <w:color w:val="auto"/>
              </w:rPr>
              <w:t>Malaysia</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HICAP Properties Corp.</w:t>
            </w:r>
          </w:p>
        </w:tc>
        <w:tc>
          <w:tcPr>
            <w:tcW w:w="7260" w:type="dxa"/>
            <w:vAlign w:val="bottom"/>
          </w:tcPr>
          <w:p>
            <w:pPr>
              <w:ind w:left="3940"/>
              <w:spacing w:after="0"/>
              <w:rPr>
                <w:sz w:val="20"/>
                <w:szCs w:val="20"/>
                <w:color w:val="auto"/>
              </w:rPr>
            </w:pPr>
            <w:r>
              <w:rPr>
                <w:rFonts w:ascii="Arial" w:cs="Arial" w:eastAsia="Arial" w:hAnsi="Arial"/>
                <w:sz w:val="18"/>
                <w:szCs w:val="18"/>
                <w:color w:val="auto"/>
              </w:rPr>
              <w:t>Philippines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Keen Personal Media, Inc.</w:t>
            </w:r>
          </w:p>
        </w:tc>
        <w:tc>
          <w:tcPr>
            <w:tcW w:w="7260" w:type="dxa"/>
            <w:vAlign w:val="bottom"/>
          </w:tcPr>
          <w:p>
            <w:pPr>
              <w:ind w:left="3940"/>
              <w:spacing w:after="0"/>
              <w:rPr>
                <w:sz w:val="20"/>
                <w:szCs w:val="20"/>
                <w:color w:val="auto"/>
              </w:rPr>
            </w:pPr>
            <w:r>
              <w:rPr>
                <w:rFonts w:ascii="Arial" w:cs="Arial" w:eastAsia="Arial" w:hAnsi="Arial"/>
                <w:sz w:val="18"/>
                <w:szCs w:val="18"/>
                <w:color w:val="auto"/>
              </w:rPr>
              <w:t>Delaware</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Pacifica Insurance Corporation</w:t>
            </w:r>
          </w:p>
        </w:tc>
        <w:tc>
          <w:tcPr>
            <w:tcW w:w="7260" w:type="dxa"/>
            <w:vAlign w:val="bottom"/>
          </w:tcPr>
          <w:p>
            <w:pPr>
              <w:ind w:left="3940"/>
              <w:spacing w:after="0"/>
              <w:rPr>
                <w:sz w:val="20"/>
                <w:szCs w:val="20"/>
                <w:color w:val="auto"/>
              </w:rPr>
            </w:pPr>
            <w:r>
              <w:rPr>
                <w:rFonts w:ascii="Arial" w:cs="Arial" w:eastAsia="Arial" w:hAnsi="Arial"/>
                <w:sz w:val="18"/>
                <w:szCs w:val="18"/>
                <w:color w:val="auto"/>
              </w:rPr>
              <w:t>Hawaii</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Prestadora SD, S. de R.L. de C.V.</w:t>
            </w:r>
          </w:p>
        </w:tc>
        <w:tc>
          <w:tcPr>
            <w:tcW w:w="7260" w:type="dxa"/>
            <w:vAlign w:val="bottom"/>
          </w:tcPr>
          <w:p>
            <w:pPr>
              <w:ind w:left="3940"/>
              <w:spacing w:after="0"/>
              <w:rPr>
                <w:sz w:val="20"/>
                <w:szCs w:val="20"/>
                <w:color w:val="auto"/>
              </w:rPr>
            </w:pPr>
            <w:r>
              <w:rPr>
                <w:rFonts w:ascii="Arial" w:cs="Arial" w:eastAsia="Arial" w:hAnsi="Arial"/>
                <w:sz w:val="18"/>
                <w:szCs w:val="18"/>
                <w:color w:val="auto"/>
              </w:rPr>
              <w:t>Mexico</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Read-Rite Philippines, Inc.</w:t>
            </w:r>
          </w:p>
        </w:tc>
        <w:tc>
          <w:tcPr>
            <w:tcW w:w="7260" w:type="dxa"/>
            <w:vAlign w:val="bottom"/>
          </w:tcPr>
          <w:p>
            <w:pPr>
              <w:ind w:left="3940"/>
              <w:spacing w:after="0"/>
              <w:rPr>
                <w:sz w:val="20"/>
                <w:szCs w:val="20"/>
                <w:color w:val="auto"/>
              </w:rPr>
            </w:pPr>
            <w:r>
              <w:rPr>
                <w:rFonts w:ascii="Arial" w:cs="Arial" w:eastAsia="Arial" w:hAnsi="Arial"/>
                <w:sz w:val="18"/>
                <w:szCs w:val="18"/>
                <w:color w:val="auto"/>
              </w:rPr>
              <w:t>Philippines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Sandbox Expansion LLC</w:t>
            </w:r>
          </w:p>
        </w:tc>
        <w:tc>
          <w:tcPr>
            <w:tcW w:w="7260" w:type="dxa"/>
            <w:vAlign w:val="bottom"/>
          </w:tcPr>
          <w:p>
            <w:pPr>
              <w:ind w:left="3940"/>
              <w:spacing w:after="0"/>
              <w:rPr>
                <w:sz w:val="20"/>
                <w:szCs w:val="20"/>
                <w:color w:val="auto"/>
              </w:rPr>
            </w:pPr>
            <w:r>
              <w:rPr>
                <w:rFonts w:ascii="Arial" w:cs="Arial" w:eastAsia="Arial" w:hAnsi="Arial"/>
                <w:sz w:val="18"/>
                <w:szCs w:val="18"/>
                <w:color w:val="auto"/>
              </w:rPr>
              <w:t>Delaware</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(Cayman) Limited</w:t>
            </w:r>
          </w:p>
        </w:tc>
        <w:tc>
          <w:tcPr>
            <w:tcW w:w="7260" w:type="dxa"/>
            <w:vAlign w:val="bottom"/>
          </w:tcPr>
          <w:p>
            <w:pPr>
              <w:ind w:left="3940"/>
              <w:spacing w:after="0"/>
              <w:rPr>
                <w:sz w:val="20"/>
                <w:szCs w:val="20"/>
                <w:color w:val="auto"/>
              </w:rPr>
            </w:pPr>
            <w:r>
              <w:rPr>
                <w:rFonts w:ascii="Arial" w:cs="Arial" w:eastAsia="Arial" w:hAnsi="Arial"/>
                <w:sz w:val="18"/>
                <w:szCs w:val="18"/>
                <w:color w:val="auto"/>
              </w:rPr>
              <w:t>Cayman Islands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(Ireland) Limited</w:t>
            </w:r>
          </w:p>
        </w:tc>
        <w:tc>
          <w:tcPr>
            <w:tcW w:w="7260" w:type="dxa"/>
            <w:vAlign w:val="bottom"/>
          </w:tcPr>
          <w:p>
            <w:pPr>
              <w:ind w:left="3940"/>
              <w:spacing w:after="0"/>
              <w:rPr>
                <w:sz w:val="20"/>
                <w:szCs w:val="20"/>
                <w:color w:val="auto"/>
              </w:rPr>
            </w:pPr>
            <w:r>
              <w:rPr>
                <w:rFonts w:ascii="Arial" w:cs="Arial" w:eastAsia="Arial" w:hAnsi="Arial"/>
                <w:sz w:val="18"/>
                <w:szCs w:val="18"/>
                <w:color w:val="auto"/>
              </w:rPr>
              <w:t>Ireland</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3D IP Holdings Ltd</w:t>
            </w:r>
          </w:p>
        </w:tc>
        <w:tc>
          <w:tcPr>
            <w:tcW w:w="7260" w:type="dxa"/>
            <w:vAlign w:val="bottom"/>
          </w:tcPr>
          <w:p>
            <w:pPr>
              <w:ind w:left="3940"/>
              <w:spacing w:after="0"/>
              <w:rPr>
                <w:sz w:val="20"/>
                <w:szCs w:val="20"/>
                <w:color w:val="auto"/>
              </w:rPr>
            </w:pPr>
            <w:r>
              <w:rPr>
                <w:rFonts w:ascii="Arial" w:cs="Arial" w:eastAsia="Arial" w:hAnsi="Arial"/>
                <w:sz w:val="18"/>
                <w:szCs w:val="18"/>
                <w:color w:val="auto"/>
              </w:rPr>
              <w:t>Cayman Islands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B.V.</w:t>
            </w:r>
          </w:p>
        </w:tc>
        <w:tc>
          <w:tcPr>
            <w:tcW w:w="7260" w:type="dxa"/>
            <w:vAlign w:val="bottom"/>
          </w:tcPr>
          <w:p>
            <w:pPr>
              <w:ind w:left="3940"/>
              <w:spacing w:after="0"/>
              <w:rPr>
                <w:sz w:val="20"/>
                <w:szCs w:val="20"/>
                <w:color w:val="auto"/>
              </w:rPr>
            </w:pPr>
            <w:r>
              <w:rPr>
                <w:rFonts w:ascii="Arial" w:cs="Arial" w:eastAsia="Arial" w:hAnsi="Arial"/>
                <w:sz w:val="18"/>
                <w:szCs w:val="18"/>
                <w:color w:val="auto"/>
              </w:rPr>
              <w:t>Netherlands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Brasil Participações Ltda.</w:t>
            </w:r>
          </w:p>
        </w:tc>
        <w:tc>
          <w:tcPr>
            <w:tcW w:w="7260" w:type="dxa"/>
            <w:vAlign w:val="bottom"/>
          </w:tcPr>
          <w:p>
            <w:pPr>
              <w:ind w:left="3940"/>
              <w:spacing w:after="0"/>
              <w:rPr>
                <w:sz w:val="20"/>
                <w:szCs w:val="20"/>
                <w:color w:val="auto"/>
              </w:rPr>
            </w:pPr>
            <w:r>
              <w:rPr>
                <w:rFonts w:ascii="Arial" w:cs="Arial" w:eastAsia="Arial" w:hAnsi="Arial"/>
                <w:sz w:val="18"/>
                <w:szCs w:val="18"/>
                <w:color w:val="auto"/>
              </w:rPr>
              <w:t>Brazil</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C.V.</w:t>
            </w:r>
          </w:p>
        </w:tc>
        <w:tc>
          <w:tcPr>
            <w:tcW w:w="7260" w:type="dxa"/>
            <w:vAlign w:val="bottom"/>
          </w:tcPr>
          <w:p>
            <w:pPr>
              <w:ind w:left="3940"/>
              <w:spacing w:after="0"/>
              <w:rPr>
                <w:sz w:val="20"/>
                <w:szCs w:val="20"/>
                <w:color w:val="auto"/>
              </w:rPr>
            </w:pPr>
            <w:r>
              <w:rPr>
                <w:rFonts w:ascii="Arial" w:cs="Arial" w:eastAsia="Arial" w:hAnsi="Arial"/>
                <w:sz w:val="18"/>
                <w:szCs w:val="18"/>
                <w:color w:val="auto"/>
              </w:rPr>
              <w:t>Netherlands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China Limited</w:t>
            </w:r>
          </w:p>
        </w:tc>
        <w:tc>
          <w:tcPr>
            <w:tcW w:w="7260" w:type="dxa"/>
            <w:vAlign w:val="bottom"/>
          </w:tcPr>
          <w:p>
            <w:pPr>
              <w:ind w:left="3940"/>
              <w:spacing w:after="0"/>
              <w:rPr>
                <w:sz w:val="20"/>
                <w:szCs w:val="20"/>
                <w:color w:val="auto"/>
              </w:rPr>
            </w:pPr>
            <w:r>
              <w:rPr>
                <w:rFonts w:ascii="Arial" w:cs="Arial" w:eastAsia="Arial" w:hAnsi="Arial"/>
                <w:sz w:val="18"/>
                <w:szCs w:val="18"/>
                <w:color w:val="auto"/>
              </w:rPr>
              <w:t>Ireland</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China LLC</w:t>
            </w:r>
          </w:p>
        </w:tc>
        <w:tc>
          <w:tcPr>
            <w:tcW w:w="7260" w:type="dxa"/>
            <w:vAlign w:val="bottom"/>
          </w:tcPr>
          <w:p>
            <w:pPr>
              <w:ind w:left="3940"/>
              <w:spacing w:after="0"/>
              <w:rPr>
                <w:sz w:val="20"/>
                <w:szCs w:val="20"/>
                <w:color w:val="auto"/>
              </w:rPr>
            </w:pPr>
            <w:r>
              <w:rPr>
                <w:rFonts w:ascii="Arial" w:cs="Arial" w:eastAsia="Arial" w:hAnsi="Arial"/>
                <w:sz w:val="18"/>
                <w:szCs w:val="18"/>
                <w:color w:val="auto"/>
              </w:rPr>
              <w:t>Delaware</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Flash B.V.</w:t>
            </w:r>
          </w:p>
        </w:tc>
        <w:tc>
          <w:tcPr>
            <w:tcW w:w="7260" w:type="dxa"/>
            <w:vAlign w:val="bottom"/>
          </w:tcPr>
          <w:p>
            <w:pPr>
              <w:ind w:left="3940"/>
              <w:spacing w:after="0"/>
              <w:rPr>
                <w:sz w:val="20"/>
                <w:szCs w:val="20"/>
                <w:color w:val="auto"/>
              </w:rPr>
            </w:pPr>
            <w:r>
              <w:rPr>
                <w:rFonts w:ascii="Arial" w:cs="Arial" w:eastAsia="Arial" w:hAnsi="Arial"/>
                <w:sz w:val="18"/>
                <w:szCs w:val="18"/>
                <w:color w:val="auto"/>
              </w:rPr>
              <w:t>Netherlands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France SAS</w:t>
            </w:r>
          </w:p>
        </w:tc>
        <w:tc>
          <w:tcPr>
            <w:tcW w:w="7260" w:type="dxa"/>
            <w:vAlign w:val="bottom"/>
          </w:tcPr>
          <w:p>
            <w:pPr>
              <w:ind w:left="3940"/>
              <w:spacing w:after="0"/>
              <w:rPr>
                <w:sz w:val="20"/>
                <w:szCs w:val="20"/>
                <w:color w:val="auto"/>
              </w:rPr>
            </w:pPr>
            <w:r>
              <w:rPr>
                <w:rFonts w:ascii="Arial" w:cs="Arial" w:eastAsia="Arial" w:hAnsi="Arial"/>
                <w:sz w:val="18"/>
                <w:szCs w:val="18"/>
                <w:color w:val="auto"/>
              </w:rPr>
              <w:t>France</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GmbH</w:t>
            </w:r>
          </w:p>
        </w:tc>
        <w:tc>
          <w:tcPr>
            <w:tcW w:w="7260" w:type="dxa"/>
            <w:vAlign w:val="bottom"/>
          </w:tcPr>
          <w:p>
            <w:pPr>
              <w:ind w:left="3940"/>
              <w:spacing w:after="0"/>
              <w:rPr>
                <w:sz w:val="20"/>
                <w:szCs w:val="20"/>
                <w:color w:val="auto"/>
              </w:rPr>
            </w:pPr>
            <w:r>
              <w:rPr>
                <w:rFonts w:ascii="Arial" w:cs="Arial" w:eastAsia="Arial" w:hAnsi="Arial"/>
                <w:sz w:val="18"/>
                <w:szCs w:val="18"/>
                <w:color w:val="auto"/>
              </w:rPr>
              <w:t>Germany</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Holding B.V.</w:t>
            </w:r>
          </w:p>
        </w:tc>
        <w:tc>
          <w:tcPr>
            <w:tcW w:w="7260" w:type="dxa"/>
            <w:vAlign w:val="bottom"/>
          </w:tcPr>
          <w:p>
            <w:pPr>
              <w:ind w:left="3940"/>
              <w:spacing w:after="0"/>
              <w:rPr>
                <w:sz w:val="20"/>
                <w:szCs w:val="20"/>
                <w:color w:val="auto"/>
              </w:rPr>
            </w:pPr>
            <w:r>
              <w:rPr>
                <w:rFonts w:ascii="Arial" w:cs="Arial" w:eastAsia="Arial" w:hAnsi="Arial"/>
                <w:sz w:val="18"/>
                <w:szCs w:val="18"/>
                <w:color w:val="auto"/>
              </w:rPr>
              <w:t>Netherlands</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Hong Kong Limited</w:t>
            </w:r>
          </w:p>
        </w:tc>
        <w:tc>
          <w:tcPr>
            <w:tcW w:w="7260" w:type="dxa"/>
            <w:vAlign w:val="bottom"/>
          </w:tcPr>
          <w:p>
            <w:pPr>
              <w:ind w:left="3940"/>
              <w:spacing w:after="0"/>
              <w:rPr>
                <w:sz w:val="20"/>
                <w:szCs w:val="20"/>
                <w:color w:val="auto"/>
              </w:rPr>
            </w:pPr>
            <w:r>
              <w:rPr>
                <w:rFonts w:ascii="Arial" w:cs="Arial" w:eastAsia="Arial" w:hAnsi="Arial"/>
                <w:sz w:val="18"/>
                <w:szCs w:val="18"/>
                <w:color w:val="auto"/>
              </w:rPr>
              <w:t>Hong Kong</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w w:val="93"/>
              </w:rPr>
              <w:t>SanDisk India Device Design Centre Private Limited</w:t>
            </w:r>
          </w:p>
        </w:tc>
        <w:tc>
          <w:tcPr>
            <w:tcW w:w="7260" w:type="dxa"/>
            <w:vAlign w:val="bottom"/>
          </w:tcPr>
          <w:p>
            <w:pPr>
              <w:ind w:left="3940"/>
              <w:spacing w:after="0"/>
              <w:rPr>
                <w:sz w:val="20"/>
                <w:szCs w:val="20"/>
                <w:color w:val="auto"/>
              </w:rPr>
            </w:pPr>
            <w:r>
              <w:rPr>
                <w:rFonts w:ascii="Arial" w:cs="Arial" w:eastAsia="Arial" w:hAnsi="Arial"/>
                <w:sz w:val="18"/>
                <w:szCs w:val="18"/>
                <w:color w:val="auto"/>
              </w:rPr>
              <w:t>India</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w w:val="92"/>
              </w:rPr>
              <w:t>SanDisk Information Technology (Shanghai) Co. Ltd.</w:t>
            </w:r>
          </w:p>
        </w:tc>
        <w:tc>
          <w:tcPr>
            <w:tcW w:w="7260" w:type="dxa"/>
            <w:vAlign w:val="bottom"/>
          </w:tcPr>
          <w:p>
            <w:pPr>
              <w:ind w:left="3940"/>
              <w:spacing w:after="0"/>
              <w:rPr>
                <w:sz w:val="20"/>
                <w:szCs w:val="20"/>
                <w:color w:val="auto"/>
              </w:rPr>
            </w:pPr>
            <w:r>
              <w:rPr>
                <w:rFonts w:ascii="Arial" w:cs="Arial" w:eastAsia="Arial" w:hAnsi="Arial"/>
                <w:sz w:val="18"/>
                <w:szCs w:val="18"/>
                <w:color w:val="auto"/>
              </w:rPr>
              <w:t>China</w:t>
            </w:r>
          </w:p>
        </w:tc>
      </w:tr>
      <w:tr>
        <w:trPr>
          <w:trHeight w:val="265"/>
        </w:trPr>
        <w:tc>
          <w:tcPr>
            <w:tcW w:w="3980" w:type="dxa"/>
            <w:vAlign w:val="bottom"/>
          </w:tcPr>
          <w:p>
            <w:pPr>
              <w:ind w:left="80"/>
              <w:spacing w:after="0"/>
              <w:rPr>
                <w:sz w:val="20"/>
                <w:szCs w:val="20"/>
                <w:color w:val="auto"/>
              </w:rPr>
            </w:pPr>
            <w:r>
              <w:rPr>
                <w:rFonts w:ascii="Arial" w:cs="Arial" w:eastAsia="Arial" w:hAnsi="Arial"/>
                <w:sz w:val="18"/>
                <w:szCs w:val="18"/>
                <w:color w:val="auto"/>
              </w:rPr>
              <w:t>SanDisk International Holdco B.V.</w:t>
            </w:r>
          </w:p>
        </w:tc>
        <w:tc>
          <w:tcPr>
            <w:tcW w:w="7260" w:type="dxa"/>
            <w:vAlign w:val="bottom"/>
          </w:tcPr>
          <w:p>
            <w:pPr>
              <w:ind w:left="3940"/>
              <w:spacing w:after="0"/>
              <w:rPr>
                <w:sz w:val="20"/>
                <w:szCs w:val="20"/>
                <w:color w:val="auto"/>
              </w:rPr>
            </w:pPr>
            <w:r>
              <w:rPr>
                <w:rFonts w:ascii="Arial" w:cs="Arial" w:eastAsia="Arial" w:hAnsi="Arial"/>
                <w:sz w:val="18"/>
                <w:szCs w:val="18"/>
                <w:color w:val="auto"/>
              </w:rPr>
              <w:t>Netherlands</w:t>
            </w:r>
          </w:p>
        </w:tc>
      </w:tr>
    </w:tbl>
    <w:p>
      <w:pPr>
        <w:sectPr>
          <w:pgSz w:w="11900" w:h="16838" w:orient="portrait"/>
          <w:cols w:equalWidth="0" w:num="1">
            <w:col w:w="11240"/>
          </w:cols>
          <w:pgMar w:left="320" w:top="1393" w:right="339" w:bottom="1440" w:gutter="0" w:footer="0" w:header="0"/>
        </w:sectPr>
      </w:pPr>
    </w:p>
    <w:bookmarkStart w:id="144" w:name="page145"/>
    <w:bookmarkEnd w:id="144"/>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SanDisk International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International Middle East FZE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Italy S.R.L.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Korea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Latin America Holdings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Malaysia Sdn. Bhd.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Manufacturing Americas, LLC</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SanDisk Manufacturing Unlimited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SanDisk Operations Holdings Limited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SanDisk Pazarlama Ve Ticaret Limited Sirketi</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SanDisk Scotland, Limited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SanDisk Semiconductor (Shanghai) Co. Ltd.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SanDisk Spain, S.L.U.</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Storage Malaysia Sdn. Bhd.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Sweden AB</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Switzerland Sarl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Taiwan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Technologies LLC</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SanDisk Technologies India Private Limited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SanDisk Trading (Shanghai) Co. Ltd.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Trading Holdings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SanDisk UK,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SD International Holdings Ltd.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SMART Storage Systems GmbH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STEC Europe B.V.</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STEC International Holding,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STEC Italy SRL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STEC R&amp;D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Suntech Realty, Inc.</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Virident Systems International Holdings Ltd.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Virident Systems,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WD Media (Malaysia) Sdn.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WD Technologies Nigeria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(Argentina) S.A.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(France) SARL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(I.S.)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(Malaysia) Sdn. Bhd.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(Singapore) Pte. Ltd.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(UK) Limited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Australia Pty Ltd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Canada Corporation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Capital Global,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United Arab Emirates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Ontario, Canada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ectPr>
          <w:pgSz w:w="11900" w:h="16838" w:orient="portrait"/>
          <w:cols w:equalWidth="0" w:num="2">
            <w:col w:w="7120" w:space="720"/>
            <w:col w:w="2219"/>
          </w:cols>
          <w:pgMar w:left="400" w:top="1440" w:right="1440" w:bottom="1440" w:gutter="0" w:footer="0" w:header="0"/>
        </w:sectPr>
      </w:pPr>
    </w:p>
    <w:bookmarkStart w:id="145" w:name="page146"/>
    <w:bookmarkEnd w:id="145"/>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Western Digital Capital, LLC</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Western Digital Denmark ApS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Denmark</w:t>
      </w:r>
    </w:p>
    <w:p>
      <w:pPr>
        <w:spacing w:after="0" w:line="81" w:lineRule="exact"/>
        <w:rPr>
          <w:sz w:val="20"/>
          <w:szCs w:val="20"/>
          <w:color w:val="auto"/>
        </w:rPr>
      </w:pPr>
    </w:p>
    <w:p>
      <w:pPr>
        <w:sectPr>
          <w:pgSz w:w="11900" w:h="16838" w:orient="portrait"/>
          <w:cols w:equalWidth="0" w:num="2">
            <w:col w:w="7120" w:space="720"/>
            <w:col w:w="2219"/>
          </w:cols>
          <w:pgMar w:left="400" w:top="1440" w:right="1440" w:bottom="1440" w:gutter="0" w:footer="0" w:header="0"/>
        </w:sectPr>
      </w:pPr>
    </w:p>
    <w:p>
      <w:pPr>
        <w:spacing w:after="0"/>
        <w:rPr>
          <w:sz w:val="20"/>
          <w:szCs w:val="20"/>
          <w:color w:val="auto"/>
        </w:rPr>
      </w:pPr>
      <w:r>
        <w:rPr>
          <w:rFonts w:ascii="Arial" w:cs="Arial" w:eastAsia="Arial" w:hAnsi="Arial"/>
          <w:sz w:val="15"/>
          <w:szCs w:val="15"/>
          <w:color w:val="auto"/>
        </w:rPr>
        <w:t>Western Digital Deutschland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Germany</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Do Brasil Comercio E Distribuicao De Produtos De Informatica Ltda.</w:t>
      </w:r>
    </w:p>
    <w:p>
      <w:pPr>
        <w:spacing w:after="0" w:line="20" w:lineRule="exact"/>
        <w:rPr>
          <w:sz w:val="20"/>
          <w:szCs w:val="20"/>
          <w:color w:val="auto"/>
        </w:rPr>
      </w:pPr>
      <w:r>
        <w:rPr>
          <w:sz w:val="20"/>
          <w:szCs w:val="20"/>
          <w:color w:val="auto"/>
        </w:rPr>
        <w:br w:type="column"/>
      </w:r>
    </w:p>
    <w:p>
      <w:pPr>
        <w:jc w:val="center"/>
        <w:ind w:right="1799"/>
        <w:spacing w:after="0"/>
        <w:rPr>
          <w:sz w:val="20"/>
          <w:szCs w:val="20"/>
          <w:color w:val="auto"/>
        </w:rPr>
      </w:pPr>
      <w:r>
        <w:rPr>
          <w:rFonts w:ascii="Arial" w:cs="Arial" w:eastAsia="Arial" w:hAnsi="Arial"/>
          <w:sz w:val="15"/>
          <w:szCs w:val="15"/>
          <w:color w:val="auto"/>
        </w:rPr>
        <w:t>Brazil</w:t>
      </w:r>
    </w:p>
    <w:p>
      <w:pPr>
        <w:spacing w:after="0" w:line="51"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Federal, LLC</w:t>
      </w:r>
    </w:p>
    <w:p>
      <w:pPr>
        <w:sectPr>
          <w:pgSz w:w="11900" w:h="16838" w:orient="portrait"/>
          <w:cols w:equalWidth="0" w:num="1">
            <w:col w:w="10059"/>
          </w:cols>
          <w:pgMar w:left="400" w:top="1440" w:right="1440"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Western Digital GK</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47"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Hong Kong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Hong Kong</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Information Technology (Shanghai) Company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China</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International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Cayman Islands</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Ireland,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Cayman Islands</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Israel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Israel</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Korea,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Korea</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Latin America,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Delaware</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Western Digital Netherlands B.V.</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Western Digital Storage Technology Innovation Center (Shenzhen) Co. Ltd.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Storage Technologies (Philippines) Corp.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Storage Technologies (Thailand)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Netherlands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Philippines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47"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Taiwan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Taiwan</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Tech and Regional Center (M) Sdn. Bhd.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Malaysia</w:t>
      </w:r>
    </w:p>
    <w:p>
      <w:pPr>
        <w:spacing w:after="0" w:line="93" w:lineRule="exact"/>
        <w:rPr>
          <w:sz w:val="20"/>
          <w:szCs w:val="20"/>
          <w:color w:val="auto"/>
        </w:rPr>
      </w:pPr>
    </w:p>
    <w:p>
      <w:pPr>
        <w:sectPr>
          <w:pgSz w:w="11900" w:h="16838" w:orient="portrait"/>
          <w:cols w:equalWidth="0" w:num="2">
            <w:col w:w="7120" w:space="720"/>
            <w:col w:w="2219"/>
          </w:cols>
          <w:pgMar w:left="400" w:top="144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Western Digital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Delaware</w:t>
      </w:r>
    </w:p>
    <w:p>
      <w:pPr>
        <w:sectPr>
          <w:pgSz w:w="11900" w:h="16838" w:orient="portrait"/>
          <w:cols w:equalWidth="0" w:num="2">
            <w:col w:w="7120" w:space="720"/>
            <w:col w:w="2219"/>
          </w:cols>
          <w:pgMar w:left="400" w:top="1440" w:right="1440"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70"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7"/>
          <w:szCs w:val="17"/>
          <w:color w:val="auto"/>
        </w:rPr>
        <w:t>We consent to the incorporation by reference in the registration statements on Form S-8 (Nos. 333-41423, 33-56128, 333-122475, 333-129813, 333-155661, 333-163133, 333-180286, 333-185194, 333-190290, 333-191216, 333-191910, 333-202646, 333-207842, 333-211420, 33-60168, 333-221407, 333-228331, 333-235257, 333-250968, and 333-250969) of Western Digital Corporation of our report dated August 26, 2021, with respect to the consolidated balance sheets of Western Digital Corporation and subsidiaries as of July 2, 2021 and July 3, 2020, and the related consolidated statements of operations, comprehensive income (loss), cash flows, and shareholders' equity for each of the years in the three-year period ended July 2, 2021, and the related notes (collectively, the consolidated financial statements), and the effectiveness of internal control over financial reporting as of July 2, 2021, which report appears in the July 2, 2021, annual report on Form 10-K of Western Digital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ectPr>
          <w:pgSz w:w="11900" w:h="16838" w:orient="portrait"/>
          <w:cols w:equalWidth="0" w:num="1">
            <w:col w:w="11240"/>
          </w:cols>
          <w:pgMar w:left="320" w:top="89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98" w:lineRule="exact"/>
        <w:rPr>
          <w:sz w:val="20"/>
          <w:szCs w:val="20"/>
          <w:color w:val="auto"/>
        </w:rPr>
      </w:pPr>
    </w:p>
    <w:p>
      <w:pPr>
        <w:ind w:left="500" w:hanging="176"/>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84" w:lineRule="exact"/>
        <w:rPr>
          <w:rFonts w:ascii="Arial" w:cs="Arial" w:eastAsia="Arial" w:hAnsi="Arial"/>
          <w:sz w:val="18"/>
          <w:szCs w:val="18"/>
          <w:color w:val="auto"/>
        </w:rPr>
      </w:pPr>
    </w:p>
    <w:p>
      <w:pPr>
        <w:jc w:val="both"/>
        <w:ind w:right="460" w:firstLine="324"/>
        <w:spacing w:after="0" w:line="359" w:lineRule="auto"/>
        <w:tabs>
          <w:tab w:leader="none" w:pos="495"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40" w:firstLine="324"/>
        <w:spacing w:after="0" w:line="294" w:lineRule="auto"/>
        <w:tabs>
          <w:tab w:leader="none" w:pos="4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right="180" w:firstLine="324"/>
        <w:spacing w:after="0" w:line="255" w:lineRule="auto"/>
        <w:tabs>
          <w:tab w:leader="none" w:pos="4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ind w:right="420" w:firstLine="642"/>
        <w:spacing w:after="0" w:line="255" w:lineRule="auto"/>
        <w:tabs>
          <w:tab w:leader="none" w:pos="80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right="60" w:firstLine="642"/>
        <w:spacing w:after="0" w:line="255" w:lineRule="auto"/>
        <w:tabs>
          <w:tab w:leader="none" w:pos="81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right="920" w:firstLine="642"/>
        <w:spacing w:after="0" w:line="350" w:lineRule="auto"/>
        <w:tabs>
          <w:tab w:leader="none" w:pos="803" w:val="left"/>
        </w:tabs>
        <w:numPr>
          <w:ilvl w:val="1"/>
          <w:numId w:val="7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180" w:firstLine="642"/>
        <w:spacing w:after="0" w:line="255" w:lineRule="auto"/>
        <w:tabs>
          <w:tab w:leader="none" w:pos="81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right="160" w:firstLine="324"/>
        <w:spacing w:after="0" w:line="294" w:lineRule="auto"/>
        <w:tabs>
          <w:tab w:leader="none" w:pos="4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7"/>
          <w:szCs w:val="17"/>
          <w:color w:val="auto"/>
        </w:rPr>
      </w:pPr>
    </w:p>
    <w:p>
      <w:pPr>
        <w:ind w:right="320" w:firstLine="642"/>
        <w:spacing w:after="0" w:line="264" w:lineRule="auto"/>
        <w:tabs>
          <w:tab w:leader="none" w:pos="80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right="260" w:firstLine="642"/>
        <w:spacing w:after="0" w:line="264" w:lineRule="auto"/>
        <w:tabs>
          <w:tab w:leader="none" w:pos="81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10795</wp:posOffset>
            </wp:positionV>
            <wp:extent cx="30460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8"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Chief Executive Officer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2021</w:t>
      </w:r>
    </w:p>
    <w:p>
      <w:pPr>
        <w:sectPr>
          <w:pgSz w:w="11900" w:h="16838" w:orient="portrait"/>
          <w:cols w:equalWidth="0" w:num="1">
            <w:col w:w="11240"/>
          </w:cols>
          <w:pgMar w:left="320" w:top="876"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98" w:lineRule="exact"/>
        <w:rPr>
          <w:sz w:val="20"/>
          <w:szCs w:val="20"/>
          <w:color w:val="auto"/>
        </w:rPr>
      </w:pPr>
    </w:p>
    <w:p>
      <w:pPr>
        <w:ind w:left="500" w:hanging="176"/>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84" w:lineRule="exact"/>
        <w:rPr>
          <w:rFonts w:ascii="Arial" w:cs="Arial" w:eastAsia="Arial" w:hAnsi="Arial"/>
          <w:sz w:val="18"/>
          <w:szCs w:val="18"/>
          <w:color w:val="auto"/>
        </w:rPr>
      </w:pPr>
    </w:p>
    <w:p>
      <w:pPr>
        <w:jc w:val="both"/>
        <w:ind w:right="460" w:firstLine="324"/>
        <w:spacing w:after="0" w:line="359" w:lineRule="auto"/>
        <w:tabs>
          <w:tab w:leader="none" w:pos="495"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40" w:firstLine="324"/>
        <w:spacing w:after="0" w:line="294" w:lineRule="auto"/>
        <w:tabs>
          <w:tab w:leader="none" w:pos="4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right="180" w:firstLine="324"/>
        <w:spacing w:after="0" w:line="255" w:lineRule="auto"/>
        <w:tabs>
          <w:tab w:leader="none" w:pos="4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ind w:right="420" w:firstLine="642"/>
        <w:spacing w:after="0" w:line="255" w:lineRule="auto"/>
        <w:tabs>
          <w:tab w:leader="none" w:pos="80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right="60" w:firstLine="642"/>
        <w:spacing w:after="0" w:line="255" w:lineRule="auto"/>
        <w:tabs>
          <w:tab w:leader="none" w:pos="81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right="920" w:firstLine="642"/>
        <w:spacing w:after="0" w:line="350" w:lineRule="auto"/>
        <w:tabs>
          <w:tab w:leader="none" w:pos="803" w:val="left"/>
        </w:tabs>
        <w:numPr>
          <w:ilvl w:val="1"/>
          <w:numId w:val="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180" w:firstLine="642"/>
        <w:spacing w:after="0" w:line="255" w:lineRule="auto"/>
        <w:tabs>
          <w:tab w:leader="none" w:pos="81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right="160" w:firstLine="324"/>
        <w:spacing w:after="0" w:line="294" w:lineRule="auto"/>
        <w:tabs>
          <w:tab w:leader="none" w:pos="4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7"/>
          <w:szCs w:val="17"/>
          <w:color w:val="auto"/>
        </w:rPr>
      </w:pPr>
    </w:p>
    <w:p>
      <w:pPr>
        <w:ind w:right="320" w:firstLine="642"/>
        <w:spacing w:after="0" w:line="264" w:lineRule="auto"/>
        <w:tabs>
          <w:tab w:leader="none" w:pos="80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right="260" w:firstLine="642"/>
        <w:spacing w:after="0" w:line="264" w:lineRule="auto"/>
        <w:tabs>
          <w:tab w:leader="none" w:pos="81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10795</wp:posOffset>
            </wp:positionV>
            <wp:extent cx="31299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Robert K. Eulau</w:t>
      </w:r>
    </w:p>
    <w:p>
      <w:pPr>
        <w:jc w:val="center"/>
        <w:ind w:left="6240"/>
        <w:spacing w:after="0" w:line="237"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2021</w:t>
      </w:r>
    </w:p>
    <w:p>
      <w:pPr>
        <w:sectPr>
          <w:pgSz w:w="11900" w:h="16838" w:orient="portrait"/>
          <w:cols w:equalWidth="0" w:num="1">
            <w:col w:w="11240"/>
          </w:cols>
          <w:pgMar w:left="320" w:top="876" w:right="339" w:bottom="1440" w:gutter="0" w:footer="0" w:header="0"/>
        </w:sectPr>
      </w:pPr>
    </w:p>
    <w:bookmarkStart w:id="149" w:name="page150"/>
    <w:bookmarkEnd w:id="149"/>
    <w:p>
      <w:pPr>
        <w:ind w:left="10320"/>
        <w:spacing w:after="0"/>
        <w:rPr>
          <w:sz w:val="20"/>
          <w:szCs w:val="20"/>
          <w:color w:val="auto"/>
        </w:rPr>
      </w:pPr>
      <w:r>
        <w:rPr>
          <w:rFonts w:ascii="Arial" w:cs="Arial" w:eastAsia="Arial" w:hAnsi="Arial"/>
          <w:sz w:val="15"/>
          <w:szCs w:val="15"/>
          <w:b w:val="1"/>
          <w:bCs w:val="1"/>
          <w:color w:val="auto"/>
        </w:rPr>
        <w:t>Exhibit 32.1</w:t>
      </w:r>
    </w:p>
    <w:p>
      <w:pPr>
        <w:spacing w:after="0" w:line="2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Pursuant to 18 U.S.C. § 1350, as created by Section 906 of the Sarbanes-Oxley Act of 2002, the undersigned officer of Western Digital Corporation, a</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6" w:lineRule="exact"/>
        <w:rPr>
          <w:sz w:val="20"/>
          <w:szCs w:val="20"/>
          <w:color w:val="auto"/>
        </w:rPr>
      </w:pPr>
    </w:p>
    <w:p>
      <w:pPr>
        <w:ind w:firstLine="324"/>
        <w:spacing w:after="0" w:line="264" w:lineRule="auto"/>
        <w:tabs>
          <w:tab w:leader="none" w:pos="52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period ended July 2, 2021 (the “Report”) fully complies with the requirements of Section 13(a) or Section 15(d), as applicable, of the Securities Exchange Act of 1934, as amended; and</w:t>
      </w:r>
    </w:p>
    <w:p>
      <w:pPr>
        <w:spacing w:after="0" w:line="48" w:lineRule="exact"/>
        <w:rPr>
          <w:rFonts w:ascii="Arial" w:cs="Arial" w:eastAsia="Arial" w:hAnsi="Arial"/>
          <w:sz w:val="18"/>
          <w:szCs w:val="18"/>
          <w:color w:val="auto"/>
        </w:rPr>
      </w:pPr>
    </w:p>
    <w:p>
      <w:pPr>
        <w:ind w:left="580" w:hanging="256"/>
        <w:spacing w:after="0"/>
        <w:tabs>
          <w:tab w:leader="none" w:pos="5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10795</wp:posOffset>
            </wp:positionV>
            <wp:extent cx="30460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8"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Chief Executive Officer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2021</w:t>
      </w:r>
    </w:p>
    <w:p>
      <w:pPr>
        <w:sectPr>
          <w:pgSz w:w="11900" w:h="16838" w:orient="portrait"/>
          <w:cols w:equalWidth="0" w:num="1">
            <w:col w:w="11240"/>
          </w:cols>
          <w:pgMar w:left="320" w:top="876" w:right="339" w:bottom="1440" w:gutter="0" w:footer="0" w:header="0"/>
        </w:sectPr>
      </w:pPr>
    </w:p>
    <w:bookmarkStart w:id="150" w:name="page151"/>
    <w:bookmarkEnd w:id="150"/>
    <w:p>
      <w:pPr>
        <w:ind w:left="10320"/>
        <w:spacing w:after="0"/>
        <w:rPr>
          <w:sz w:val="20"/>
          <w:szCs w:val="20"/>
          <w:color w:val="auto"/>
        </w:rPr>
      </w:pPr>
      <w:r>
        <w:rPr>
          <w:rFonts w:ascii="Arial" w:cs="Arial" w:eastAsia="Arial" w:hAnsi="Arial"/>
          <w:sz w:val="15"/>
          <w:szCs w:val="15"/>
          <w:b w:val="1"/>
          <w:bCs w:val="1"/>
          <w:color w:val="auto"/>
        </w:rPr>
        <w:t>Exhibit 32.2</w:t>
      </w:r>
    </w:p>
    <w:p>
      <w:pPr>
        <w:spacing w:after="0" w:line="2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Pursuant to 18 U.S.C. § 1350, as created by Section 906 of the Sarbanes-Oxley Act of 2002, the undersigned officer of Western Digital Corporation, a</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6" w:lineRule="exact"/>
        <w:rPr>
          <w:sz w:val="20"/>
          <w:szCs w:val="20"/>
          <w:color w:val="auto"/>
        </w:rPr>
      </w:pPr>
    </w:p>
    <w:p>
      <w:pPr>
        <w:ind w:firstLine="324"/>
        <w:spacing w:after="0" w:line="264" w:lineRule="auto"/>
        <w:tabs>
          <w:tab w:leader="none" w:pos="52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period ended July 2, 2021 (the “Report”) fully complies with the requirements of Section 13(a) or Section 15(d), as applicable, of the Securities Exchange Act of 1934, as amended; and</w:t>
      </w:r>
    </w:p>
    <w:p>
      <w:pPr>
        <w:spacing w:after="0" w:line="48" w:lineRule="exact"/>
        <w:rPr>
          <w:rFonts w:ascii="Arial" w:cs="Arial" w:eastAsia="Arial" w:hAnsi="Arial"/>
          <w:sz w:val="18"/>
          <w:szCs w:val="18"/>
          <w:color w:val="auto"/>
        </w:rPr>
      </w:pPr>
    </w:p>
    <w:p>
      <w:pPr>
        <w:ind w:left="580" w:hanging="256"/>
        <w:spacing w:after="0"/>
        <w:tabs>
          <w:tab w:leader="none" w:pos="5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10795</wp:posOffset>
            </wp:positionV>
            <wp:extent cx="30880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Robert K. Eulau</w:t>
      </w:r>
    </w:p>
    <w:p>
      <w:pPr>
        <w:jc w:val="center"/>
        <w:ind w:left="6300"/>
        <w:spacing w:after="0" w:line="237"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August 26, 2021</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lowerRoman"/>
      <w:start w:val="2"/>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21"/>
    </w:lvl>
  </w:abstractNum>
  <w:abstractNum w:abstractNumId="20">
    <w:nsid w:val="38437FDB"/>
    <w:multiLevelType w:val="hybridMultilevel"/>
    <w:lvl w:ilvl="0">
      <w:lvlJc w:val="left"/>
      <w:lvlText w:val="%1"/>
      <w:numFmt w:val="decimal"/>
      <w:start w:val="23"/>
    </w:lvl>
  </w:abstractNum>
  <w:abstractNum w:abstractNumId="21">
    <w:nsid w:val="7644A45C"/>
    <w:multiLevelType w:val="hybridMultilevel"/>
    <w:lvl w:ilvl="0">
      <w:lvlJc w:val="left"/>
      <w:lvlText w:val="†"/>
      <w:numFmt w:val="bullet"/>
      <w:start w:val="1"/>
    </w:lvl>
    <w:lvl w:ilvl="1">
      <w:lvlJc w:val="left"/>
      <w:lvlText w:val="%2"/>
      <w:numFmt w:val="decimal"/>
      <w:start w:val="104"/>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2"/>
    </w:lvl>
  </w:abstractNum>
  <w:abstractNum w:abstractNumId="29">
    <w:nsid w:val="75C6C33A"/>
    <w:multiLevelType w:val="hybridMultilevel"/>
    <w:lvl w:ilvl="0">
      <w:lvlJc w:val="left"/>
      <w:lvlText w:val="(%1)"/>
      <w:numFmt w:val="lowerLetter"/>
      <w:start w:val="1"/>
    </w:lvl>
    <w:lvl w:ilvl="1">
      <w:lvlJc w:val="left"/>
      <w:lvlText w:val="(%2)"/>
      <w:numFmt w:val="lowerLetter"/>
      <w:start w:val="3"/>
    </w:lvl>
  </w:abstractNum>
  <w:abstractNum w:abstractNumId="30">
    <w:nsid w:val="12E685FB"/>
    <w:multiLevelType w:val="hybridMultilevel"/>
    <w:lvl w:ilvl="0">
      <w:lvlJc w:val="left"/>
      <w:lvlText w:val="(%1)"/>
      <w:numFmt w:val="lowerLetter"/>
      <w:start w:val="4"/>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decimal"/>
      <w:start w:val="3"/>
    </w:lvl>
  </w:abstractNum>
  <w:abstractNum w:abstractNumId="34">
    <w:nsid w:val="4F4EF005"/>
    <w:multiLevelType w:val="hybridMultilevel"/>
    <w:lvl w:ilvl="0">
      <w:lvlJc w:val="left"/>
      <w:lvlText w:val="%1."/>
      <w:numFmt w:val="decimal"/>
      <w:start w:val="4"/>
    </w:lvl>
  </w:abstractNum>
  <w:abstractNum w:abstractNumId="35">
    <w:nsid w:val="23F9C13C"/>
    <w:multiLevelType w:val="hybridMultilevel"/>
    <w:lvl w:ilvl="0">
      <w:lvlJc w:val="left"/>
      <w:lvlText w:val="(%1)"/>
      <w:numFmt w:val="lowerRoman"/>
      <w:start w:val="1"/>
    </w:lvl>
  </w:abstractNum>
  <w:abstractNum w:abstractNumId="36">
    <w:nsid w:val="649BB77C"/>
    <w:multiLevelType w:val="hybridMultilevel"/>
    <w:lvl w:ilvl="0">
      <w:lvlJc w:val="left"/>
      <w:lvlText w:val="%1."/>
      <w:numFmt w:val="decimal"/>
      <w:start w:val="5"/>
    </w:lvl>
  </w:abstractNum>
  <w:abstractNum w:abstractNumId="37">
    <w:nsid w:val="275AC794"/>
    <w:multiLevelType w:val="hybridMultilevel"/>
    <w:lvl w:ilvl="0">
      <w:lvlJc w:val="left"/>
      <w:lvlText w:val="%1."/>
      <w:numFmt w:val="decimal"/>
      <w:start w:val="5"/>
    </w:lvl>
  </w:abstractNum>
  <w:abstractNum w:abstractNumId="38">
    <w:nsid w:val="39386575"/>
    <w:multiLevelType w:val="hybridMultilevel"/>
    <w:lvl w:ilvl="0">
      <w:lvlJc w:val="left"/>
      <w:lvlText w:val="%1."/>
      <w:numFmt w:val="decimal"/>
      <w:start w:val="6"/>
    </w:lvl>
  </w:abstractNum>
  <w:abstractNum w:abstractNumId="39">
    <w:nsid w:val="1CF10FD8"/>
    <w:multiLevelType w:val="hybridMultilevel"/>
    <w:lvl w:ilvl="0">
      <w:lvlJc w:val="left"/>
      <w:lvlText w:val="%1."/>
      <w:numFmt w:val="decimal"/>
      <w:start w:val="7"/>
    </w:lvl>
  </w:abstractNum>
  <w:abstractNum w:abstractNumId="40">
    <w:nsid w:val="180115BE"/>
    <w:multiLevelType w:val="hybridMultilevel"/>
    <w:lvl w:ilvl="0">
      <w:lvlJc w:val="left"/>
      <w:lvlText w:val="%1."/>
      <w:numFmt w:val="decimal"/>
      <w:start w:val="8"/>
    </w:lvl>
  </w:abstractNum>
  <w:abstractNum w:abstractNumId="41">
    <w:nsid w:val="235BA861"/>
    <w:multiLevelType w:val="hybridMultilevel"/>
    <w:lvl w:ilvl="0">
      <w:lvlJc w:val="left"/>
      <w:lvlText w:val="%1."/>
      <w:numFmt w:val="decimal"/>
      <w:start w:val="9"/>
    </w:lvl>
  </w:abstractNum>
  <w:abstractNum w:abstractNumId="42">
    <w:nsid w:val="47398C89"/>
    <w:multiLevelType w:val="hybridMultilevel"/>
    <w:lvl w:ilvl="0">
      <w:lvlJc w:val="left"/>
      <w:lvlText w:val="%1."/>
      <w:numFmt w:val="decimal"/>
      <w:start w:val="10"/>
    </w:lvl>
  </w:abstractNum>
  <w:abstractNum w:abstractNumId="43">
    <w:nsid w:val="354FE9F9"/>
    <w:multiLevelType w:val="hybridMultilevel"/>
    <w:lvl w:ilvl="0">
      <w:lvlJc w:val="left"/>
      <w:lvlText w:val="(%1)"/>
      <w:numFmt w:val="decimal"/>
      <w:start w:val="2"/>
    </w:lvl>
  </w:abstractNum>
  <w:abstractNum w:abstractNumId="44">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
    <w:nsid w:val="741226BB"/>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46">
    <w:nsid w:val="D34B6A8"/>
    <w:multiLevelType w:val="hybridMultilevel"/>
    <w:lvl w:ilvl="0">
      <w:lvlJc w:val="left"/>
      <w:lvlText w:val="(%1)"/>
      <w:numFmt w:val="upperLetter"/>
      <w:start w:val="1"/>
    </w:lvl>
  </w:abstractNum>
  <w:abstractNum w:abstractNumId="47">
    <w:nsid w:val="10233C99"/>
    <w:multiLevelType w:val="hybridMultilevel"/>
    <w:lvl w:ilvl="0">
      <w:lvlJc w:val="left"/>
      <w:lvlText w:val="(%1)"/>
      <w:numFmt w:val="upperLetter"/>
      <w:start w:val="3"/>
    </w:lvl>
  </w:abstractNum>
  <w:abstractNum w:abstractNumId="48">
    <w:nsid w:val="3F6AB60F"/>
    <w:multiLevelType w:val="hybridMultilevel"/>
    <w:lvl w:ilvl="0">
      <w:lvlJc w:val="left"/>
      <w:lvlText w:val="(%1)"/>
      <w:numFmt w:val="lowerLetter"/>
      <w:start w:val="4"/>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lowerLetter"/>
      <w:start w:val="2"/>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2"/>
    </w:lvl>
  </w:abstractNum>
  <w:abstractNum w:abstractNumId="53">
    <w:nsid w:val="310C50B3"/>
    <w:multiLevelType w:val="hybridMultilevel"/>
    <w:lvl w:ilvl="0">
      <w:lvlJc w:val="left"/>
      <w:lvlText w:val="%1."/>
      <w:numFmt w:val="decimal"/>
      <w:start w:val="3"/>
    </w:lvl>
  </w:abstractNum>
  <w:abstractNum w:abstractNumId="54">
    <w:nsid w:val="5FF87E05"/>
    <w:multiLevelType w:val="hybridMultilevel"/>
    <w:lvl w:ilvl="0">
      <w:lvlJc w:val="left"/>
      <w:lvlText w:val="%1."/>
      <w:numFmt w:val="decimal"/>
      <w:start w:val="4"/>
    </w:lvl>
  </w:abstractNum>
  <w:abstractNum w:abstractNumId="55">
    <w:nsid w:val="2F305DEF"/>
    <w:multiLevelType w:val="hybridMultilevel"/>
    <w:lvl w:ilvl="0">
      <w:lvlJc w:val="left"/>
      <w:lvlText w:val="%1."/>
      <w:numFmt w:val="decimal"/>
      <w:start w:val="5"/>
    </w:lvl>
  </w:abstractNum>
  <w:abstractNum w:abstractNumId="56">
    <w:nsid w:val="25A70BF7"/>
    <w:multiLevelType w:val="hybridMultilevel"/>
    <w:lvl w:ilvl="0">
      <w:lvlJc w:val="left"/>
      <w:lvlText w:val="(%1)"/>
      <w:numFmt w:val="lowerRoman"/>
      <w:start w:val="2"/>
    </w:lvl>
  </w:abstractNum>
  <w:abstractNum w:abstractNumId="57">
    <w:nsid w:val="1DBABF00"/>
    <w:multiLevelType w:val="hybridMultilevel"/>
    <w:lvl w:ilvl="0">
      <w:lvlJc w:val="left"/>
      <w:lvlText w:val="%1."/>
      <w:numFmt w:val="decimal"/>
      <w:start w:val="6"/>
    </w:lvl>
  </w:abstractNum>
  <w:abstractNum w:abstractNumId="58">
    <w:nsid w:val="4AD084E9"/>
    <w:multiLevelType w:val="hybridMultilevel"/>
    <w:lvl w:ilvl="0">
      <w:lvlJc w:val="left"/>
      <w:lvlText w:val="%1."/>
      <w:numFmt w:val="decimal"/>
      <w:start w:val="7"/>
    </w:lvl>
  </w:abstractNum>
  <w:abstractNum w:abstractNumId="59">
    <w:nsid w:val="1F48EAA1"/>
    <w:multiLevelType w:val="hybridMultilevel"/>
    <w:lvl w:ilvl="0">
      <w:lvlJc w:val="left"/>
      <w:lvlText w:val="%1."/>
      <w:numFmt w:val="decimal"/>
      <w:start w:val="8"/>
    </w:lvl>
  </w:abstractNum>
  <w:abstractNum w:abstractNumId="60">
    <w:nsid w:val="1381823A"/>
    <w:multiLevelType w:val="hybridMultilevel"/>
    <w:lvl w:ilvl="0">
      <w:lvlJc w:val="left"/>
      <w:lvlText w:val="%1."/>
      <w:numFmt w:val="decimal"/>
      <w:start w:val="9"/>
    </w:lvl>
  </w:abstractNum>
  <w:abstractNum w:abstractNumId="61">
    <w:nsid w:val="5DB70AE5"/>
    <w:multiLevelType w:val="hybridMultilevel"/>
    <w:lvl w:ilvl="0">
      <w:lvlJc w:val="left"/>
      <w:lvlText w:val="%1."/>
      <w:numFmt w:val="decimal"/>
      <w:start w:val="10"/>
    </w:lvl>
  </w:abstractNum>
  <w:abstractNum w:abstractNumId="62">
    <w:nsid w:val="100F8FCA"/>
    <w:multiLevelType w:val="hybridMultilevel"/>
    <w:lvl w:ilvl="0">
      <w:lvlJc w:val="left"/>
      <w:lvlText w:val="(%1)"/>
      <w:numFmt w:val="lowerLetter"/>
      <w:start w:val="1"/>
    </w:lvl>
    <w:lvl w:ilvl="1">
      <w:lvlJc w:val="left"/>
      <w:lvlText w:val="(%2)"/>
      <w:numFmt w:val="lowerLetter"/>
      <w:start w:val="9"/>
    </w:lvl>
  </w:abstractNum>
  <w:abstractNum w:abstractNumId="63">
    <w:nsid w:val="6590700B"/>
    <w:multiLevelType w:val="hybridMultilevel"/>
    <w:lvl w:ilvl="0">
      <w:lvlJc w:val="left"/>
      <w:lvlText w:val="(%1)"/>
      <w:numFmt w:val="upperLetter"/>
      <w:start w:val="1"/>
    </w:lvl>
  </w:abstractNum>
  <w:abstractNum w:abstractNumId="64">
    <w:nsid w:val="15014ACB"/>
    <w:multiLevelType w:val="hybridMultilevel"/>
    <w:lvl w:ilvl="0">
      <w:lvlJc w:val="left"/>
      <w:lvlText w:val="(%1)"/>
      <w:numFmt w:val="lowerRoman"/>
      <w:start w:val="2"/>
    </w:lvl>
  </w:abstractNum>
  <w:abstractNum w:abstractNumId="65">
    <w:nsid w:val="5F5E7FD0"/>
    <w:multiLevelType w:val="hybridMultilevel"/>
    <w:lvl w:ilvl="0">
      <w:lvlJc w:val="left"/>
      <w:lvlText w:val="(%1)"/>
      <w:numFmt w:val="upperLetter"/>
      <w:start w:val="1"/>
    </w:lvl>
  </w:abstractNum>
  <w:abstractNum w:abstractNumId="66">
    <w:nsid w:val="98A3148"/>
    <w:multiLevelType w:val="hybridMultilevel"/>
    <w:lvl w:ilvl="0">
      <w:lvlJc w:val="left"/>
      <w:lvlText w:val="(%1)"/>
      <w:numFmt w:val="upperLetter"/>
      <w:start w:val="2"/>
    </w:lvl>
  </w:abstractNum>
  <w:abstractNum w:abstractNumId="67">
    <w:nsid w:val="799D0247"/>
    <w:multiLevelType w:val="hybridMultilevel"/>
    <w:lvl w:ilvl="0">
      <w:lvlJc w:val="left"/>
      <w:lvlText w:val="(%1)"/>
      <w:numFmt w:val="lowerLetter"/>
      <w:start w:val="5"/>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2"/>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lowerRoman"/>
      <w:start w:val="1"/>
    </w:lvl>
  </w:abstractNum>
  <w:abstractNum w:abstractNumId="73">
    <w:nsid w:val="5DC79E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55" Type="http://schemas.openxmlformats.org/officeDocument/2006/relationships/image" Target="media/image115.png"/><Relationship Id="rId171"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120" Type="http://schemas.openxmlformats.org/officeDocument/2006/relationships/hyperlink" Target="https://www.sec.gov/Archives/edgar/data/0000106040/000095013706001502/a17011exv3w1.htm" TargetMode="External"/><Relationship Id="rId121" Type="http://schemas.openxmlformats.org/officeDocument/2006/relationships/hyperlink" Target="https://www.sec.gov/Archives/edgar/data/0000106040/000119312521041457/d128208dex31.htm" TargetMode="External"/><Relationship Id="rId122" Type="http://schemas.openxmlformats.org/officeDocument/2006/relationships/hyperlink" Target="https://www.sec.gov/Archives/edgar/data/106040/000119312518042423/d538323dex41.htm" TargetMode="External"/><Relationship Id="rId123" Type="http://schemas.openxmlformats.org/officeDocument/2006/relationships/hyperlink" Target="https://www.sec.gov/Archives/edgar/data/106040/000119312518042423/d538323dex42.htm" TargetMode="External"/><Relationship Id="rId124" Type="http://schemas.openxmlformats.org/officeDocument/2006/relationships/hyperlink" Target="https://www.sec.gov/Archives/edgar/data/0000106040/000010604021000011/wdc-2021q2ex101.htm" TargetMode="External"/><Relationship Id="rId125" Type="http://schemas.openxmlformats.org/officeDocument/2006/relationships/hyperlink" Target="https://www.sec.gov/Archives/edgar/data/0000106040/000095012311093040/c22815exv10w2.htm" TargetMode="External"/><Relationship Id="rId126" Type="http://schemas.openxmlformats.org/officeDocument/2006/relationships/hyperlink" Target="https://www.sec.gov/Archives/edgar/data/0000106040/000010604018000010/wdc-2018q2ex1013.htm" TargetMode="External"/><Relationship Id="rId127" Type="http://schemas.openxmlformats.org/officeDocument/2006/relationships/hyperlink" Target="https://www.sec.gov/Archives/edgar/data/0000106040/000010604018000010/wdc-2018q2ex1014.htm" TargetMode="External"/><Relationship Id="rId128" Type="http://schemas.openxmlformats.org/officeDocument/2006/relationships/hyperlink" Target="https://www.sec.gov/Archives/edgar/data/0000106040/000010604018000034/wdc-2019q1ex101.htm" TargetMode="External"/><Relationship Id="rId129" Type="http://schemas.openxmlformats.org/officeDocument/2006/relationships/hyperlink" Target="https://www.sec.gov/Archives/edgar/data/0000106040/000010604018000034/wdc-2019q1ex102.htm" TargetMode="External"/><Relationship Id="rId130" Type="http://schemas.openxmlformats.org/officeDocument/2006/relationships/hyperlink" Target="https://www.sec.gov/Archives/edgar/data/0000106040/000010604019000075/wdc-2020q1ex101.htm" TargetMode="External"/><Relationship Id="rId131" Type="http://schemas.openxmlformats.org/officeDocument/2006/relationships/hyperlink" Target="https://www.sec.gov/Archives/edgar/data/0000106040/000010604019000075/wdc-2020q1ex102.htm" TargetMode="External"/><Relationship Id="rId132" Type="http://schemas.openxmlformats.org/officeDocument/2006/relationships/hyperlink" Target="https://www.sec.gov/Archives/edgar/data/0000106040/000010604021000011/wdc-2021q2ex102.htm" TargetMode="External"/><Relationship Id="rId133" Type="http://schemas.openxmlformats.org/officeDocument/2006/relationships/hyperlink" Target="https://www.sec.gov/Archives/edgar/data/106040/000010604016000019/wdc-010116xexhibit1011.htm" TargetMode="External"/><Relationship Id="rId134" Type="http://schemas.openxmlformats.org/officeDocument/2006/relationships/hyperlink" Target="https://www.sec.gov/Archives/edgar/data/106040/000010604016000019/wdc-010116xexhibit1014.htm" TargetMode="External"/><Relationship Id="rId137" Type="http://schemas.openxmlformats.org/officeDocument/2006/relationships/hyperlink" Target="https://www.sec.gov/Archives/edgar/data/0000106040/000010604018000010/wdc-2018q2ex102.htm" TargetMode="External"/><Relationship Id="rId138" Type="http://schemas.openxmlformats.org/officeDocument/2006/relationships/hyperlink" Target="https://www.sec.gov/Archives/edgar/data/0000106040/000010604018000034/wdc-2019q1ex103.htm" TargetMode="External"/><Relationship Id="rId139" Type="http://schemas.openxmlformats.org/officeDocument/2006/relationships/hyperlink" Target="https://www.sec.gov/Archives/edgar/data/0000106040/000010604019000075/wdc-2020q1ex103.htm" TargetMode="External"/><Relationship Id="rId140" Type="http://schemas.openxmlformats.org/officeDocument/2006/relationships/hyperlink" Target="https://www.sec.gov/Archives/edgar/data/0000106040/000010604021000011/wdc-2021q2ex104.htm" TargetMode="External"/><Relationship Id="rId141" Type="http://schemas.openxmlformats.org/officeDocument/2006/relationships/hyperlink" Target="https://www.sec.gov/Archives/edgar/data/0000106040/000010604018000034/wdc-2019q1ex104.htm" TargetMode="External"/><Relationship Id="rId142" Type="http://schemas.openxmlformats.org/officeDocument/2006/relationships/hyperlink" Target="https://www.sec.gov/Archives/edgar/data/0000106040/000010604020000024/wdc-2020q3ex102.htm" TargetMode="External"/><Relationship Id="rId143" Type="http://schemas.openxmlformats.org/officeDocument/2006/relationships/hyperlink" Target="https://www.sec.gov/Archives/edgar/data/0000106040/000010604020000024/wdc-2020q3ex103.htm" TargetMode="External"/><Relationship Id="rId144" Type="http://schemas.openxmlformats.org/officeDocument/2006/relationships/hyperlink" Target="https://www.sec.gov/Archives/edgar/data/0000106040/000010604021000024/wdc-2021q3ex101.htm" TargetMode="External"/><Relationship Id="rId145" Type="http://schemas.openxmlformats.org/officeDocument/2006/relationships/hyperlink" Target="https://www.sec.gov/Archives/edgar/data/0000106040/000119312518320967/d642144dex102.htm" TargetMode="External"/><Relationship Id="rId146" Type="http://schemas.openxmlformats.org/officeDocument/2006/relationships/hyperlink" Target="https://www.sec.gov/Archives/edgar/data/106040/000119312516593317/d194750dex41.htm" TargetMode="External"/><Relationship Id="rId147" Type="http://schemas.openxmlformats.org/officeDocument/2006/relationships/hyperlink" Target="https://www.sec.gov/Archives/edgar/data/106040/000119312512449441/d419625dex104.htm" TargetMode="External"/><Relationship Id="rId148" Type="http://schemas.openxmlformats.org/officeDocument/2006/relationships/hyperlink" Target="https://www.sec.gov/Archives/edgar/data/0000106040/000089256902002190/a85682exv10w4.txt" TargetMode="External"/><Relationship Id="rId149" Type="http://schemas.openxmlformats.org/officeDocument/2006/relationships/hyperlink" Target="https://www.sec.gov/Archives/edgar/data/0000106040/000089256902002190/a85682exv10w5.txt" TargetMode="External"/><Relationship Id="rId150" Type="http://schemas.openxmlformats.org/officeDocument/2006/relationships/hyperlink" Target="https://www.sec.gov/Archives/edgar/data/0000106040/000010604018000029/wdc-2018q4ex1010.htm" TargetMode="External"/><Relationship Id="rId151" Type="http://schemas.openxmlformats.org/officeDocument/2006/relationships/hyperlink" Target="https://www.sec.gov/Archives/edgar/data/0000106040/000010604020000024/wdc-2020q3ex101.htm" TargetMode="External"/><Relationship Id="rId152" Type="http://schemas.openxmlformats.org/officeDocument/2006/relationships/hyperlink" Target="https://www.sec.gov/Archives/edgar/data/106040/000010604020000061/wdc-2021q1ex101.htm" TargetMode="External"/><Relationship Id="rId153" Type="http://schemas.openxmlformats.org/officeDocument/2006/relationships/hyperlink" Target="http://www.sec.gov/Archives/edgar/data/106040/000010604016000022/wdc-040116xexhibit104.htm" TargetMode="External"/><Relationship Id="rId154" Type="http://schemas.openxmlformats.org/officeDocument/2006/relationships/hyperlink" Target="http://www.sec.gov/Archives/edgar/data/106040/000119312516684785/d366731dex101.htm" TargetMode="External"/><Relationship Id="rId156" Type="http://schemas.openxmlformats.org/officeDocument/2006/relationships/hyperlink" Target="http://www.sec.gov/Archives/edgar/data/106040/000119312516717057/d174359dex101.htm" TargetMode="External"/><Relationship Id="rId157" Type="http://schemas.openxmlformats.org/officeDocument/2006/relationships/hyperlink" Target="http://www.sec.gov/Archives/edgar/data/106040/000119312517081848/d315314dex101.htm" TargetMode="External"/><Relationship Id="rId158" Type="http://schemas.openxmlformats.org/officeDocument/2006/relationships/hyperlink" Target="http://www.sec.gov/Archives/edgar/data/106040/000119312517093192/d335503dex101.htm" TargetMode="External"/><Relationship Id="rId159" Type="http://schemas.openxmlformats.org/officeDocument/2006/relationships/hyperlink" Target="https://www.sec.gov/Archives/edgar/data/0000106040/000119312517337353/d490541dex101.htm" TargetMode="External"/><Relationship Id="rId160" Type="http://schemas.openxmlformats.org/officeDocument/2006/relationships/hyperlink" Target="https://www.sec.gov/Archives/edgar/data/0000106040/000119312517355698/d498466dex101.htm" TargetMode="External"/><Relationship Id="rId161" Type="http://schemas.openxmlformats.org/officeDocument/2006/relationships/hyperlink" Target="https://www.sec.gov/Archives/edgar/data/0000106040/000119312518061179/d482474dex101.htm" TargetMode="External"/><Relationship Id="rId162" Type="http://schemas.openxmlformats.org/officeDocument/2006/relationships/hyperlink" Target="https://www.sec.gov/Archives/edgar/data/0000106040/000119312518164083/d542924dex101.htm" TargetMode="External"/><Relationship Id="rId163" Type="http://schemas.openxmlformats.org/officeDocument/2006/relationships/hyperlink" Target="http://www.sec.gov/Archives/edgar/data/106040/000010604019000028/wdc-2019q3ex102.htm" TargetMode="External"/><Relationship Id="rId164" Type="http://schemas.openxmlformats.org/officeDocument/2006/relationships/hyperlink" Target="https://www.sec.gov/Archives/edgar/data/106040/000010604020000049/wdc-2020q4ex101310.htm" TargetMode="External"/><Relationship Id="rId165" Type="http://schemas.openxmlformats.org/officeDocument/2006/relationships/hyperlink" Target="http://www.sec.gov/Archives/edgar/data/106040/000119312516570122/d189018dex102.htm" TargetMode="External"/><Relationship Id="rId166" Type="http://schemas.openxmlformats.org/officeDocument/2006/relationships/hyperlink" Target="https://www.sec.gov/Archives/edgar/data/106040/000119312516588382/d154176dex102.htm" TargetMode="External"/><Relationship Id="rId167" Type="http://schemas.openxmlformats.org/officeDocument/2006/relationships/hyperlink" Target="http://www.sec.gov/Archives/edgar/data/1000180/000095013406020940/f24678exv10w1.htm" TargetMode="External"/><Relationship Id="rId168" Type="http://schemas.openxmlformats.org/officeDocument/2006/relationships/hyperlink" Target="http://www.sec.gov/Archives/edgar/data/1000180/000095013406020940/f24678exv10w2.htm" TargetMode="External"/><Relationship Id="rId169" Type="http://schemas.openxmlformats.org/officeDocument/2006/relationships/hyperlink" Target="http://www.sec.gov/Archives/edgar/data/1000180/000100018009000020/ex10_1.htm" TargetMode="External"/><Relationship Id="rId170" Type="http://schemas.openxmlformats.org/officeDocument/2006/relationships/hyperlink" Target="http://www.sec.gov/Archives/edgar/data/1000180/000100018016000068/sndkex-1037xnewy2facilitya.htm" TargetMode="External"/><Relationship Id="rId172" Type="http://schemas.openxmlformats.org/officeDocument/2006/relationships/hyperlink" Target="https://www.sec.gov/Archives/edgar/data/0000106040/000010604018000010/wdc-2018q2ex106.htm" TargetMode="External"/><Relationship Id="rId173" Type="http://schemas.openxmlformats.org/officeDocument/2006/relationships/hyperlink" Target="https://www.sec.gov/Archives/edgar/data/0000106040/000010604018000010/wdc-2018q2ex107.htm" TargetMode="External"/><Relationship Id="rId174" Type="http://schemas.openxmlformats.org/officeDocument/2006/relationships/hyperlink" Target="https://www.sec.gov/Archives/edgar/data/0000106040/000010604019000058/wdc-2019q4ex1022.htm" TargetMode="External"/><Relationship Id="rId175" Type="http://schemas.openxmlformats.org/officeDocument/2006/relationships/hyperlink" Target="https://www.sec.gov/Archives/edgar/data/0000106040/000010604018000010/wdc-2018q2ex108.htm" TargetMode="External"/><Relationship Id="rId176" Type="http://schemas.openxmlformats.org/officeDocument/2006/relationships/hyperlink" Target="https://www.sec.gov/Archives/edgar/data/0000106040/000010604018000010/wdc-2018q2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2021-08-27T05:19:47Z</dcterms:created>
  <dcterms:modified xsi:type="dcterms:W3CDTF">2021-08-27T05:19:47Z</dcterms:modified>
</cp:coreProperties>
</file>