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49530</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41910</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(Mark One)</w:t>
      </w:r>
    </w:p>
    <w:p>
      <w:pPr>
        <w:spacing w:after="0" w:line="37"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October 1, 2021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9" w:lineRule="exact"/>
        <w:rPr>
          <w:sz w:val="24"/>
          <w:szCs w:val="24"/>
          <w:color w:val="auto"/>
        </w:rPr>
      </w:pPr>
    </w:p>
    <w:p>
      <w:pPr>
        <w:ind w:left="36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-6985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160020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369570</wp:posOffset>
            </wp:positionV>
            <wp:extent cx="289750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WESTERN DIGITAL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05"/>
        </w:trPr>
        <w:tc>
          <w:tcPr>
            <w:tcW w:w="2000" w:type="dxa"/>
            <w:vAlign w:val="bottom"/>
          </w:tcPr>
          <w:p>
            <w:pPr>
              <w:jc w:val="center"/>
              <w:ind w:left="1293"/>
              <w:spacing w:after="0"/>
              <w:rPr>
                <w:sz w:val="20"/>
                <w:szCs w:val="20"/>
                <w:color w:val="auto"/>
              </w:rPr>
            </w:pPr>
            <w:r>
              <w:rPr>
                <w:rFonts w:ascii="Arial" w:cs="Arial" w:eastAsia="Arial" w:hAnsi="Arial"/>
                <w:sz w:val="16"/>
                <w:szCs w:val="16"/>
                <w:b w:val="1"/>
                <w:bCs w:val="1"/>
                <w:color w:val="auto"/>
                <w:w w:val="91"/>
              </w:rPr>
              <w:t>Delaware</w:t>
            </w:r>
          </w:p>
        </w:tc>
        <w:tc>
          <w:tcPr>
            <w:tcW w:w="7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540" w:type="dxa"/>
            <w:vAlign w:val="bottom"/>
          </w:tcPr>
          <w:p>
            <w:pPr>
              <w:jc w:val="right"/>
              <w:ind w:right="43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25"/>
        </w:trPr>
        <w:tc>
          <w:tcPr>
            <w:tcW w:w="2740" w:type="dxa"/>
            <w:vAlign w:val="bottom"/>
            <w:gridSpan w:val="2"/>
          </w:tcPr>
          <w:p>
            <w:pPr>
              <w:jc w:val="center"/>
              <w:ind w:left="553"/>
              <w:spacing w:after="0" w:line="126" w:lineRule="exact"/>
              <w:rPr>
                <w:sz w:val="20"/>
                <w:szCs w:val="20"/>
                <w:color w:val="auto"/>
              </w:rPr>
            </w:pPr>
            <w:r>
              <w:rPr>
                <w:rFonts w:ascii="Arial" w:cs="Arial" w:eastAsia="Arial" w:hAnsi="Arial"/>
                <w:sz w:val="12"/>
                <w:szCs w:val="12"/>
                <w:i w:val="1"/>
                <w:iCs w:val="1"/>
                <w:color w:val="auto"/>
                <w:w w:val="95"/>
              </w:rPr>
              <w:t>(State or other jurisdiction of</w:t>
            </w:r>
          </w:p>
        </w:tc>
        <w:tc>
          <w:tcPr>
            <w:tcW w:w="2520" w:type="dxa"/>
            <w:vAlign w:val="bottom"/>
          </w:tcPr>
          <w:p>
            <w:pPr>
              <w:spacing w:after="0"/>
              <w:rPr>
                <w:sz w:val="10"/>
                <w:szCs w:val="10"/>
                <w:color w:val="auto"/>
              </w:rPr>
            </w:pPr>
          </w:p>
        </w:tc>
        <w:tc>
          <w:tcPr>
            <w:tcW w:w="3540" w:type="dxa"/>
            <w:vAlign w:val="bottom"/>
            <w:vMerge w:val="restart"/>
          </w:tcPr>
          <w:p>
            <w:pPr>
              <w:jc w:val="center"/>
              <w:ind w:left="1712"/>
              <w:spacing w:after="0"/>
              <w:rPr>
                <w:sz w:val="20"/>
                <w:szCs w:val="20"/>
                <w:color w:val="auto"/>
              </w:rPr>
            </w:pPr>
            <w:r>
              <w:rPr>
                <w:rFonts w:ascii="Arial" w:cs="Arial" w:eastAsia="Arial" w:hAnsi="Arial"/>
                <w:sz w:val="12"/>
                <w:szCs w:val="12"/>
                <w:i w:val="1"/>
                <w:iCs w:val="1"/>
                <w:color w:val="auto"/>
                <w:w w:val="95"/>
              </w:rPr>
              <w:t>(I.R.S. Employer Identification No.)</w:t>
            </w:r>
          </w:p>
        </w:tc>
        <w:tc>
          <w:tcPr>
            <w:tcW w:w="0" w:type="dxa"/>
            <w:vAlign w:val="bottom"/>
          </w:tcPr>
          <w:p>
            <w:pPr>
              <w:spacing w:after="0"/>
              <w:rPr>
                <w:sz w:val="1"/>
                <w:szCs w:val="1"/>
                <w:color w:val="auto"/>
              </w:rPr>
            </w:pPr>
          </w:p>
        </w:tc>
      </w:tr>
      <w:tr>
        <w:trPr>
          <w:trHeight w:val="156"/>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7"/>
              </w:rPr>
              <w:t>incorporation or organization)</w:t>
            </w:r>
          </w:p>
        </w:tc>
        <w:tc>
          <w:tcPr>
            <w:tcW w:w="25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00" w:type="dxa"/>
            <w:vAlign w:val="bottom"/>
          </w:tcPr>
          <w:p>
            <w:pPr>
              <w:spacing w:after="0"/>
              <w:rPr>
                <w:sz w:val="20"/>
                <w:szCs w:val="20"/>
                <w:color w:val="auto"/>
              </w:rPr>
            </w:pPr>
            <w:r>
              <w:rPr>
                <w:rFonts w:ascii="Arial" w:cs="Arial" w:eastAsia="Arial" w:hAnsi="Arial"/>
                <w:sz w:val="14"/>
                <w:szCs w:val="14"/>
                <w:b w:val="1"/>
                <w:bCs w:val="1"/>
                <w:color w:val="auto"/>
              </w:rPr>
              <w:t>5601 Great Oaks Parkway</w:t>
            </w:r>
          </w:p>
        </w:tc>
        <w:tc>
          <w:tcPr>
            <w:tcW w:w="740" w:type="dxa"/>
            <w:vAlign w:val="bottom"/>
          </w:tcPr>
          <w:p>
            <w:pPr>
              <w:spacing w:after="0"/>
              <w:rPr>
                <w:sz w:val="20"/>
                <w:szCs w:val="20"/>
                <w:color w:val="auto"/>
              </w:rPr>
            </w:pPr>
            <w:r>
              <w:rPr>
                <w:rFonts w:ascii="Arial" w:cs="Arial" w:eastAsia="Arial" w:hAnsi="Arial"/>
                <w:sz w:val="14"/>
                <w:szCs w:val="14"/>
                <w:b w:val="1"/>
                <w:bCs w:val="1"/>
                <w:color w:val="auto"/>
              </w:rPr>
              <w:t>San Jose,</w:t>
            </w:r>
          </w:p>
        </w:tc>
        <w:tc>
          <w:tcPr>
            <w:tcW w:w="2520" w:type="dxa"/>
            <w:vAlign w:val="bottom"/>
          </w:tcPr>
          <w:p>
            <w:pPr>
              <w:ind w:left="100"/>
              <w:spacing w:after="0"/>
              <w:rPr>
                <w:sz w:val="20"/>
                <w:szCs w:val="20"/>
                <w:color w:val="auto"/>
              </w:rPr>
            </w:pPr>
            <w:r>
              <w:rPr>
                <w:rFonts w:ascii="Arial" w:cs="Arial" w:eastAsia="Arial" w:hAnsi="Arial"/>
                <w:sz w:val="14"/>
                <w:szCs w:val="14"/>
                <w:b w:val="1"/>
                <w:bCs w:val="1"/>
                <w:color w:val="auto"/>
              </w:rPr>
              <w:t>California</w:t>
            </w:r>
          </w:p>
        </w:tc>
        <w:tc>
          <w:tcPr>
            <w:tcW w:w="3540" w:type="dxa"/>
            <w:vAlign w:val="bottom"/>
          </w:tcPr>
          <w:p>
            <w:pPr>
              <w:jc w:val="right"/>
              <w:ind w:right="65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65"/>
        </w:trPr>
        <w:tc>
          <w:tcPr>
            <w:tcW w:w="2740" w:type="dxa"/>
            <w:vAlign w:val="bottom"/>
            <w:gridSpan w:val="2"/>
          </w:tcPr>
          <w:p>
            <w:pPr>
              <w:jc w:val="center"/>
              <w:ind w:left="553"/>
              <w:spacing w:after="0"/>
              <w:rPr>
                <w:sz w:val="20"/>
                <w:szCs w:val="20"/>
                <w:color w:val="auto"/>
              </w:rPr>
            </w:pPr>
            <w:r>
              <w:rPr>
                <w:rFonts w:ascii="Arial" w:cs="Arial" w:eastAsia="Arial" w:hAnsi="Arial"/>
                <w:sz w:val="12"/>
                <w:szCs w:val="12"/>
                <w:i w:val="1"/>
                <w:iCs w:val="1"/>
                <w:color w:val="auto"/>
                <w:w w:val="93"/>
              </w:rPr>
              <w:t>(Address of principal executive offices)</w:t>
            </w:r>
          </w:p>
        </w:tc>
        <w:tc>
          <w:tcPr>
            <w:tcW w:w="2520" w:type="dxa"/>
            <w:vAlign w:val="bottom"/>
          </w:tcPr>
          <w:p>
            <w:pPr>
              <w:spacing w:after="0"/>
              <w:rPr>
                <w:sz w:val="14"/>
                <w:szCs w:val="14"/>
                <w:color w:val="auto"/>
              </w:rPr>
            </w:pPr>
          </w:p>
        </w:tc>
        <w:tc>
          <w:tcPr>
            <w:tcW w:w="3540" w:type="dxa"/>
            <w:vAlign w:val="bottom"/>
          </w:tcPr>
          <w:p>
            <w:pPr>
              <w:jc w:val="center"/>
              <w:ind w:left="1692"/>
              <w:spacing w:after="0"/>
              <w:rPr>
                <w:sz w:val="20"/>
                <w:szCs w:val="20"/>
                <w:color w:val="auto"/>
              </w:rPr>
            </w:pPr>
            <w:r>
              <w:rPr>
                <w:rFonts w:ascii="Arial" w:cs="Arial" w:eastAsia="Arial" w:hAnsi="Arial"/>
                <w:sz w:val="12"/>
                <w:szCs w:val="12"/>
                <w:i w:val="1"/>
                <w:iCs w:val="1"/>
                <w:color w:val="auto"/>
                <w:w w:val="95"/>
              </w:rPr>
              <w:t>(Zip Code)</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191"/>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9"/>
              </w:rPr>
              <w:t>Trading symbol(s)</w:t>
            </w:r>
          </w:p>
        </w:tc>
        <w:tc>
          <w:tcPr>
            <w:tcW w:w="2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60"/>
              <w:spacing w:after="0"/>
              <w:rPr>
                <w:sz w:val="20"/>
                <w:szCs w:val="20"/>
                <w:color w:val="auto"/>
              </w:rPr>
            </w:pPr>
            <w:r>
              <w:rPr>
                <w:rFonts w:ascii="Arial" w:cs="Arial" w:eastAsia="Arial" w:hAnsi="Arial"/>
                <w:sz w:val="14"/>
                <w:szCs w:val="14"/>
                <w:color w:val="auto"/>
                <w:w w:val="89"/>
              </w:rPr>
              <w:t>Common Stock, $.01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Arial" w:cs="Arial" w:eastAsia="Arial" w:hAnsi="Arial"/>
                <w:sz w:val="14"/>
                <w:szCs w:val="14"/>
                <w:color w:val="auto"/>
                <w:w w:val="95"/>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Arial" w:cs="Arial" w:eastAsia="Arial" w:hAnsi="Arial"/>
                <w:sz w:val="14"/>
                <w:szCs w:val="14"/>
                <w:color w:val="auto"/>
                <w:w w:val="92"/>
              </w:rPr>
              <w:t>The Nasdaq Stock Market LLC</w:t>
            </w:r>
          </w:p>
        </w:tc>
      </w:tr>
      <w:tr>
        <w:trPr>
          <w:trHeight w:val="18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jc w:val="center"/>
              <w:ind w:right="130"/>
              <w:spacing w:after="0"/>
              <w:rPr>
                <w:sz w:val="20"/>
                <w:szCs w:val="20"/>
                <w:color w:val="auto"/>
              </w:rPr>
            </w:pPr>
            <w:r>
              <w:rPr>
                <w:rFonts w:ascii="Arial" w:cs="Arial" w:eastAsia="Arial" w:hAnsi="Arial"/>
                <w:sz w:val="14"/>
                <w:szCs w:val="14"/>
                <w:color w:val="auto"/>
                <w:w w:val="91"/>
              </w:rPr>
              <w:t>(Nasdaq Global Select Market)</w:t>
            </w:r>
          </w:p>
        </w:tc>
      </w:tr>
      <w:tr>
        <w:trPr>
          <w:trHeight w:val="182"/>
        </w:trPr>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60" w:type="dxa"/>
            <w:vAlign w:val="bottom"/>
          </w:tcPr>
          <w:p>
            <w:pPr>
              <w:spacing w:after="0"/>
              <w:rPr>
                <w:sz w:val="15"/>
                <w:szCs w:val="15"/>
                <w:color w:val="auto"/>
              </w:rPr>
            </w:pPr>
          </w:p>
        </w:tc>
      </w:tr>
    </w:tbl>
    <w:p>
      <w:pPr>
        <w:spacing w:after="0" w:line="232" w:lineRule="exact"/>
        <w:rPr>
          <w:sz w:val="24"/>
          <w:szCs w:val="24"/>
          <w:color w:val="auto"/>
        </w:rPr>
      </w:pPr>
    </w:p>
    <w:p>
      <w:pPr>
        <w:ind w:right="12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right="40"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9180" w:type="dxa"/>
            <w:vAlign w:val="bottom"/>
            <w:gridSpan w:val="4"/>
          </w:tcPr>
          <w:p>
            <w:pPr>
              <w:spacing w:after="0"/>
              <w:rPr>
                <w:sz w:val="20"/>
                <w:szCs w:val="20"/>
                <w:color w:val="auto"/>
              </w:rPr>
            </w:pPr>
            <w:r>
              <w:rPr>
                <w:rFonts w:ascii="Arial" w:cs="Arial" w:eastAsia="Arial" w:hAnsi="Arial"/>
                <w:sz w:val="14"/>
                <w:szCs w:val="14"/>
                <w:color w:val="auto"/>
                <w:w w:val="96"/>
              </w:rPr>
              <w:t>definitions of “large accelerated filer,” “accelerated filer,” “smaller reporting company,” and “emerging growth company” in Rule 12b-2 of the Exchange Act.</w:t>
            </w:r>
          </w:p>
        </w:tc>
        <w:tc>
          <w:tcPr>
            <w:tcW w:w="2060" w:type="dxa"/>
            <w:vAlign w:val="bottom"/>
          </w:tcPr>
          <w:p>
            <w:pPr>
              <w:spacing w:after="0"/>
              <w:rPr>
                <w:sz w:val="15"/>
                <w:szCs w:val="15"/>
                <w:color w:val="auto"/>
              </w:rPr>
            </w:pPr>
          </w:p>
        </w:tc>
      </w:tr>
      <w:tr>
        <w:trPr>
          <w:trHeight w:val="179"/>
        </w:trPr>
        <w:tc>
          <w:tcPr>
            <w:tcW w:w="2460" w:type="dxa"/>
            <w:vAlign w:val="bottom"/>
          </w:tcPr>
          <w:p>
            <w:pPr>
              <w:jc w:val="center"/>
              <w:ind w:left="10"/>
              <w:spacing w:after="0"/>
              <w:rPr>
                <w:sz w:val="20"/>
                <w:szCs w:val="20"/>
                <w:color w:val="auto"/>
              </w:rPr>
            </w:pPr>
            <w:r>
              <w:rPr>
                <w:rFonts w:ascii="Arial" w:cs="Arial" w:eastAsia="Arial" w:hAnsi="Arial"/>
                <w:sz w:val="14"/>
                <w:szCs w:val="14"/>
                <w:color w:val="auto"/>
                <w:w w:val="90"/>
              </w:rPr>
              <w:t>Large accelerated filer</w:t>
            </w: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Accelerated filer</w:t>
            </w:r>
          </w:p>
        </w:tc>
        <w:tc>
          <w:tcPr>
            <w:tcW w:w="2220" w:type="dxa"/>
            <w:vAlign w:val="bottom"/>
          </w:tcPr>
          <w:p>
            <w:pPr>
              <w:jc w:val="center"/>
              <w:ind w:left="90"/>
              <w:spacing w:after="0"/>
              <w:rPr>
                <w:sz w:val="20"/>
                <w:szCs w:val="20"/>
                <w:color w:val="auto"/>
              </w:rPr>
            </w:pPr>
            <w:r>
              <w:rPr>
                <w:rFonts w:ascii="Arial" w:cs="Arial" w:eastAsia="Arial" w:hAnsi="Arial"/>
                <w:sz w:val="14"/>
                <w:szCs w:val="14"/>
                <w:color w:val="auto"/>
                <w:w w:val="91"/>
              </w:rPr>
              <w:t>Non-accelerated filer</w:t>
            </w:r>
          </w:p>
        </w:tc>
        <w:tc>
          <w:tcPr>
            <w:tcW w:w="2400" w:type="dxa"/>
            <w:vAlign w:val="bottom"/>
          </w:tcPr>
          <w:p>
            <w:pPr>
              <w:jc w:val="center"/>
              <w:spacing w:after="0"/>
              <w:rPr>
                <w:sz w:val="20"/>
                <w:szCs w:val="20"/>
                <w:color w:val="auto"/>
              </w:rPr>
            </w:pPr>
            <w:r>
              <w:rPr>
                <w:rFonts w:ascii="Arial" w:cs="Arial" w:eastAsia="Arial" w:hAnsi="Arial"/>
                <w:sz w:val="14"/>
                <w:szCs w:val="14"/>
                <w:color w:val="auto"/>
                <w:w w:val="92"/>
              </w:rPr>
              <w:t>Smaller reporting company</w:t>
            </w:r>
          </w:p>
        </w:tc>
        <w:tc>
          <w:tcPr>
            <w:tcW w:w="2060" w:type="dxa"/>
            <w:vAlign w:val="bottom"/>
          </w:tcPr>
          <w:p>
            <w:pPr>
              <w:jc w:val="center"/>
              <w:ind w:left="10"/>
              <w:spacing w:after="0"/>
              <w:rPr>
                <w:sz w:val="20"/>
                <w:szCs w:val="20"/>
                <w:color w:val="auto"/>
              </w:rPr>
            </w:pPr>
            <w:r>
              <w:rPr>
                <w:rFonts w:ascii="Arial" w:cs="Arial" w:eastAsia="Arial" w:hAnsi="Arial"/>
                <w:sz w:val="14"/>
                <w:szCs w:val="14"/>
                <w:color w:val="auto"/>
                <w:w w:val="92"/>
              </w:rPr>
              <w:t>Emerging growth company</w:t>
            </w:r>
          </w:p>
        </w:tc>
      </w:tr>
      <w:tr>
        <w:trPr>
          <w:trHeight w:val="220"/>
        </w:trPr>
        <w:tc>
          <w:tcPr>
            <w:tcW w:w="2460" w:type="dxa"/>
            <w:vAlign w:val="bottom"/>
          </w:tcPr>
          <w:p>
            <w:pPr>
              <w:jc w:val="center"/>
              <w:ind w:left="10"/>
              <w:spacing w:after="0" w:line="141" w:lineRule="exact"/>
              <w:rPr>
                <w:sz w:val="20"/>
                <w:szCs w:val="20"/>
                <w:color w:val="auto"/>
              </w:rPr>
            </w:pPr>
            <w:r>
              <w:rPr>
                <w:rFonts w:ascii="MS PGothic" w:cs="MS PGothic" w:eastAsia="MS PGothic" w:hAnsi="MS PGothic"/>
                <w:sz w:val="14"/>
                <w:szCs w:val="14"/>
                <w:color w:val="auto"/>
                <w:w w:val="99"/>
              </w:rPr>
              <w:t>☒</w:t>
            </w:r>
          </w:p>
        </w:tc>
        <w:tc>
          <w:tcPr>
            <w:tcW w:w="21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ind w:left="70"/>
              <w:spacing w:after="0" w:line="141" w:lineRule="exact"/>
              <w:rPr>
                <w:sz w:val="20"/>
                <w:szCs w:val="20"/>
                <w:color w:val="auto"/>
              </w:rPr>
            </w:pPr>
            <w:r>
              <w:rPr>
                <w:rFonts w:ascii="MS PGothic" w:cs="MS PGothic" w:eastAsia="MS PGothic" w:hAnsi="MS PGothic"/>
                <w:sz w:val="14"/>
                <w:szCs w:val="14"/>
                <w:color w:val="auto"/>
                <w:w w:val="85"/>
              </w:rPr>
              <w:t>☐</w:t>
            </w:r>
          </w:p>
        </w:tc>
        <w:tc>
          <w:tcPr>
            <w:tcW w:w="2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0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162"/>
        </w:trPr>
        <w:tc>
          <w:tcPr>
            <w:tcW w:w="2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 w:name="page2"/>
    <w:bookmarkEnd w:id="1"/>
    <w:p>
      <w:pPr>
        <w:ind w:firstLine="316"/>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0"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the close of business on October 28, 2021, 311,622,921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541655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40"/>
          </w:cols>
          <w:pgMar w:left="320" w:top="1031" w:right="8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19"/>
                <w:szCs w:val="19"/>
                <w:color w:val="auto"/>
              </w:rPr>
            </w:pPr>
          </w:p>
        </w:tc>
        <w:tc>
          <w:tcPr>
            <w:tcW w:w="89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8960" w:type="dxa"/>
            <w:vAlign w:val="bottom"/>
          </w:tcPr>
          <w:p>
            <w:pPr>
              <w:ind w:left="480"/>
              <w:spacing w:after="0" w:line="185" w:lineRule="exact"/>
              <w:rPr>
                <w:sz w:val="20"/>
                <w:szCs w:val="20"/>
                <w:color w:val="auto"/>
              </w:rPr>
            </w:pPr>
            <w:r>
              <w:rPr>
                <w:rFonts w:ascii="Arial" w:cs="Arial" w:eastAsia="Arial" w:hAnsi="Arial"/>
                <w:sz w:val="18"/>
                <w:szCs w:val="18"/>
                <w:color w:val="auto"/>
              </w:rPr>
              <w:t>Condensed Consolidated Balance Sheets — As of October 1, 2021 and July 2, 2021</w:t>
            </w:r>
          </w:p>
        </w:tc>
        <w:tc>
          <w:tcPr>
            <w:tcW w:w="760" w:type="dxa"/>
            <w:vAlign w:val="bottom"/>
            <w:gridSpan w:val="2"/>
          </w:tcPr>
          <w:p>
            <w:pPr>
              <w:jc w:val="center"/>
              <w:ind w:left="592"/>
              <w:spacing w:after="0" w:line="185"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5</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2"/>
              </w:rPr>
              <w:t>Condensed Consolidated Statements of Operations — Three Months Ended October 1, 2021 and October 2, 2020</w:t>
            </w:r>
          </w:p>
        </w:tc>
        <w:tc>
          <w:tcPr>
            <w:tcW w:w="760" w:type="dxa"/>
            <w:vAlign w:val="bottom"/>
            <w:gridSpan w:val="2"/>
            <w:shd w:val="clear" w:color="auto" w:fill="CCEEFF"/>
          </w:tcPr>
          <w:p>
            <w:pPr>
              <w:jc w:val="center"/>
              <w:ind w:left="592"/>
              <w:spacing w:after="0" w:line="195" w:lineRule="exact"/>
              <w:rPr>
                <w:rFonts w:ascii="Arial" w:cs="Arial" w:eastAsia="Arial" w:hAnsi="Arial"/>
                <w:sz w:val="18"/>
                <w:szCs w:val="18"/>
                <w:color w:val="3635D6"/>
                <w:w w:val="79"/>
              </w:rPr>
            </w:pPr>
            <w:hyperlink w:anchor="page5">
              <w:r>
                <w:rPr>
                  <w:rFonts w:ascii="Arial" w:cs="Arial" w:eastAsia="Arial" w:hAnsi="Arial"/>
                  <w:sz w:val="18"/>
                  <w:szCs w:val="18"/>
                  <w:color w:val="3635D6"/>
                  <w:w w:val="79"/>
                </w:rPr>
                <w:t>6</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tcPr>
          <w:p>
            <w:pPr>
              <w:spacing w:after="0"/>
              <w:rPr>
                <w:sz w:val="14"/>
                <w:szCs w:val="14"/>
                <w:color w:val="auto"/>
              </w:rPr>
            </w:pPr>
          </w:p>
        </w:tc>
        <w:tc>
          <w:tcPr>
            <w:tcW w:w="8960" w:type="dxa"/>
            <w:vAlign w:val="bottom"/>
          </w:tcPr>
          <w:p>
            <w:pPr>
              <w:ind w:left="480"/>
              <w:spacing w:after="0" w:line="172" w:lineRule="exact"/>
              <w:rPr>
                <w:sz w:val="20"/>
                <w:szCs w:val="20"/>
                <w:color w:val="auto"/>
              </w:rPr>
            </w:pPr>
            <w:r>
              <w:rPr>
                <w:rFonts w:ascii="Arial" w:cs="Arial" w:eastAsia="Arial" w:hAnsi="Arial"/>
                <w:sz w:val="18"/>
                <w:szCs w:val="18"/>
                <w:color w:val="auto"/>
                <w:w w:val="90"/>
              </w:rPr>
              <w:t>Condensed Consolidated Statements of Comprehensive Income (Loss) — Three Months Ended October 1, 2021 and</w:t>
            </w:r>
          </w:p>
        </w:tc>
        <w:tc>
          <w:tcPr>
            <w:tcW w:w="760" w:type="dxa"/>
            <w:vAlign w:val="bottom"/>
            <w:gridSpan w:val="2"/>
            <w:vMerge w:val="restart"/>
          </w:tcPr>
          <w:p>
            <w:pPr>
              <w:jc w:val="center"/>
              <w:ind w:left="592"/>
              <w:spacing w:after="0"/>
              <w:rPr>
                <w:rFonts w:ascii="Arial" w:cs="Arial" w:eastAsia="Arial" w:hAnsi="Arial"/>
                <w:sz w:val="18"/>
                <w:szCs w:val="18"/>
                <w:color w:val="3635D6"/>
                <w:w w:val="79"/>
              </w:rPr>
            </w:pPr>
            <w:hyperlink w:anchor="page6">
              <w:r>
                <w:rPr>
                  <w:rFonts w:ascii="Arial" w:cs="Arial" w:eastAsia="Arial" w:hAnsi="Arial"/>
                  <w:sz w:val="18"/>
                  <w:szCs w:val="18"/>
                  <w:color w:val="3635D6"/>
                  <w:w w:val="79"/>
                </w:rPr>
                <w:t>7</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5"/>
                <w:szCs w:val="15"/>
                <w:color w:val="auto"/>
              </w:rPr>
            </w:pPr>
          </w:p>
        </w:tc>
        <w:tc>
          <w:tcPr>
            <w:tcW w:w="8960" w:type="dxa"/>
            <w:vAlign w:val="bottom"/>
          </w:tcPr>
          <w:p>
            <w:pPr>
              <w:ind w:left="480"/>
              <w:spacing w:after="0" w:line="184" w:lineRule="exact"/>
              <w:rPr>
                <w:sz w:val="20"/>
                <w:szCs w:val="20"/>
                <w:color w:val="auto"/>
              </w:rPr>
            </w:pPr>
            <w:r>
              <w:rPr>
                <w:rFonts w:ascii="Arial" w:cs="Arial" w:eastAsia="Arial" w:hAnsi="Arial"/>
                <w:sz w:val="18"/>
                <w:szCs w:val="18"/>
                <w:color w:val="auto"/>
              </w:rPr>
              <w:t>October 2, 2020</w:t>
            </w:r>
          </w:p>
        </w:tc>
        <w:tc>
          <w:tcPr>
            <w:tcW w:w="7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2"/>
              </w:rPr>
              <w:t>Condensed Consolidated Statements of Cash Flows — Three Months Ended October 1, 2021 and October 2, 2020</w:t>
            </w:r>
          </w:p>
        </w:tc>
        <w:tc>
          <w:tcPr>
            <w:tcW w:w="760" w:type="dxa"/>
            <w:vAlign w:val="bottom"/>
            <w:gridSpan w:val="2"/>
            <w:shd w:val="clear" w:color="auto" w:fill="CCEEFF"/>
          </w:tcPr>
          <w:p>
            <w:pPr>
              <w:jc w:val="center"/>
              <w:ind w:left="592"/>
              <w:spacing w:after="0" w:line="195" w:lineRule="exact"/>
              <w:rPr>
                <w:rFonts w:ascii="Arial" w:cs="Arial" w:eastAsia="Arial" w:hAnsi="Arial"/>
                <w:sz w:val="18"/>
                <w:szCs w:val="18"/>
                <w:color w:val="3635D6"/>
                <w:w w:val="79"/>
              </w:rPr>
            </w:pPr>
            <w:hyperlink w:anchor="page7">
              <w:r>
                <w:rPr>
                  <w:rFonts w:ascii="Arial" w:cs="Arial" w:eastAsia="Arial" w:hAnsi="Arial"/>
                  <w:sz w:val="18"/>
                  <w:szCs w:val="18"/>
                  <w:color w:val="3635D6"/>
                  <w:w w:val="79"/>
                </w:rPr>
                <w:t>8</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840" w:type="dxa"/>
            <w:vAlign w:val="bottom"/>
          </w:tcPr>
          <w:p>
            <w:pPr>
              <w:spacing w:after="0"/>
              <w:rPr>
                <w:sz w:val="14"/>
                <w:szCs w:val="14"/>
                <w:color w:val="auto"/>
              </w:rPr>
            </w:pPr>
          </w:p>
        </w:tc>
        <w:tc>
          <w:tcPr>
            <w:tcW w:w="8960" w:type="dxa"/>
            <w:vAlign w:val="bottom"/>
          </w:tcPr>
          <w:p>
            <w:pPr>
              <w:ind w:left="480"/>
              <w:spacing w:after="0" w:line="172" w:lineRule="exact"/>
              <w:rPr>
                <w:sz w:val="20"/>
                <w:szCs w:val="20"/>
                <w:color w:val="auto"/>
              </w:rPr>
            </w:pPr>
            <w:r>
              <w:rPr>
                <w:rFonts w:ascii="Arial" w:cs="Arial" w:eastAsia="Arial" w:hAnsi="Arial"/>
                <w:sz w:val="18"/>
                <w:szCs w:val="18"/>
                <w:color w:val="auto"/>
                <w:w w:val="89"/>
              </w:rPr>
              <w:t>Condensed Consolidated Statements of Shareholders' Equity — Three Months Ended October 1, 2021 and October 2,</w:t>
            </w:r>
          </w:p>
        </w:tc>
        <w:tc>
          <w:tcPr>
            <w:tcW w:w="760" w:type="dxa"/>
            <w:vAlign w:val="bottom"/>
            <w:gridSpan w:val="2"/>
            <w:vMerge w:val="restart"/>
          </w:tcPr>
          <w:p>
            <w:pPr>
              <w:jc w:val="center"/>
              <w:ind w:left="592"/>
              <w:spacing w:after="0"/>
              <w:rPr>
                <w:rFonts w:ascii="Arial" w:cs="Arial" w:eastAsia="Arial" w:hAnsi="Arial"/>
                <w:sz w:val="18"/>
                <w:szCs w:val="18"/>
                <w:color w:val="3635D6"/>
                <w:w w:val="79"/>
              </w:rPr>
            </w:pPr>
            <w:hyperlink w:anchor="page8">
              <w:r>
                <w:rPr>
                  <w:rFonts w:ascii="Arial" w:cs="Arial" w:eastAsia="Arial" w:hAnsi="Arial"/>
                  <w:sz w:val="18"/>
                  <w:szCs w:val="18"/>
                  <w:color w:val="3635D6"/>
                  <w:w w:val="79"/>
                </w:rPr>
                <w:t>9</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5"/>
                <w:szCs w:val="15"/>
                <w:color w:val="auto"/>
              </w:rPr>
            </w:pPr>
          </w:p>
        </w:tc>
        <w:tc>
          <w:tcPr>
            <w:tcW w:w="8960" w:type="dxa"/>
            <w:vAlign w:val="bottom"/>
          </w:tcPr>
          <w:p>
            <w:pPr>
              <w:ind w:left="480"/>
              <w:spacing w:after="0" w:line="184" w:lineRule="exact"/>
              <w:rPr>
                <w:sz w:val="20"/>
                <w:szCs w:val="20"/>
                <w:color w:val="auto"/>
              </w:rPr>
            </w:pPr>
            <w:r>
              <w:rPr>
                <w:rFonts w:ascii="Arial" w:cs="Arial" w:eastAsia="Arial" w:hAnsi="Arial"/>
                <w:sz w:val="18"/>
                <w:szCs w:val="18"/>
                <w:color w:val="auto"/>
              </w:rPr>
              <w:t>2020</w:t>
            </w:r>
          </w:p>
        </w:tc>
        <w:tc>
          <w:tcPr>
            <w:tcW w:w="7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spacing w:after="0"/>
              <w:rPr>
                <w:sz w:val="16"/>
                <w:szCs w:val="16"/>
                <w:color w:val="auto"/>
              </w:rPr>
            </w:pPr>
          </w:p>
        </w:tc>
        <w:tc>
          <w:tcPr>
            <w:tcW w:w="8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rFonts w:ascii="Arial" w:cs="Arial" w:eastAsia="Arial" w:hAnsi="Arial"/>
                <w:sz w:val="18"/>
                <w:szCs w:val="18"/>
                <w:color w:val="3635D6"/>
                <w:w w:val="79"/>
              </w:rPr>
            </w:pPr>
            <w:hyperlink w:anchor="page10">
              <w:r>
                <w:rPr>
                  <w:rFonts w:ascii="Arial" w:cs="Arial" w:eastAsia="Arial" w:hAnsi="Arial"/>
                  <w:sz w:val="18"/>
                  <w:szCs w:val="18"/>
                  <w:color w:val="3635D6"/>
                  <w:w w:val="79"/>
                </w:rPr>
                <w:t>11</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2.</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35">
              <w:r>
                <w:rPr>
                  <w:rFonts w:ascii="Arial" w:cs="Arial" w:eastAsia="Arial" w:hAnsi="Arial"/>
                  <w:sz w:val="18"/>
                  <w:szCs w:val="18"/>
                  <w:color w:val="3635D6"/>
                  <w:w w:val="89"/>
                </w:rPr>
                <w:t>36</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3.</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48">
              <w:r>
                <w:rPr>
                  <w:rFonts w:ascii="Arial" w:cs="Arial" w:eastAsia="Arial" w:hAnsi="Arial"/>
                  <w:sz w:val="18"/>
                  <w:szCs w:val="18"/>
                  <w:color w:val="3635D6"/>
                  <w:w w:val="89"/>
                </w:rPr>
                <w:t>49</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4.</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Controls and Procedures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49">
              <w:r>
                <w:rPr>
                  <w:rFonts w:ascii="Arial" w:cs="Arial" w:eastAsia="Arial" w:hAnsi="Arial"/>
                  <w:sz w:val="18"/>
                  <w:szCs w:val="18"/>
                  <w:color w:val="3635D6"/>
                  <w:w w:val="89"/>
                </w:rPr>
                <w:t>49</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840" w:type="dxa"/>
            <w:vAlign w:val="bottom"/>
          </w:tcPr>
          <w:p>
            <w:pPr>
              <w:spacing w:after="0"/>
              <w:rPr>
                <w:sz w:val="24"/>
                <w:szCs w:val="24"/>
                <w:color w:val="auto"/>
              </w:rPr>
            </w:pPr>
          </w:p>
        </w:tc>
        <w:tc>
          <w:tcPr>
            <w:tcW w:w="896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c>
          <w:tcPr>
            <w:tcW w:w="80" w:type="dxa"/>
            <w:vAlign w:val="bottom"/>
            <w:tcBorders>
              <w:top w:val="single" w:sz="8" w:color="3635D6"/>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Item 1.</w:t>
            </w:r>
          </w:p>
        </w:tc>
        <w:tc>
          <w:tcPr>
            <w:tcW w:w="89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Legal Proceedings</w:t>
            </w:r>
          </w:p>
        </w:tc>
        <w:tc>
          <w:tcPr>
            <w:tcW w:w="760" w:type="dxa"/>
            <w:vAlign w:val="bottom"/>
            <w:gridSpan w:val="2"/>
            <w:shd w:val="clear" w:color="auto" w:fill="CCEEFF"/>
          </w:tcPr>
          <w:p>
            <w:pPr>
              <w:jc w:val="center"/>
              <w:ind w:left="492"/>
              <w:spacing w:after="0" w:line="185"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50</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84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Item 1A.</w:t>
            </w:r>
          </w:p>
        </w:tc>
        <w:tc>
          <w:tcPr>
            <w:tcW w:w="8960" w:type="dxa"/>
            <w:vAlign w:val="bottom"/>
          </w:tcPr>
          <w:p>
            <w:pPr>
              <w:ind w:left="180"/>
              <w:spacing w:after="0" w:line="185" w:lineRule="exact"/>
              <w:rPr>
                <w:sz w:val="20"/>
                <w:szCs w:val="20"/>
                <w:color w:val="auto"/>
              </w:rPr>
            </w:pPr>
            <w:r>
              <w:rPr>
                <w:rFonts w:ascii="Arial" w:cs="Arial" w:eastAsia="Arial" w:hAnsi="Arial"/>
                <w:sz w:val="18"/>
                <w:szCs w:val="18"/>
                <w:color w:val="auto"/>
              </w:rPr>
              <w:t>Risk Factors</w:t>
            </w:r>
          </w:p>
        </w:tc>
        <w:tc>
          <w:tcPr>
            <w:tcW w:w="760" w:type="dxa"/>
            <w:vAlign w:val="bottom"/>
            <w:gridSpan w:val="2"/>
          </w:tcPr>
          <w:p>
            <w:pPr>
              <w:jc w:val="center"/>
              <w:ind w:left="492"/>
              <w:spacing w:after="0" w:line="185"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50</w:t>
              </w:r>
            </w:hyperlink>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40" w:type="dxa"/>
            <w:vAlign w:val="bottom"/>
          </w:tcPr>
          <w:p>
            <w:pPr>
              <w:spacing w:after="0"/>
              <w:rPr>
                <w:sz w:val="2"/>
                <w:szCs w:val="2"/>
                <w:color w:val="auto"/>
              </w:rPr>
            </w:pPr>
          </w:p>
        </w:tc>
        <w:tc>
          <w:tcPr>
            <w:tcW w:w="896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Item 6.</w:t>
            </w:r>
          </w:p>
        </w:tc>
        <w:tc>
          <w:tcPr>
            <w:tcW w:w="89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Exhibits</w:t>
            </w:r>
          </w:p>
        </w:tc>
        <w:tc>
          <w:tcPr>
            <w:tcW w:w="760" w:type="dxa"/>
            <w:vAlign w:val="bottom"/>
            <w:gridSpan w:val="2"/>
            <w:shd w:val="clear" w:color="auto" w:fill="CCEEFF"/>
          </w:tcPr>
          <w:p>
            <w:pPr>
              <w:jc w:val="center"/>
              <w:ind w:left="492"/>
              <w:spacing w:after="0" w:line="195" w:lineRule="exact"/>
              <w:rPr>
                <w:rFonts w:ascii="Arial" w:cs="Arial" w:eastAsia="Arial" w:hAnsi="Arial"/>
                <w:sz w:val="18"/>
                <w:szCs w:val="18"/>
                <w:color w:val="3635D6"/>
                <w:w w:val="89"/>
              </w:rPr>
            </w:pPr>
            <w:hyperlink w:anchor="page50">
              <w:r>
                <w:rPr>
                  <w:rFonts w:ascii="Arial" w:cs="Arial" w:eastAsia="Arial" w:hAnsi="Arial"/>
                  <w:sz w:val="18"/>
                  <w:szCs w:val="18"/>
                  <w:color w:val="3635D6"/>
                  <w:w w:val="89"/>
                </w:rPr>
                <w:t>51</w:t>
              </w:r>
            </w:hyperlink>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0" w:type="dxa"/>
            <w:vAlign w:val="bottom"/>
            <w:shd w:val="clear" w:color="auto" w:fill="CCEEFF"/>
          </w:tcPr>
          <w:p>
            <w:pPr>
              <w:spacing w:after="0"/>
              <w:rPr>
                <w:sz w:val="3"/>
                <w:szCs w:val="3"/>
                <w:color w:val="auto"/>
              </w:rPr>
            </w:pPr>
          </w:p>
        </w:tc>
        <w:tc>
          <w:tcPr>
            <w:tcW w:w="896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200" w:firstLine="316"/>
        <w:spacing w:after="0" w:line="253"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16" w:lineRule="exact"/>
        <w:rPr>
          <w:sz w:val="20"/>
          <w:szCs w:val="20"/>
          <w:color w:val="auto"/>
        </w:rPr>
      </w:pPr>
    </w:p>
    <w:p>
      <w:pPr>
        <w:ind w:right="660" w:firstLine="316"/>
        <w:spacing w:after="0" w:line="262"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208" w:lineRule="exact"/>
        <w:rPr>
          <w:sz w:val="20"/>
          <w:szCs w:val="20"/>
          <w:color w:val="auto"/>
        </w:rPr>
      </w:pPr>
    </w:p>
    <w:p>
      <w:pPr>
        <w:jc w:val="both"/>
        <w:ind w:right="180" w:firstLine="316"/>
        <w:spacing w:after="0" w:line="253" w:lineRule="auto"/>
        <w:rPr>
          <w:sz w:val="20"/>
          <w:szCs w:val="20"/>
          <w:color w:val="auto"/>
        </w:rPr>
      </w:pPr>
      <w:r>
        <w:rPr>
          <w:rFonts w:ascii="Arial" w:cs="Arial" w:eastAsia="Arial" w:hAnsi="Arial"/>
          <w:sz w:val="18"/>
          <w:szCs w:val="18"/>
          <w:color w:val="auto"/>
        </w:rPr>
        <w:t>Western Digital, the Western Digital logo, G-Technology,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FORWARD-LOOKING STATEMENTS</w:t>
      </w:r>
    </w:p>
    <w:p>
      <w:pPr>
        <w:spacing w:after="0" w:line="254" w:lineRule="exact"/>
        <w:rPr>
          <w:sz w:val="20"/>
          <w:szCs w:val="20"/>
          <w:color w:val="auto"/>
        </w:rPr>
      </w:pPr>
    </w:p>
    <w:p>
      <w:pPr>
        <w:ind w:right="20" w:firstLine="316"/>
        <w:spacing w:after="0" w:line="280" w:lineRule="auto"/>
        <w:rPr>
          <w:sz w:val="20"/>
          <w:szCs w:val="20"/>
          <w:color w:val="auto"/>
        </w:rPr>
      </w:pPr>
      <w:r>
        <w:rPr>
          <w:rFonts w:ascii="Arial" w:cs="Arial" w:eastAsia="Arial" w:hAnsi="Arial"/>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effects of the COVID-19 pandemic and measures intended to reduce its spread;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and our beliefs regarding the sufficiency of our available liquidity to meet our working capital, debt and capital expenditure needs.</w:t>
      </w:r>
    </w:p>
    <w:p>
      <w:pPr>
        <w:spacing w:after="0" w:line="201" w:lineRule="exact"/>
        <w:rPr>
          <w:sz w:val="20"/>
          <w:szCs w:val="20"/>
          <w:color w:val="auto"/>
        </w:rPr>
      </w:pPr>
    </w:p>
    <w:p>
      <w:pPr>
        <w:ind w:right="20" w:firstLine="316"/>
        <w:spacing w:after="0" w:line="348" w:lineRule="auto"/>
        <w:rPr>
          <w:sz w:val="20"/>
          <w:szCs w:val="20"/>
          <w:color w:val="auto"/>
        </w:rPr>
      </w:pPr>
      <w:r>
        <w:rPr>
          <w:rFonts w:ascii="Arial" w:cs="Arial" w:eastAsia="Arial" w:hAnsi="Arial"/>
          <w:sz w:val="15"/>
          <w:szCs w:val="15"/>
          <w:i w:val="1"/>
          <w:iCs w:val="1"/>
          <w:color w:val="auto"/>
        </w:rPr>
        <w:t>These forward-looking statements are based on information available to the Company as of the date of this Quarterly Report on Form 10-Q and are based on management’s current views and assumptions. They are conditioned upon and involve a number of risks, uncertainties and other factors that could cause</w:t>
      </w:r>
    </w:p>
    <w:p>
      <w:pPr>
        <w:spacing w:after="0" w:line="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actual results or performance to differ materially from those expressed in the forward-looking statements. These risks and uncertainties include, but are not limited to:</w:t>
      </w:r>
    </w:p>
    <w:p>
      <w:pPr>
        <w:spacing w:after="0" w:line="228"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future responses to and effects of the COVID-19 pandemic;</w:t>
      </w:r>
    </w:p>
    <w:p>
      <w:pPr>
        <w:spacing w:after="0" w:line="10"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volatility in global economic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business and market conditions;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impact of competitive products and pricing;</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development and introduction of products based on new technologies and expansion into new data storage markets;</w:t>
      </w:r>
    </w:p>
    <w:p>
      <w:pPr>
        <w:spacing w:after="0" w:line="1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7"/>
          <w:szCs w:val="17"/>
          <w:i w:val="1"/>
          <w:iCs w:val="1"/>
          <w:color w:val="auto"/>
        </w:rPr>
        <w:t>risks associated with cost saving initiatives, restructurings, acquisitions, divestitures, mergers, joint ventures and our strategic relationships;</w:t>
      </w:r>
    </w:p>
    <w:p>
      <w:pPr>
        <w:spacing w:after="0" w:line="10"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difficulties or delays in manufacturing or other supply chain disruptions;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hiring and retention of key employees;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our substantial level of debt and other financial obligations;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changes to our relationships with key customers;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disruptions in operations from cyberattacks or other system security risks;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actions by competitors;</w:t>
      </w:r>
    </w:p>
    <w:p>
      <w:pPr>
        <w:spacing w:after="0" w:line="9"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i w:val="1"/>
          <w:iCs w:val="1"/>
          <w:color w:val="auto"/>
        </w:rPr>
        <w:t>risks associated with compliance with changing legal and regulatory requirements and the outcome of legal proceedings; and</w:t>
      </w:r>
    </w:p>
    <w:p>
      <w:pPr>
        <w:spacing w:after="0" w:line="1" w:lineRule="exact"/>
        <w:rPr>
          <w:rFonts w:ascii="Arial" w:cs="Arial" w:eastAsia="Arial" w:hAnsi="Arial"/>
          <w:sz w:val="21"/>
          <w:szCs w:val="21"/>
          <w:color w:val="auto"/>
        </w:rPr>
      </w:pPr>
    </w:p>
    <w:p>
      <w:pPr>
        <w:ind w:left="640" w:right="260" w:hanging="318"/>
        <w:spacing w:after="0" w:line="246" w:lineRule="auto"/>
        <w:tabs>
          <w:tab w:leader="none" w:pos="6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risks and uncertainties disclosed in Part I, Item 1A of our Annual Report on Form 10-K for the fiscal year ended July 2, 2021 (the “2021 Annual Report on Form 10-K”).</w:t>
      </w:r>
    </w:p>
    <w:p>
      <w:pPr>
        <w:spacing w:after="0" w:line="22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2021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2021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events or circumstances after the date of this document or to reflect the occurrence of unanticipated events, except as required by law.</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 FINANCIAL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4"/>
                <w:szCs w:val="14"/>
                <w:color w:val="auto"/>
              </w:rPr>
            </w:pPr>
          </w:p>
        </w:tc>
        <w:tc>
          <w:tcPr>
            <w:tcW w:w="1120" w:type="dxa"/>
            <w:vAlign w:val="bottom"/>
          </w:tcPr>
          <w:p>
            <w:pPr>
              <w:jc w:val="right"/>
              <w:ind w:right="441"/>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and investments in Flash Ventures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90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to related parties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15,411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(Notes 9, 10, 12 and 16)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80" w:type="dxa"/>
            <w:vAlign w:val="bottom"/>
          </w:tcPr>
          <w:p>
            <w:pPr>
              <w:ind w:left="140"/>
              <w:spacing w:after="0" w:line="161" w:lineRule="exact"/>
              <w:rPr>
                <w:sz w:val="20"/>
                <w:szCs w:val="20"/>
                <w:color w:val="auto"/>
              </w:rPr>
            </w:pPr>
            <w:r>
              <w:rPr>
                <w:rFonts w:ascii="Arial" w:cs="Arial" w:eastAsia="Arial" w:hAnsi="Arial"/>
                <w:sz w:val="16"/>
                <w:szCs w:val="16"/>
                <w:color w:val="auto"/>
                <w:w w:val="91"/>
              </w:rPr>
              <w:t>Common stock, $0.01 par value; authorized — 450 shares; issued — 312 shares; outstanding — 311 shares and 308 shares,</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828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w:t>
            </w:r>
          </w:p>
        </w:tc>
        <w:tc>
          <w:tcPr>
            <w:tcW w:w="0" w:type="dxa"/>
            <w:vAlign w:val="bottom"/>
          </w:tcPr>
          <w:p>
            <w:pPr>
              <w:spacing w:after="0"/>
              <w:rPr>
                <w:sz w:val="1"/>
                <w:szCs w:val="1"/>
                <w:color w:val="auto"/>
              </w:rPr>
            </w:pP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 common shares at cost; 1 shares and 4 shares, respectively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26,132</w:t>
            </w:r>
          </w:p>
        </w:tc>
        <w:tc>
          <w:tcPr>
            <w:tcW w:w="0" w:type="dxa"/>
            <w:vAlign w:val="bottom"/>
          </w:tcPr>
          <w:p>
            <w:pPr>
              <w:spacing w:after="0"/>
              <w:rPr>
                <w:sz w:val="1"/>
                <w:szCs w:val="1"/>
                <w:color w:val="auto"/>
              </w:rPr>
            </w:pPr>
          </w:p>
        </w:tc>
      </w:tr>
      <w:tr>
        <w:trPr>
          <w:trHeight w:val="23"/>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Three Months Ended</w:t>
            </w:r>
          </w:p>
        </w:tc>
      </w:tr>
      <w:tr>
        <w:trPr>
          <w:trHeight w:val="130"/>
        </w:trPr>
        <w:tc>
          <w:tcPr>
            <w:tcW w:w="8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180" w:type="dxa"/>
            <w:vAlign w:val="bottom"/>
          </w:tcPr>
          <w:p>
            <w:pPr>
              <w:jc w:val="right"/>
              <w:ind w:right="322"/>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4"/>
        </w:trPr>
        <w:tc>
          <w:tcPr>
            <w:tcW w:w="8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0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w:t>
            </w:r>
          </w:p>
        </w:tc>
      </w:tr>
      <w:tr>
        <w:trPr>
          <w:trHeight w:val="20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r>
      <w:tr>
        <w:trPr>
          <w:trHeight w:val="208"/>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188"/>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1"/>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8"/>
        </w:trPr>
        <w:tc>
          <w:tcPr>
            <w:tcW w:w="8240" w:type="dxa"/>
            <w:vAlign w:val="bottom"/>
          </w:tcPr>
          <w:p>
            <w:pPr>
              <w:ind w:left="20"/>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1"/>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51"/>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30"/>
        </w:trPr>
        <w:tc>
          <w:tcPr>
            <w:tcW w:w="82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1"/>
                <w:szCs w:val="1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Other comprehensive income, before tax:</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Actuarial pension gain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unrealized gain on derivative contracts and available-for-sale securities</w:t>
            </w: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1"/>
        </w:trPr>
        <w:tc>
          <w:tcPr>
            <w:tcW w:w="8280" w:type="dxa"/>
            <w:vAlign w:val="bottom"/>
          </w:tcPr>
          <w:p>
            <w:pPr>
              <w:ind w:left="220"/>
              <w:spacing w:after="0"/>
              <w:rPr>
                <w:sz w:val="20"/>
                <w:szCs w:val="20"/>
                <w:color w:val="auto"/>
              </w:rPr>
            </w:pPr>
            <w:r>
              <w:rPr>
                <w:rFonts w:ascii="Arial" w:cs="Arial" w:eastAsia="Arial" w:hAnsi="Arial"/>
                <w:sz w:val="16"/>
                <w:szCs w:val="16"/>
                <w:color w:val="auto"/>
              </w:rPr>
              <w:t>Total other comprehensive income, before tax</w:t>
            </w:r>
          </w:p>
        </w:tc>
        <w:tc>
          <w:tcPr>
            <w:tcW w:w="10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related to items of other comprehensive income, before tax</w:t>
            </w: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1060" w:type="dxa"/>
            <w:vAlign w:val="bottom"/>
            <w:tcBorders>
              <w:bottom w:val="single" w:sz="8" w:color="auto"/>
            </w:tcBorders>
            <w:shd w:val="clear" w:color="auto" w:fill="CCEEFF"/>
          </w:tcPr>
          <w:p>
            <w:pPr>
              <w:jc w:val="right"/>
              <w:ind w:right="886"/>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30"/>
        </w:trPr>
        <w:tc>
          <w:tcPr>
            <w:tcW w:w="828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2,</w:t>
            </w:r>
          </w:p>
        </w:tc>
        <w:tc>
          <w:tcPr>
            <w:tcW w:w="380" w:type="dxa"/>
            <w:vAlign w:val="bottom"/>
          </w:tcPr>
          <w:p>
            <w:pPr>
              <w:spacing w:after="0"/>
              <w:rPr>
                <w:sz w:val="11"/>
                <w:szCs w:val="11"/>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5"/>
                <w:szCs w:val="15"/>
                <w:color w:val="auto"/>
              </w:rPr>
            </w:pP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disposal of assets</w:t>
            </w:r>
          </w:p>
        </w:tc>
        <w:tc>
          <w:tcPr>
            <w:tcW w:w="10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Amortization of debt discounts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7"/>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2"/>
        </w:trPr>
        <w:tc>
          <w:tcPr>
            <w:tcW w:w="8280" w:type="dxa"/>
            <w:vAlign w:val="bottom"/>
          </w:tcPr>
          <w:p>
            <w:pPr>
              <w:ind w:left="140"/>
              <w:spacing w:after="0"/>
              <w:rPr>
                <w:sz w:val="20"/>
                <w:szCs w:val="20"/>
                <w:color w:val="auto"/>
              </w:rPr>
            </w:pPr>
            <w:r>
              <w:rPr>
                <w:rFonts w:ascii="Arial" w:cs="Arial" w:eastAsia="Arial" w:hAnsi="Arial"/>
                <w:sz w:val="14"/>
                <w:szCs w:val="14"/>
                <w:color w:val="auto"/>
              </w:rPr>
              <w:t>Changes in:</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Accounts payable to related parties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2"/>
        </w:trPr>
        <w:tc>
          <w:tcPr>
            <w:tcW w:w="828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7"/>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 and liabilities, net</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17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r>
      <w:tr>
        <w:trPr>
          <w:trHeight w:val="16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sale of property, plant and equipment</w:t>
            </w:r>
          </w:p>
        </w:tc>
        <w:tc>
          <w:tcPr>
            <w:tcW w:w="10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Notes receivable issuances to Flash Ventures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proceeds from Flash Ventures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8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Strategic investments and other, net</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8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164"/>
        </w:trPr>
        <w:tc>
          <w:tcPr>
            <w:tcW w:w="82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stock under employee stock plans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Taxes paid on vested stock awards under employee stock plans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7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r>
      <w:tr>
        <w:trPr>
          <w:trHeight w:val="18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0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5"/>
        </w:trPr>
        <w:tc>
          <w:tcPr>
            <w:tcW w:w="828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5"/>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0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3,370</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3,048</w:t>
            </w:r>
          </w:p>
        </w:tc>
      </w:tr>
      <w:tr>
        <w:trPr>
          <w:trHeight w:val="181"/>
        </w:trPr>
        <w:tc>
          <w:tcPr>
            <w:tcW w:w="82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40" w:type="dxa"/>
            <w:vAlign w:val="bottom"/>
            <w:tcBorders>
              <w:bottom w:val="single" w:sz="8" w:color="auto"/>
            </w:tcBorders>
          </w:tcPr>
          <w:p>
            <w:pPr>
              <w:jc w:val="right"/>
              <w:ind w:right="890"/>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3,290</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89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2,995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51"/>
        </w:trPr>
        <w:tc>
          <w:tcPr>
            <w:tcW w:w="82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82"/>
        </w:trPr>
        <w:tc>
          <w:tcPr>
            <w:tcW w:w="828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1060" w:type="dxa"/>
            <w:vAlign w:val="bottom"/>
          </w:tcPr>
          <w:p>
            <w:pPr>
              <w:jc w:val="right"/>
              <w:ind w:right="89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18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40" w:type="dxa"/>
            <w:vAlign w:val="bottom"/>
            <w:shd w:val="clear" w:color="auto" w:fill="CCEEFF"/>
          </w:tcPr>
          <w:p>
            <w:pPr>
              <w:jc w:val="right"/>
              <w:ind w:right="89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9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78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76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8"/>
                <w:szCs w:val="8"/>
                <w:color w:val="auto"/>
              </w:rPr>
            </w:pPr>
          </w:p>
        </w:tc>
        <w:tc>
          <w:tcPr>
            <w:tcW w:w="17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ind w:left="40"/>
              <w:spacing w:after="0" w:line="10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8"/>
                <w:szCs w:val="8"/>
                <w:color w:val="auto"/>
              </w:rPr>
            </w:pPr>
          </w:p>
        </w:tc>
        <w:tc>
          <w:tcPr>
            <w:tcW w:w="1260" w:type="dxa"/>
            <w:vAlign w:val="bottom"/>
            <w:gridSpan w:val="2"/>
          </w:tcPr>
          <w:p>
            <w:pPr>
              <w:jc w:val="center"/>
              <w:ind w:right="240"/>
              <w:spacing w:after="0" w:line="101"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8"/>
                <w:szCs w:val="8"/>
                <w:color w:val="auto"/>
              </w:rPr>
            </w:pPr>
          </w:p>
        </w:tc>
        <w:tc>
          <w:tcPr>
            <w:tcW w:w="92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Retained</w:t>
            </w:r>
          </w:p>
        </w:tc>
        <w:tc>
          <w:tcPr>
            <w:tcW w:w="122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Total Shareholders’</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7"/>
                <w:szCs w:val="17"/>
                <w:color w:val="auto"/>
              </w:rPr>
            </w:pPr>
          </w:p>
        </w:tc>
        <w:tc>
          <w:tcPr>
            <w:tcW w:w="98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3,608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7,539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7"/>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70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Net unrealized gain on derivative contracts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1"/>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at October 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jc w:val="center"/>
              <w:ind w:right="100"/>
              <w:spacing w:after="0" w:line="112" w:lineRule="exact"/>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28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1040" w:type="dxa"/>
            <w:vAlign w:val="bottom"/>
            <w:gridSpan w:val="2"/>
          </w:tcPr>
          <w:p>
            <w:pPr>
              <w:ind w:left="100"/>
              <w:spacing w:after="0" w:line="112" w:lineRule="exact"/>
              <w:rPr>
                <w:sz w:val="20"/>
                <w:szCs w:val="20"/>
                <w:color w:val="auto"/>
              </w:rPr>
            </w:pPr>
            <w:r>
              <w:rPr>
                <w:rFonts w:ascii="Arial" w:cs="Arial" w:eastAsia="Arial" w:hAnsi="Arial"/>
                <w:sz w:val="12"/>
                <w:szCs w:val="12"/>
                <w:b w:val="1"/>
                <w:bCs w:val="1"/>
                <w:color w:val="auto"/>
              </w:rPr>
              <w:t>Retained</w:t>
            </w:r>
          </w:p>
        </w:tc>
        <w:tc>
          <w:tcPr>
            <w:tcW w:w="1320" w:type="dxa"/>
            <w:vAlign w:val="bottom"/>
            <w:gridSpan w:val="2"/>
          </w:tcPr>
          <w:p>
            <w:pPr>
              <w:jc w:val="right"/>
              <w:ind w:right="10"/>
              <w:spacing w:after="0" w:line="112" w:lineRule="exact"/>
              <w:rPr>
                <w:sz w:val="20"/>
                <w:szCs w:val="20"/>
                <w:color w:val="auto"/>
              </w:rPr>
            </w:pPr>
            <w:r>
              <w:rPr>
                <w:rFonts w:ascii="Arial" w:cs="Arial" w:eastAsia="Arial" w:hAnsi="Arial"/>
                <w:sz w:val="12"/>
                <w:szCs w:val="12"/>
                <w:b w:val="1"/>
                <w:bCs w:val="1"/>
                <w:color w:val="auto"/>
              </w:rPr>
              <w:t>Total Shareholders’</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July 3,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9,551</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Adoption of new accounting standards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Employee stock plans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Actuarial pension gain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Foreign currency translation</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20"/>
              <w:spacing w:after="0" w:line="132" w:lineRule="exact"/>
              <w:rPr>
                <w:sz w:val="20"/>
                <w:szCs w:val="20"/>
                <w:color w:val="auto"/>
              </w:rPr>
            </w:pPr>
            <w:r>
              <w:rPr>
                <w:rFonts w:ascii="Arial" w:cs="Arial" w:eastAsia="Arial" w:hAnsi="Arial"/>
                <w:sz w:val="14"/>
                <w:szCs w:val="14"/>
                <w:color w:val="auto"/>
              </w:rPr>
              <w:t>Net unrealized loss on derivative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232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October 2,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w:t>
            </w: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Organization and Basis of Presentation</w:t>
      </w:r>
    </w:p>
    <w:p>
      <w:pPr>
        <w:spacing w:after="0" w:line="247"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other industry. The Company creates environments for data to thrive. The Company is driving the innovation needed to help customers capture, preserve, access and transform an ever-increasing diversity of data. Everywhere data lives, from advanced data centers to mobile sensors to personal devices, the Company’s industry-leading solutions deliver the possibilities of data.</w:t>
      </w:r>
    </w:p>
    <w:p>
      <w:pPr>
        <w:spacing w:after="0" w:line="219" w:lineRule="exact"/>
        <w:rPr>
          <w:sz w:val="20"/>
          <w:szCs w:val="20"/>
          <w:color w:val="auto"/>
        </w:rPr>
      </w:pPr>
    </w:p>
    <w:p>
      <w:pPr>
        <w:ind w:right="20" w:firstLine="316"/>
        <w:spacing w:after="0" w:line="213" w:lineRule="exact"/>
        <w:rPr>
          <w:sz w:val="20"/>
          <w:szCs w:val="20"/>
          <w:color w:val="auto"/>
        </w:rPr>
      </w:pPr>
      <w:r>
        <w:rPr>
          <w:rFonts w:ascii="Arial" w:cs="Arial" w:eastAsia="Arial" w:hAnsi="Arial"/>
          <w:sz w:val="16"/>
          <w:szCs w:val="16"/>
          <w:color w:val="auto"/>
        </w:rPr>
        <w:t xml:space="preserve">The accounting policies followed by the Company are set forth in Part II, Item 8, Note 1, </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xml:space="preserve"> of the Notes to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The results of operations for interim periods are not necessarily indicative of results to be expected for the full year.</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Fiscal Year</w:t>
      </w:r>
    </w:p>
    <w:p>
      <w:pPr>
        <w:spacing w:after="0" w:line="241" w:lineRule="exact"/>
        <w:rPr>
          <w:sz w:val="20"/>
          <w:szCs w:val="20"/>
          <w:color w:val="auto"/>
        </w:rPr>
      </w:pPr>
    </w:p>
    <w:p>
      <w:pPr>
        <w:ind w:firstLine="316"/>
        <w:spacing w:after="0" w:line="253" w:lineRule="auto"/>
        <w:rPr>
          <w:sz w:val="20"/>
          <w:szCs w:val="20"/>
          <w:color w:val="auto"/>
        </w:rPr>
      </w:pPr>
      <w:r>
        <w:rPr>
          <w:rFonts w:ascii="Arial" w:cs="Arial" w:eastAsia="Arial" w:hAnsi="Arial"/>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2022, which ends on July 1, 2022, and 2021, which ended on July 2, 2021, are each comprised of 52 weeks, with all quarters presented consisting of 13 weeks.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Use of Estimates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the ongoing COVID-19 pandemic. However, actual results could differ materially from these estimates and be significantly affected by the severity and duration of the pandemic, the extent of actions to contain or treat COVID-19, the timing, distribution, efficacy and public acceptance of vaccines around the world, any possible resurgence of COVID-19, including the emergence of more contagious or vaccine-resistant variants and how quickly and to what extent normal economic and operating activity can resume.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41" w:lineRule="exact"/>
        <w:rPr>
          <w:sz w:val="20"/>
          <w:szCs w:val="20"/>
          <w:color w:val="auto"/>
        </w:rPr>
      </w:pPr>
    </w:p>
    <w:p>
      <w:pPr>
        <w:ind w:right="40" w:firstLine="316"/>
        <w:spacing w:after="0" w:line="248"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The Company adopted this ASU on July 3, 2021, which is the beginning of fiscal 2022, and its adoption did not have a material impact on the Company’s Condensed Consolidated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41"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current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For instruments that do not have a component mandatorily settled in cash, the change will likely result in a higher amount of share dilution in the calculation of earnings per share. The Company expects to adopt this ASU in the first quarter of fiscal 2023, and is currently assessing the impact of adoption.</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Segment Information</w:t>
      </w:r>
    </w:p>
    <w:p>
      <w:pPr>
        <w:spacing w:after="0" w:line="247" w:lineRule="exact"/>
        <w:rPr>
          <w:sz w:val="20"/>
          <w:szCs w:val="20"/>
          <w:color w:val="auto"/>
        </w:rPr>
      </w:pPr>
    </w:p>
    <w:p>
      <w:pPr>
        <w:ind w:right="20" w:firstLine="316"/>
        <w:spacing w:after="0" w:line="283" w:lineRule="auto"/>
        <w:rPr>
          <w:sz w:val="20"/>
          <w:szCs w:val="20"/>
          <w:color w:val="auto"/>
        </w:rPr>
      </w:pPr>
      <w:r>
        <w:rPr>
          <w:rFonts w:ascii="Arial" w:cs="Arial" w:eastAsia="Arial" w:hAnsi="Arial"/>
          <w:sz w:val="16"/>
          <w:szCs w:val="16"/>
          <w:color w:val="auto"/>
        </w:rPr>
        <w:t>The Company manufactures, markets, and sells data storage devices and solutions in the U.S. and in foreign countries through its sales personnel, dealers, distributors, retailers, and subsidiaries. Historically, the Company had been managed and reported under a single operating segment. Late in the first quarter of fiscal 2021, the Chief Executive Officer, who is the Company’s Chief Operating Decision Maker (“CODM”), announced a decision to reorganize the Company’s business by forming two separate product business units: hard disk drives (“HDD”) and flash-based products (“Flash”). To align with the new operating model and business structure, the Company made management organizational changes and implemented new reporting modules and processes to provide discrete information to manage the business. Effective July 3, 2021, the Company’s management finalized its assessment of the Company’s operating segments and concluded that the Company now has two reportable segments: HDD and Flash.</w:t>
      </w:r>
    </w:p>
    <w:p>
      <w:pPr>
        <w:spacing w:after="0" w:line="183" w:lineRule="exact"/>
        <w:rPr>
          <w:sz w:val="20"/>
          <w:szCs w:val="20"/>
          <w:color w:val="auto"/>
        </w:rPr>
      </w:pPr>
    </w:p>
    <w:p>
      <w:pPr>
        <w:ind w:right="20" w:firstLine="316"/>
        <w:spacing w:after="0" w:line="266" w:lineRule="auto"/>
        <w:rPr>
          <w:sz w:val="20"/>
          <w:szCs w:val="20"/>
          <w:color w:val="auto"/>
        </w:rPr>
      </w:pPr>
      <w:r>
        <w:rPr>
          <w:rFonts w:ascii="Arial" w:cs="Arial" w:eastAsia="Arial" w:hAnsi="Arial"/>
          <w:sz w:val="16"/>
          <w:szCs w:val="16"/>
          <w:color w:val="auto"/>
        </w:rPr>
        <w:t>The CODM evaluates performance of the Company and makes decisions regarding allocation of resources based on each operating segment’s net revenue and gross margin, which are summarized below. Because of the integrated nature of the Company’s production and distribution activities, separate segment asset measures are not available or reviewed by the CODM to evaluate the performance of or to allocate resources to the segments.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operating performance of the Company’s reportable segments:</w:t>
      </w:r>
    </w:p>
    <w:p>
      <w:pPr>
        <w:spacing w:after="0" w:line="271"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30"/>
        </w:trPr>
        <w:tc>
          <w:tcPr>
            <w:tcW w:w="6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jc w:val="right"/>
              <w:ind w:right="62"/>
              <w:spacing w:after="0" w:line="131" w:lineRule="exact"/>
              <w:rPr>
                <w:sz w:val="20"/>
                <w:szCs w:val="20"/>
                <w:color w:val="auto"/>
              </w:rPr>
            </w:pPr>
            <w:r>
              <w:rPr>
                <w:rFonts w:ascii="Arial" w:cs="Arial" w:eastAsia="Arial" w:hAnsi="Arial"/>
                <w:sz w:val="14"/>
                <w:szCs w:val="14"/>
                <w:b w:val="1"/>
                <w:bCs w:val="1"/>
                <w:color w:val="auto"/>
              </w:rPr>
              <w:t>October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right"/>
              <w:ind w:right="242"/>
              <w:spacing w:after="0" w:line="131" w:lineRule="exact"/>
              <w:rPr>
                <w:sz w:val="20"/>
                <w:szCs w:val="20"/>
                <w:color w:val="auto"/>
              </w:rPr>
            </w:pPr>
            <w:r>
              <w:rPr>
                <w:rFonts w:ascii="Arial" w:cs="Arial" w:eastAsia="Arial" w:hAnsi="Arial"/>
                <w:sz w:val="14"/>
                <w:szCs w:val="14"/>
                <w:b w:val="1"/>
                <w:bCs w:val="1"/>
                <w:color w:val="auto"/>
                <w:w w:val="95"/>
              </w:rPr>
              <w:t>October 2,</w:t>
            </w:r>
          </w:p>
        </w:tc>
        <w:tc>
          <w:tcPr>
            <w:tcW w:w="320" w:type="dxa"/>
            <w:vAlign w:val="bottom"/>
          </w:tcPr>
          <w:p>
            <w:pPr>
              <w:spacing w:after="0"/>
              <w:rPr>
                <w:sz w:val="11"/>
                <w:szCs w:val="11"/>
                <w:color w:val="auto"/>
              </w:rPr>
            </w:pPr>
          </w:p>
        </w:tc>
      </w:tr>
      <w:tr>
        <w:trPr>
          <w:trHeight w:val="184"/>
        </w:trPr>
        <w:tc>
          <w:tcPr>
            <w:tcW w:w="64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r>
      <w:tr>
        <w:trPr>
          <w:trHeight w:val="202"/>
        </w:trPr>
        <w:tc>
          <w:tcPr>
            <w:tcW w:w="6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6"/>
                <w:szCs w:val="16"/>
                <w:i w:val="1"/>
                <w:iCs w:val="1"/>
                <w:color w:val="auto"/>
              </w:rPr>
              <w:t>(in millions)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4"/>
        </w:trPr>
        <w:tc>
          <w:tcPr>
            <w:tcW w:w="6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revenue:</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8"/>
        </w:trPr>
        <w:tc>
          <w:tcPr>
            <w:tcW w:w="6440" w:type="dxa"/>
            <w:vAlign w:val="bottom"/>
          </w:tcPr>
          <w:p>
            <w:pPr>
              <w:ind w:left="440"/>
              <w:spacing w:after="0"/>
              <w:rPr>
                <w:sz w:val="20"/>
                <w:szCs w:val="20"/>
                <w:color w:val="auto"/>
              </w:rPr>
            </w:pPr>
            <w:r>
              <w:rPr>
                <w:rFonts w:ascii="Arial" w:cs="Arial" w:eastAsia="Arial" w:hAnsi="Arial"/>
                <w:sz w:val="16"/>
                <w:szCs w:val="16"/>
                <w:color w:val="auto"/>
              </w:rPr>
              <w:t>HDD</w:t>
            </w: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2,561</w:t>
            </w:r>
          </w:p>
        </w:tc>
        <w:tc>
          <w:tcPr>
            <w:tcW w:w="140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1,844</w:t>
            </w:r>
          </w:p>
        </w:tc>
        <w:tc>
          <w:tcPr>
            <w:tcW w:w="320" w:type="dxa"/>
            <w:vAlign w:val="bottom"/>
          </w:tcPr>
          <w:p>
            <w:pPr>
              <w:spacing w:after="0"/>
              <w:rPr>
                <w:sz w:val="18"/>
                <w:szCs w:val="18"/>
                <w:color w:val="auto"/>
              </w:rPr>
            </w:pPr>
          </w:p>
        </w:tc>
      </w:tr>
      <w:tr>
        <w:trPr>
          <w:trHeight w:val="214"/>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2,490</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2,078</w:t>
            </w:r>
          </w:p>
        </w:tc>
        <w:tc>
          <w:tcPr>
            <w:tcW w:w="320" w:type="dxa"/>
            <w:vAlign w:val="bottom"/>
            <w:tcBorders>
              <w:bottom w:val="single" w:sz="8" w:color="auto"/>
            </w:tcBorders>
            <w:shd w:val="clear" w:color="auto" w:fill="CCEEFF"/>
          </w:tcPr>
          <w:p>
            <w:pPr>
              <w:spacing w:after="0"/>
              <w:rPr>
                <w:sz w:val="18"/>
                <w:szCs w:val="18"/>
                <w:color w:val="auto"/>
              </w:rPr>
            </w:pPr>
          </w:p>
        </w:tc>
      </w:tr>
      <w:tr>
        <w:trPr>
          <w:trHeight w:val="201"/>
        </w:trPr>
        <w:tc>
          <w:tcPr>
            <w:tcW w:w="6440" w:type="dxa"/>
            <w:vAlign w:val="bottom"/>
          </w:tcPr>
          <w:p>
            <w:pPr>
              <w:ind w:left="540"/>
              <w:spacing w:after="0"/>
              <w:rPr>
                <w:sz w:val="20"/>
                <w:szCs w:val="20"/>
                <w:color w:val="auto"/>
              </w:rPr>
            </w:pPr>
            <w:r>
              <w:rPr>
                <w:rFonts w:ascii="Arial" w:cs="Arial" w:eastAsia="Arial" w:hAnsi="Arial"/>
                <w:sz w:val="16"/>
                <w:szCs w:val="16"/>
                <w:color w:val="auto"/>
              </w:rPr>
              <w:t>Total net revenue</w:t>
            </w: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5,051</w:t>
            </w:r>
          </w:p>
        </w:tc>
        <w:tc>
          <w:tcPr>
            <w:tcW w:w="140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3,922</w:t>
            </w:r>
          </w:p>
        </w:tc>
        <w:tc>
          <w:tcPr>
            <w:tcW w:w="320" w:type="dxa"/>
            <w:vAlign w:val="bottom"/>
          </w:tcPr>
          <w:p>
            <w:pPr>
              <w:spacing w:after="0"/>
              <w:rPr>
                <w:sz w:val="17"/>
                <w:szCs w:val="17"/>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644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Gross profit</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08"/>
        </w:trPr>
        <w:tc>
          <w:tcPr>
            <w:tcW w:w="6440" w:type="dxa"/>
            <w:vAlign w:val="bottom"/>
          </w:tcPr>
          <w:p>
            <w:pPr>
              <w:ind w:left="440"/>
              <w:spacing w:after="0"/>
              <w:rPr>
                <w:sz w:val="20"/>
                <w:szCs w:val="20"/>
                <w:color w:val="auto"/>
              </w:rPr>
            </w:pPr>
            <w:r>
              <w:rPr>
                <w:rFonts w:ascii="Arial" w:cs="Arial" w:eastAsia="Arial" w:hAnsi="Arial"/>
                <w:sz w:val="16"/>
                <w:szCs w:val="16"/>
                <w:color w:val="auto"/>
              </w:rPr>
              <w:t>HDD</w:t>
            </w: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792</w:t>
            </w:r>
          </w:p>
        </w:tc>
        <w:tc>
          <w:tcPr>
            <w:tcW w:w="140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483</w:t>
            </w:r>
          </w:p>
        </w:tc>
        <w:tc>
          <w:tcPr>
            <w:tcW w:w="320" w:type="dxa"/>
            <w:vAlign w:val="bottom"/>
          </w:tcPr>
          <w:p>
            <w:pPr>
              <w:spacing w:after="0"/>
              <w:rPr>
                <w:sz w:val="18"/>
                <w:szCs w:val="18"/>
                <w:color w:val="auto"/>
              </w:rPr>
            </w:pPr>
          </w:p>
        </w:tc>
      </w:tr>
      <w:tr>
        <w:trPr>
          <w:trHeight w:val="214"/>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921</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548</w:t>
            </w:r>
          </w:p>
        </w:tc>
        <w:tc>
          <w:tcPr>
            <w:tcW w:w="320" w:type="dxa"/>
            <w:vAlign w:val="bottom"/>
            <w:tcBorders>
              <w:bottom w:val="single" w:sz="8" w:color="auto"/>
            </w:tcBorders>
            <w:shd w:val="clear" w:color="auto" w:fill="CCEEFF"/>
          </w:tcPr>
          <w:p>
            <w:pPr>
              <w:spacing w:after="0"/>
              <w:rPr>
                <w:sz w:val="18"/>
                <w:szCs w:val="18"/>
                <w:color w:val="auto"/>
              </w:rPr>
            </w:pPr>
          </w:p>
        </w:tc>
      </w:tr>
      <w:tr>
        <w:trPr>
          <w:trHeight w:val="201"/>
        </w:trPr>
        <w:tc>
          <w:tcPr>
            <w:tcW w:w="6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gross profit for segments</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1,031</w:t>
            </w:r>
          </w:p>
        </w:tc>
        <w:tc>
          <w:tcPr>
            <w:tcW w:w="320" w:type="dxa"/>
            <w:vAlign w:val="bottom"/>
            <w:tcBorders>
              <w:bottom w:val="single" w:sz="8" w:color="auto"/>
            </w:tcBorders>
          </w:tcPr>
          <w:p>
            <w:pPr>
              <w:spacing w:after="0"/>
              <w:rPr>
                <w:sz w:val="17"/>
                <w:szCs w:val="17"/>
                <w:color w:val="auto"/>
              </w:rPr>
            </w:pPr>
          </w:p>
        </w:tc>
      </w:tr>
      <w:tr>
        <w:trPr>
          <w:trHeight w:val="194"/>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Unallocated corporate items:</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08"/>
        </w:trPr>
        <w:tc>
          <w:tcPr>
            <w:tcW w:w="6440" w:type="dxa"/>
            <w:vAlign w:val="bottom"/>
          </w:tcPr>
          <w:p>
            <w:pPr>
              <w:ind w:left="540"/>
              <w:spacing w:after="0"/>
              <w:rPr>
                <w:sz w:val="20"/>
                <w:szCs w:val="20"/>
                <w:color w:val="auto"/>
              </w:rPr>
            </w:pPr>
            <w:r>
              <w:rPr>
                <w:rFonts w:ascii="Arial" w:cs="Arial" w:eastAsia="Arial" w:hAnsi="Arial"/>
                <w:sz w:val="16"/>
                <w:szCs w:val="16"/>
                <w:color w:val="auto"/>
              </w:rPr>
              <w:t>Amortization of acquired intangible assets</w:t>
            </w:r>
          </w:p>
        </w:tc>
        <w:tc>
          <w:tcPr>
            <w:tcW w:w="6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145</w:t>
            </w:r>
          </w:p>
        </w:tc>
        <w:tc>
          <w:tcPr>
            <w:tcW w:w="320" w:type="dxa"/>
            <w:vAlign w:val="bottom"/>
          </w:tcPr>
          <w:p>
            <w:pPr>
              <w:spacing w:after="0"/>
              <w:rPr>
                <w:sz w:val="18"/>
                <w:szCs w:val="18"/>
                <w:color w:val="auto"/>
              </w:rPr>
            </w:pPr>
          </w:p>
        </w:tc>
      </w:tr>
      <w:tr>
        <w:trPr>
          <w:trHeight w:val="214"/>
        </w:trPr>
        <w:tc>
          <w:tcPr>
            <w:tcW w:w="6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Stock-based compensation expense</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spacing w:after="0"/>
              <w:rPr>
                <w:sz w:val="18"/>
                <w:szCs w:val="18"/>
                <w:color w:val="auto"/>
              </w:rPr>
            </w:pPr>
          </w:p>
        </w:tc>
      </w:tr>
      <w:tr>
        <w:trPr>
          <w:trHeight w:val="208"/>
        </w:trPr>
        <w:tc>
          <w:tcPr>
            <w:tcW w:w="6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Charges related to a power outage incident and related recovery</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r>
      <w:tr>
        <w:trPr>
          <w:trHeight w:val="208"/>
        </w:trPr>
        <w:tc>
          <w:tcPr>
            <w:tcW w:w="64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unallocated corporate items</w:t>
            </w: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(127)</w:t>
            </w:r>
          </w:p>
        </w:tc>
        <w:tc>
          <w:tcPr>
            <w:tcW w:w="320" w:type="dxa"/>
            <w:vAlign w:val="bottom"/>
            <w:tcBorders>
              <w:bottom w:val="single" w:sz="8" w:color="auto"/>
            </w:tcBorders>
            <w:shd w:val="clear" w:color="auto" w:fill="CCEEFF"/>
          </w:tcPr>
          <w:p>
            <w:pPr>
              <w:spacing w:after="0"/>
              <w:rPr>
                <w:sz w:val="18"/>
                <w:szCs w:val="18"/>
                <w:color w:val="auto"/>
              </w:rPr>
            </w:pPr>
          </w:p>
        </w:tc>
      </w:tr>
      <w:tr>
        <w:trPr>
          <w:trHeight w:val="201"/>
        </w:trPr>
        <w:tc>
          <w:tcPr>
            <w:tcW w:w="6440" w:type="dxa"/>
            <w:vAlign w:val="bottom"/>
          </w:tcPr>
          <w:p>
            <w:pPr>
              <w:ind w:left="760"/>
              <w:spacing w:after="0"/>
              <w:rPr>
                <w:sz w:val="20"/>
                <w:szCs w:val="20"/>
                <w:color w:val="auto"/>
              </w:rPr>
            </w:pPr>
            <w:r>
              <w:rPr>
                <w:rFonts w:ascii="Arial" w:cs="Arial" w:eastAsia="Arial" w:hAnsi="Arial"/>
                <w:sz w:val="16"/>
                <w:szCs w:val="16"/>
                <w:color w:val="auto"/>
              </w:rPr>
              <w:t>Consolidated gross profit</w:t>
            </w:r>
          </w:p>
        </w:tc>
        <w:tc>
          <w:tcPr>
            <w:tcW w:w="6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1,665</w:t>
            </w:r>
          </w:p>
        </w:tc>
        <w:tc>
          <w:tcPr>
            <w:tcW w:w="140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904</w:t>
            </w:r>
          </w:p>
        </w:tc>
        <w:tc>
          <w:tcPr>
            <w:tcW w:w="320" w:type="dxa"/>
            <w:vAlign w:val="bottom"/>
          </w:tcPr>
          <w:p>
            <w:pPr>
              <w:spacing w:after="0"/>
              <w:rPr>
                <w:sz w:val="17"/>
                <w:szCs w:val="17"/>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644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Gross margin:</w:t>
            </w: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08"/>
        </w:trPr>
        <w:tc>
          <w:tcPr>
            <w:tcW w:w="6440" w:type="dxa"/>
            <w:vAlign w:val="bottom"/>
          </w:tcPr>
          <w:p>
            <w:pPr>
              <w:ind w:left="440"/>
              <w:spacing w:after="0"/>
              <w:rPr>
                <w:sz w:val="20"/>
                <w:szCs w:val="20"/>
                <w:color w:val="auto"/>
              </w:rPr>
            </w:pPr>
            <w:r>
              <w:rPr>
                <w:rFonts w:ascii="Arial" w:cs="Arial" w:eastAsia="Arial" w:hAnsi="Arial"/>
                <w:sz w:val="16"/>
                <w:szCs w:val="16"/>
                <w:color w:val="auto"/>
              </w:rPr>
              <w:t>HDD</w:t>
            </w:r>
          </w:p>
        </w:tc>
        <w:tc>
          <w:tcPr>
            <w:tcW w:w="6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30.9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26.2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Flash</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440" w:type="dxa"/>
            <w:vAlign w:val="bottom"/>
          </w:tcPr>
          <w:p>
            <w:pPr>
              <w:ind w:left="440"/>
              <w:spacing w:after="0"/>
              <w:rPr>
                <w:sz w:val="20"/>
                <w:szCs w:val="20"/>
                <w:color w:val="auto"/>
              </w:rPr>
            </w:pPr>
            <w:r>
              <w:rPr>
                <w:rFonts w:ascii="Arial" w:cs="Arial" w:eastAsia="Arial" w:hAnsi="Arial"/>
                <w:sz w:val="16"/>
                <w:szCs w:val="16"/>
                <w:color w:val="auto"/>
              </w:rPr>
              <w:t>Consolidated gross margin</w:t>
            </w:r>
          </w:p>
        </w:tc>
        <w:tc>
          <w:tcPr>
            <w:tcW w:w="62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33.0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23.0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Disaggregated Revenue</w:t>
      </w:r>
    </w:p>
    <w:p>
      <w:pPr>
        <w:spacing w:after="0" w:line="241" w:lineRule="exact"/>
        <w:rPr>
          <w:sz w:val="20"/>
          <w:szCs w:val="20"/>
          <w:color w:val="auto"/>
        </w:rPr>
      </w:pPr>
    </w:p>
    <w:p>
      <w:pPr>
        <w:ind w:right="300" w:firstLine="158"/>
        <w:spacing w:after="0" w:line="283" w:lineRule="auto"/>
        <w:rPr>
          <w:sz w:val="20"/>
          <w:szCs w:val="20"/>
          <w:color w:val="auto"/>
        </w:rPr>
      </w:pPr>
      <w:r>
        <w:rPr>
          <w:rFonts w:ascii="Arial" w:cs="Arial" w:eastAsia="Arial" w:hAnsi="Arial"/>
          <w:sz w:val="16"/>
          <w:szCs w:val="16"/>
          <w:color w:val="auto"/>
        </w:rPr>
        <w:t>The Company’s broad portfolio of technology and products address multiple end markets. In the fiscal first quarter of 2022, the Company refined the end markets it reports to be Cloud, Client and Consumer. Cloud represents a large and growing end market comprised primarily of products for public or private cloud environments and end customers, which the Company believes it is uniquely positioned to address as the only provider of both hard drive and flash products.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4"/>
                <w:szCs w:val="14"/>
                <w:b w:val="1"/>
                <w:bCs w:val="1"/>
                <w:color w:val="auto"/>
              </w:rPr>
              <w:t>Three Months Ended</w:t>
            </w:r>
          </w:p>
        </w:tc>
      </w:tr>
      <w:tr>
        <w:trPr>
          <w:trHeight w:val="130"/>
        </w:trPr>
        <w:tc>
          <w:tcPr>
            <w:tcW w:w="7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October 1,</w:t>
            </w:r>
          </w:p>
        </w:tc>
        <w:tc>
          <w:tcPr>
            <w:tcW w:w="580" w:type="dxa"/>
            <w:vAlign w:val="bottom"/>
          </w:tcPr>
          <w:p>
            <w:pPr>
              <w:spacing w:after="0"/>
              <w:rPr>
                <w:sz w:val="11"/>
                <w:szCs w:val="11"/>
                <w:color w:val="auto"/>
              </w:rPr>
            </w:pPr>
          </w:p>
        </w:tc>
        <w:tc>
          <w:tcPr>
            <w:tcW w:w="1140" w:type="dxa"/>
            <w:vAlign w:val="bottom"/>
          </w:tcPr>
          <w:p>
            <w:pPr>
              <w:jc w:val="right"/>
              <w:ind w:right="303"/>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4"/>
        </w:trPr>
        <w:tc>
          <w:tcPr>
            <w:tcW w:w="76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2020</w:t>
            </w:r>
          </w:p>
        </w:tc>
      </w:tr>
      <w:tr>
        <w:trPr>
          <w:trHeight w:val="176"/>
        </w:trPr>
        <w:tc>
          <w:tcPr>
            <w:tcW w:w="7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5"/>
                <w:szCs w:val="15"/>
                <w:color w:val="auto"/>
              </w:rPr>
            </w:pPr>
          </w:p>
        </w:tc>
      </w:tr>
      <w:tr>
        <w:trPr>
          <w:trHeight w:val="214"/>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End Market</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7600" w:type="dxa"/>
            <w:vAlign w:val="bottom"/>
          </w:tcPr>
          <w:p>
            <w:pPr>
              <w:ind w:left="460"/>
              <w:spacing w:after="0"/>
              <w:rPr>
                <w:sz w:val="20"/>
                <w:szCs w:val="20"/>
                <w:color w:val="auto"/>
              </w:rPr>
            </w:pPr>
            <w:r>
              <w:rPr>
                <w:rFonts w:ascii="Arial" w:cs="Arial" w:eastAsia="Arial" w:hAnsi="Arial"/>
                <w:sz w:val="16"/>
                <w:szCs w:val="16"/>
                <w:color w:val="auto"/>
              </w:rPr>
              <w:t>Cloud</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14"/>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Client</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08"/>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Consumer</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r>
      <w:tr>
        <w:trPr>
          <w:trHeight w:val="233"/>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by Geography</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7600" w:type="dxa"/>
            <w:vAlign w:val="bottom"/>
          </w:tcPr>
          <w:p>
            <w:pPr>
              <w:ind w:left="460"/>
              <w:spacing w:after="0"/>
              <w:rPr>
                <w:sz w:val="20"/>
                <w:szCs w:val="20"/>
                <w:color w:val="auto"/>
              </w:rPr>
            </w:pPr>
            <w:r>
              <w:rPr>
                <w:rFonts w:ascii="Arial" w:cs="Arial" w:eastAsia="Arial" w:hAnsi="Arial"/>
                <w:sz w:val="16"/>
                <w:szCs w:val="16"/>
                <w:color w:val="auto"/>
              </w:rPr>
              <w:t>Americas</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4"/>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Europe, Middle East and Africa</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08"/>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Asia</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r>
      <w:tr>
        <w:trPr>
          <w:trHeight w:val="229"/>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280" w:firstLine="316"/>
        <w:spacing w:after="0" w:line="253" w:lineRule="auto"/>
        <w:rPr>
          <w:sz w:val="20"/>
          <w:szCs w:val="20"/>
          <w:color w:val="auto"/>
        </w:rPr>
      </w:pPr>
      <w:r>
        <w:rPr>
          <w:rFonts w:ascii="Arial" w:cs="Arial" w:eastAsia="Arial" w:hAnsi="Arial"/>
          <w:sz w:val="18"/>
          <w:szCs w:val="18"/>
          <w:color w:val="auto"/>
        </w:rPr>
        <w:t>The Company’s top 10 customers accounted for 43% of its net revenue for the three months ended October 1, 2021, and 44% of its net revenue for the three months ended October 2, 2020. For the three months ended October 1, 2021 and October 2, 2020, no single customer accounted for 10% or more of the Company’s net revenue.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Goodwill</w:t>
      </w:r>
    </w:p>
    <w:p>
      <w:pPr>
        <w:spacing w:after="0" w:line="241" w:lineRule="exact"/>
        <w:rPr>
          <w:sz w:val="20"/>
          <w:szCs w:val="20"/>
          <w:color w:val="auto"/>
        </w:rPr>
      </w:pPr>
    </w:p>
    <w:p>
      <w:pPr>
        <w:ind w:right="240" w:firstLine="316"/>
        <w:spacing w:after="0" w:line="250" w:lineRule="auto"/>
        <w:rPr>
          <w:sz w:val="20"/>
          <w:szCs w:val="20"/>
          <w:color w:val="auto"/>
        </w:rPr>
      </w:pPr>
      <w:r>
        <w:rPr>
          <w:rFonts w:ascii="Arial" w:cs="Arial" w:eastAsia="Arial" w:hAnsi="Arial"/>
          <w:sz w:val="18"/>
          <w:szCs w:val="18"/>
          <w:color w:val="auto"/>
        </w:rPr>
        <w:t>In connection with the Company’s determination of its reportable segments, effective July 3, 2021, the Company allocated its goodwill between its segments based on the estimated relative fair values of the business units. In addition, management performed a goodwill impairment assessment for each segment and concluded no impairment indicators as of both the beginning and end of the three months ended October 1, 2021. The following table provides a summary of goodwill activity for the period.</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HDD</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Flash</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Total</w:t>
            </w:r>
          </w:p>
        </w:tc>
      </w:tr>
      <w:tr>
        <w:trPr>
          <w:trHeight w:val="181"/>
        </w:trPr>
        <w:tc>
          <w:tcPr>
            <w:tcW w:w="6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4"/>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July 3, 2021</w:t>
            </w:r>
          </w:p>
        </w:tc>
        <w:tc>
          <w:tcPr>
            <w:tcW w:w="106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4,328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8"/>
        </w:trPr>
        <w:tc>
          <w:tcPr>
            <w:tcW w:w="642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October 1, 2021</w:t>
            </w:r>
          </w:p>
        </w:tc>
        <w:tc>
          <w:tcPr>
            <w:tcW w:w="106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4,328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w:t>
      </w:r>
    </w:p>
    <w:p>
      <w:pPr>
        <w:spacing w:after="0" w:line="247" w:lineRule="exact"/>
        <w:rPr>
          <w:sz w:val="20"/>
          <w:szCs w:val="20"/>
          <w:color w:val="auto"/>
        </w:rPr>
      </w:pPr>
    </w:p>
    <w:p>
      <w:pPr>
        <w:ind w:right="40" w:firstLine="316"/>
        <w:spacing w:after="0" w:line="325" w:lineRule="auto"/>
        <w:rPr>
          <w:sz w:val="20"/>
          <w:szCs w:val="20"/>
          <w:color w:val="auto"/>
        </w:rPr>
      </w:pPr>
      <w:r>
        <w:rPr>
          <w:rFonts w:ascii="Arial" w:cs="Arial" w:eastAsia="Arial" w:hAnsi="Arial"/>
          <w:sz w:val="16"/>
          <w:szCs w:val="16"/>
          <w:color w:val="auto"/>
        </w:rPr>
        <w:t>Contract assets represent the Company’s rights to consideration where performance obligations are completed but the customer payments are not due until another performance obligation is satisfied. The Company did not have any contract assets as of either October 1, 2021 or July 2, 2021.</w:t>
      </w:r>
    </w:p>
    <w:p>
      <w:pPr>
        <w:spacing w:after="0" w:line="161" w:lineRule="exact"/>
        <w:rPr>
          <w:sz w:val="20"/>
          <w:szCs w:val="20"/>
          <w:color w:val="auto"/>
        </w:rPr>
      </w:pPr>
    </w:p>
    <w:p>
      <w:pPr>
        <w:ind w:right="40" w:firstLine="316"/>
        <w:spacing w:after="0" w:line="285"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as of October 1, 2021 and July 2, 2021 as well as the related amortization for the three months ended October 1, 2021 and October 2, 2020 were not material.</w:t>
      </w:r>
    </w:p>
    <w:p>
      <w:pPr>
        <w:spacing w:after="0" w:line="193" w:lineRule="exact"/>
        <w:rPr>
          <w:sz w:val="20"/>
          <w:szCs w:val="20"/>
          <w:color w:val="auto"/>
        </w:rPr>
      </w:pPr>
    </w:p>
    <w:p>
      <w:pPr>
        <w:ind w:right="80" w:firstLine="316"/>
        <w:spacing w:after="0" w:line="325" w:lineRule="auto"/>
        <w:rPr>
          <w:sz w:val="20"/>
          <w:szCs w:val="20"/>
          <w:color w:val="auto"/>
        </w:rPr>
      </w:pPr>
      <w:r>
        <w:rPr>
          <w:rFonts w:ascii="Arial" w:cs="Arial" w:eastAsia="Arial" w:hAnsi="Arial"/>
          <w:sz w:val="16"/>
          <w:szCs w:val="16"/>
          <w:color w:val="auto"/>
        </w:rPr>
        <w:t>Contract liabilities relate to customers’ payments in advance of performance under the contract and primarily relate to remaining performance obligations under support and maintenance contracts. As of October 1, 2021 and July 2, 2021, contract liabilities were not material.</w:t>
      </w:r>
    </w:p>
    <w:p>
      <w:pPr>
        <w:spacing w:after="0" w:line="161"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October 1, 2021 was $61 million, which is mainly attributable to the functional IP license and service arrangements. The Company expects to recognize this amount as revenue as follows: $30 million during the remainder of fiscal 2022, $30 million in fiscal 2023, and $1 million in fiscal 2024 and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Supplemental Financial Statement Data</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Accounts receivable, net</w:t>
      </w:r>
    </w:p>
    <w:p>
      <w:pPr>
        <w:spacing w:after="0" w:line="24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From time to time, in connection with factoring agreements, the Company sells trade accounts receivable without recourse to third party purchasers in exchange for cash. The Company did not sell any trade accounts receivable during the three months ended October 1, 2021. During the three months ended October 2, 2020, the Company sold trade accounts receivable for cash proceeds of $128 million. The discounts on the trade accounts receivable sold were not material and were recorded within Other income, net in the Condensed Consolidated Statements of Operations. There were no factored receivables outstanding as of October 1, 2021 and July 2, 2021.</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Inventories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Raw materials and component parts</w:t>
            </w: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1,623</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Work-in-process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Property, plant and equipment, net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50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plant and equipment: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Land</w:t>
            </w: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Buildings and improvements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Machinery and equipment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7,860</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Computer equipment and software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Construction-in-process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1"/>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gross</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10,959</w:t>
            </w:r>
          </w:p>
        </w:tc>
      </w:tr>
      <w:tr>
        <w:trPr>
          <w:trHeight w:val="211"/>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(7,921)</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w:t>
            </w:r>
          </w:p>
        </w:tc>
      </w:tr>
      <w:tr>
        <w:trPr>
          <w:trHeight w:val="208"/>
        </w:trPr>
        <w:tc>
          <w:tcPr>
            <w:tcW w:w="802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Intangible assets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Finite-lived intangible assets</w:t>
            </w:r>
          </w:p>
        </w:tc>
        <w:tc>
          <w:tcPr>
            <w:tcW w:w="3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r>
      <w:tr>
        <w:trPr>
          <w:trHeight w:val="208"/>
        </w:trPr>
        <w:tc>
          <w:tcPr>
            <w:tcW w:w="8020" w:type="dxa"/>
            <w:vAlign w:val="bottom"/>
          </w:tcPr>
          <w:p>
            <w:pPr>
              <w:ind w:left="180"/>
              <w:spacing w:after="0"/>
              <w:rPr>
                <w:sz w:val="20"/>
                <w:szCs w:val="20"/>
                <w:color w:val="auto"/>
              </w:rPr>
            </w:pPr>
            <w:r>
              <w:rPr>
                <w:rFonts w:ascii="Arial" w:cs="Arial" w:eastAsia="Arial" w:hAnsi="Arial"/>
                <w:sz w:val="16"/>
                <w:szCs w:val="16"/>
                <w:color w:val="auto"/>
              </w:rPr>
              <w:t>In-process research and development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1"/>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Intangible assets, net</w:t>
            </w: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300"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Product warranty liability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warranty accrual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30"/>
        </w:trPr>
        <w:tc>
          <w:tcPr>
            <w:tcW w:w="774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2,</w:t>
            </w:r>
          </w:p>
        </w:tc>
        <w:tc>
          <w:tcPr>
            <w:tcW w:w="340" w:type="dxa"/>
            <w:vAlign w:val="bottom"/>
          </w:tcPr>
          <w:p>
            <w:pPr>
              <w:spacing w:after="0"/>
              <w:rPr>
                <w:sz w:val="11"/>
                <w:szCs w:val="11"/>
                <w:color w:val="auto"/>
              </w:rPr>
            </w:pPr>
          </w:p>
        </w:tc>
      </w:tr>
      <w:tr>
        <w:trPr>
          <w:trHeight w:val="184"/>
        </w:trPr>
        <w:tc>
          <w:tcPr>
            <w:tcW w:w="7740" w:type="dxa"/>
            <w:vAlign w:val="bottom"/>
          </w:tcPr>
          <w:p>
            <w:pPr>
              <w:spacing w:after="0"/>
              <w:rPr>
                <w:sz w:val="15"/>
                <w:szCs w:val="15"/>
                <w:color w:val="auto"/>
              </w:rPr>
            </w:pPr>
          </w:p>
        </w:tc>
        <w:tc>
          <w:tcPr>
            <w:tcW w:w="13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r>
      <w:tr>
        <w:trPr>
          <w:trHeight w:val="176"/>
        </w:trPr>
        <w:tc>
          <w:tcPr>
            <w:tcW w:w="7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0" w:type="dxa"/>
            <w:vAlign w:val="bottom"/>
            <w:gridSpan w:val="3"/>
          </w:tcPr>
          <w:p>
            <w:pPr>
              <w:jc w:val="right"/>
              <w:ind w:right="825"/>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accrual, beginning of period</w:t>
            </w:r>
          </w:p>
        </w:tc>
        <w:tc>
          <w:tcPr>
            <w:tcW w:w="136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363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408</w:t>
            </w:r>
          </w:p>
        </w:tc>
      </w:tr>
      <w:tr>
        <w:trPr>
          <w:trHeight w:val="208"/>
        </w:trPr>
        <w:tc>
          <w:tcPr>
            <w:tcW w:w="7740" w:type="dxa"/>
            <w:vAlign w:val="bottom"/>
          </w:tcPr>
          <w:p>
            <w:pPr>
              <w:ind w:left="460"/>
              <w:spacing w:after="0"/>
              <w:rPr>
                <w:sz w:val="20"/>
                <w:szCs w:val="20"/>
                <w:color w:val="auto"/>
              </w:rPr>
            </w:pPr>
            <w:r>
              <w:rPr>
                <w:rFonts w:ascii="Arial" w:cs="Arial" w:eastAsia="Arial" w:hAnsi="Arial"/>
                <w:sz w:val="16"/>
                <w:szCs w:val="16"/>
                <w:color w:val="auto"/>
              </w:rPr>
              <w:t>Charges to operations</w:t>
            </w:r>
          </w:p>
        </w:tc>
        <w:tc>
          <w:tcPr>
            <w:tcW w:w="1360" w:type="dxa"/>
            <w:vAlign w:val="bottom"/>
          </w:tcPr>
          <w:p>
            <w:pPr>
              <w:spacing w:after="0"/>
              <w:rPr>
                <w:sz w:val="18"/>
                <w:szCs w:val="18"/>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Utilization</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Changes in estimate related to pre-existing warranties</w:t>
            </w: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Warranty accrual, end of period</w:t>
            </w:r>
          </w:p>
        </w:tc>
        <w:tc>
          <w:tcPr>
            <w:tcW w:w="136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391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-118110</wp:posOffset>
            </wp:positionV>
            <wp:extent cx="6996430" cy="13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Current portion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29845</wp:posOffset>
            </wp:positionV>
            <wp:extent cx="6996430" cy="133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6430" cy="13398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Long-term portion (included in Other liabilities)</w:t>
      </w:r>
    </w:p>
    <w:p>
      <w:pPr>
        <w:spacing w:after="0" w:line="9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w:t>
            </w:r>
          </w:p>
        </w:tc>
        <w:tc>
          <w:tcPr>
            <w:tcW w:w="580" w:type="dxa"/>
            <w:vAlign w:val="bottom"/>
          </w:tcPr>
          <w:p>
            <w:pPr>
              <w:spacing w:after="0"/>
              <w:rPr>
                <w:sz w:val="14"/>
                <w:szCs w:val="14"/>
                <w:color w:val="auto"/>
              </w:rPr>
            </w:pPr>
          </w:p>
        </w:tc>
        <w:tc>
          <w:tcPr>
            <w:tcW w:w="900" w:type="dxa"/>
            <w:vAlign w:val="bottom"/>
          </w:tcPr>
          <w:p>
            <w:pPr>
              <w:jc w:val="right"/>
              <w:ind w:right="204"/>
              <w:spacing w:after="0"/>
              <w:rPr>
                <w:sz w:val="20"/>
                <w:szCs w:val="20"/>
                <w:color w:val="auto"/>
              </w:rPr>
            </w:pPr>
            <w:r>
              <w:rPr>
                <w:rFonts w:ascii="Arial" w:cs="Arial" w:eastAsia="Arial" w:hAnsi="Arial"/>
                <w:sz w:val="14"/>
                <w:szCs w:val="14"/>
                <w:b w:val="1"/>
                <w:bCs w:val="1"/>
                <w:color w:val="auto"/>
              </w:rPr>
              <w:t>July 2,</w:t>
            </w:r>
          </w:p>
        </w:tc>
      </w:tr>
      <w:tr>
        <w:trPr>
          <w:trHeight w:val="184"/>
        </w:trPr>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r>
      <w:tr>
        <w:trPr>
          <w:trHeight w:val="173"/>
        </w:trPr>
        <w:tc>
          <w:tcPr>
            <w:tcW w:w="560" w:type="dxa"/>
            <w:vAlign w:val="bottom"/>
          </w:tcPr>
          <w:p>
            <w:pPr>
              <w:spacing w:after="0"/>
              <w:rPr>
                <w:sz w:val="15"/>
                <w:szCs w:val="15"/>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r>
      <w:tr>
        <w:trPr>
          <w:trHeight w:val="421"/>
        </w:trPr>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4"/>
                <w:szCs w:val="24"/>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
        </w:trPr>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280"/>
          </w:cols>
          <w:pgMar w:left="320" w:top="127" w:right="23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liabilities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5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176"/>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5"/>
                <w:szCs w:val="15"/>
                <w:color w:val="auto"/>
              </w:rPr>
            </w:pPr>
          </w:p>
        </w:tc>
      </w:tr>
      <w:tr>
        <w:trPr>
          <w:trHeight w:val="21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020" w:type="dxa"/>
            <w:vAlign w:val="bottom"/>
          </w:tcPr>
          <w:p>
            <w:pPr>
              <w:ind w:left="300"/>
              <w:spacing w:after="0"/>
              <w:rPr>
                <w:sz w:val="20"/>
                <w:szCs w:val="20"/>
                <w:color w:val="auto"/>
              </w:rPr>
            </w:pPr>
            <w:r>
              <w:rPr>
                <w:rFonts w:ascii="Arial" w:cs="Arial" w:eastAsia="Arial" w:hAnsi="Arial"/>
                <w:sz w:val="16"/>
                <w:szCs w:val="16"/>
                <w:color w:val="auto"/>
              </w:rPr>
              <w:t>Non-current net tax payable</w:t>
            </w:r>
          </w:p>
        </w:tc>
        <w:tc>
          <w:tcPr>
            <w:tcW w:w="3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5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4"/>
        </w:trPr>
        <w:tc>
          <w:tcPr>
            <w:tcW w:w="8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Payables related to unrecognized tax benefits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8"/>
        </w:trPr>
        <w:tc>
          <w:tcPr>
            <w:tcW w:w="8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non-current liabilities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33"/>
        </w:trPr>
        <w:tc>
          <w:tcPr>
            <w:tcW w:w="8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liabilities</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41" w:lineRule="exact"/>
        <w:rPr>
          <w:sz w:val="20"/>
          <w:szCs w:val="20"/>
          <w:color w:val="auto"/>
        </w:rPr>
      </w:pPr>
    </w:p>
    <w:p>
      <w:pPr>
        <w:ind w:right="40" w:firstLine="316"/>
        <w:spacing w:after="0" w:line="294" w:lineRule="auto"/>
        <w:rPr>
          <w:sz w:val="20"/>
          <w:szCs w:val="20"/>
          <w:color w:val="auto"/>
        </w:rPr>
      </w:pPr>
      <w:r>
        <w:rPr>
          <w:rFonts w:ascii="Arial" w:cs="Arial" w:eastAsia="Arial" w:hAnsi="Arial"/>
          <w:sz w:val="16"/>
          <w:szCs w:val="16"/>
          <w:color w:val="auto"/>
        </w:rPr>
        <w:t>Accumulated other comprehensive income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Actuarial Pension</w:t>
            </w:r>
          </w:p>
        </w:tc>
        <w:tc>
          <w:tcPr>
            <w:tcW w:w="42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4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Unrealized Gains</w:t>
            </w:r>
          </w:p>
        </w:tc>
        <w:tc>
          <w:tcPr>
            <w:tcW w:w="1640" w:type="dxa"/>
            <w:vAlign w:val="bottom"/>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72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89"/>
              </w:rPr>
              <w:t>(Losses) on Derivative</w:t>
            </w:r>
          </w:p>
        </w:tc>
        <w:tc>
          <w:tcPr>
            <w:tcW w:w="1640" w:type="dxa"/>
            <w:vAlign w:val="bottom"/>
            <w:gridSpan w:val="2"/>
          </w:tcPr>
          <w:p>
            <w:pPr>
              <w:jc w:val="right"/>
              <w:ind w:right="22"/>
              <w:spacing w:after="0" w:line="132" w:lineRule="exact"/>
              <w:rPr>
                <w:sz w:val="20"/>
                <w:szCs w:val="20"/>
                <w:color w:val="auto"/>
              </w:rPr>
            </w:pPr>
            <w:r>
              <w:rPr>
                <w:rFonts w:ascii="Arial" w:cs="Arial" w:eastAsia="Arial" w:hAnsi="Arial"/>
                <w:sz w:val="14"/>
                <w:szCs w:val="14"/>
                <w:b w:val="1"/>
                <w:bCs w:val="1"/>
                <w:color w:val="auto"/>
                <w:w w:val="96"/>
              </w:rPr>
              <w:t>Comprehensive Income</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5"/>
                <w:szCs w:val="15"/>
                <w:color w:val="auto"/>
              </w:rPr>
            </w:pPr>
          </w:p>
        </w:tc>
        <w:tc>
          <w:tcPr>
            <w:tcW w:w="1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Gains (Losses)</w:t>
            </w: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Translation Adjustment</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8"/>
              </w:rPr>
              <w:t>Contracts</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5"/>
          </w:tcPr>
          <w:p>
            <w:pPr>
              <w:ind w:left="108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Balance at July 2, 2021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8"/>
        </w:trPr>
        <w:tc>
          <w:tcPr>
            <w:tcW w:w="4460" w:type="dxa"/>
            <w:vAlign w:val="bottom"/>
          </w:tcPr>
          <w:p>
            <w:pPr>
              <w:ind w:left="340"/>
              <w:spacing w:after="0"/>
              <w:rPr>
                <w:sz w:val="20"/>
                <w:szCs w:val="20"/>
                <w:color w:val="auto"/>
              </w:rPr>
            </w:pPr>
            <w:r>
              <w:rPr>
                <w:rFonts w:ascii="Arial" w:cs="Arial" w:eastAsia="Arial" w:hAnsi="Arial"/>
                <w:sz w:val="16"/>
                <w:szCs w:val="16"/>
                <w:color w:val="auto"/>
                <w:w w:val="97"/>
              </w:rPr>
              <w:t>Other comprehensive income (loss) before reclassifications</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4"/>
              </w:rPr>
              <w:t>Amounts reclassified from accumulated other comprehensive</w:t>
            </w:r>
          </w:p>
        </w:tc>
        <w:tc>
          <w:tcPr>
            <w:tcW w:w="40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4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340"/>
              <w:spacing w:after="0" w:line="161" w:lineRule="exact"/>
              <w:rPr>
                <w:sz w:val="20"/>
                <w:szCs w:val="20"/>
                <w:color w:val="auto"/>
              </w:rPr>
            </w:pPr>
            <w:r>
              <w:rPr>
                <w:rFonts w:ascii="Arial" w:cs="Arial" w:eastAsia="Arial" w:hAnsi="Arial"/>
                <w:sz w:val="16"/>
                <w:szCs w:val="16"/>
                <w:color w:val="auto"/>
                <w:w w:val="98"/>
              </w:rPr>
              <w:t>Income tax benefit related to items of other comprehensive</w:t>
            </w:r>
          </w:p>
        </w:tc>
        <w:tc>
          <w:tcPr>
            <w:tcW w:w="40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6"/>
                <w:szCs w:val="16"/>
                <w:color w:val="auto"/>
              </w:rPr>
              <w:t>income</w:t>
            </w:r>
          </w:p>
        </w:tc>
        <w:tc>
          <w:tcPr>
            <w:tcW w:w="4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current-period other comprehensive income</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1"/>
        </w:trPr>
        <w:tc>
          <w:tcPr>
            <w:tcW w:w="4460" w:type="dxa"/>
            <w:vAlign w:val="bottom"/>
          </w:tcPr>
          <w:p>
            <w:pPr>
              <w:ind w:left="340"/>
              <w:spacing w:after="0"/>
              <w:rPr>
                <w:sz w:val="20"/>
                <w:szCs w:val="20"/>
                <w:color w:val="auto"/>
              </w:rPr>
            </w:pPr>
            <w:r>
              <w:rPr>
                <w:rFonts w:ascii="Arial" w:cs="Arial" w:eastAsia="Arial" w:hAnsi="Arial"/>
                <w:sz w:val="16"/>
                <w:szCs w:val="16"/>
                <w:b w:val="1"/>
                <w:bCs w:val="1"/>
                <w:color w:val="auto"/>
              </w:rPr>
              <w:t>Balance at October 1, 2021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During the three months ended October 1, 2021, the amounts reclassified out of AOCI were losses related to foreign exchange contracts of $37 million that were substantially all charged to Cost of revenue and losses related to interest rate swap contracts of $12 million that were charged to Interest expense in the Condensed Consolidated Statements of Operations. During the three months ended October 2, 2020, the amounts reclassified out of AOCI primarily related to foreign exchange contracts and were substantially all charged to Cost of revenue in the Condensed Consolidated Statements of Operations.</w:t>
      </w:r>
    </w:p>
    <w:p>
      <w:pPr>
        <w:spacing w:after="0" w:line="186" w:lineRule="exact"/>
        <w:rPr>
          <w:sz w:val="20"/>
          <w:szCs w:val="20"/>
          <w:color w:val="auto"/>
        </w:rPr>
      </w:pPr>
    </w:p>
    <w:p>
      <w:pPr>
        <w:ind w:right="60" w:firstLine="316"/>
        <w:spacing w:after="0" w:line="253" w:lineRule="auto"/>
        <w:rPr>
          <w:sz w:val="20"/>
          <w:szCs w:val="20"/>
          <w:color w:val="auto"/>
        </w:rPr>
      </w:pPr>
      <w:r>
        <w:rPr>
          <w:rFonts w:ascii="Arial" w:cs="Arial" w:eastAsia="Arial" w:hAnsi="Arial"/>
          <w:sz w:val="18"/>
          <w:szCs w:val="18"/>
          <w:color w:val="auto"/>
        </w:rPr>
        <w:t>As of October 1, 2021, the amount of existing net losses related to cash flow hedges recorded in AOCI included $19 million related to the Company’s interest rate swaps that is expected to be reclassified to earnings after twelve months. In addition, as of October 1, 2021,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Fair Value Measurements and Investments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41" w:lineRule="exact"/>
        <w:rPr>
          <w:sz w:val="20"/>
          <w:szCs w:val="20"/>
          <w:color w:val="auto"/>
        </w:rPr>
      </w:pPr>
    </w:p>
    <w:p>
      <w:pPr>
        <w:ind w:right="240" w:firstLine="316"/>
        <w:spacing w:after="0" w:line="262"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20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3" w:lineRule="auto"/>
        <w:tabs>
          <w:tab w:leader="none" w:pos="9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16"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Inputs that are unobservable for the asset or liability and that are significant to the fair value of the assets or liabilities.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October 1, 2021 and July 2, 2021, and indicate the fair value hierarchy of the valuation techniques utilized to determine such values: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October 1, 2021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Assets:</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00" w:type="dxa"/>
            <w:vAlign w:val="bottom"/>
          </w:tcPr>
          <w:p>
            <w:pPr>
              <w:ind w:left="540"/>
              <w:spacing w:after="0"/>
              <w:rPr>
                <w:sz w:val="20"/>
                <w:szCs w:val="20"/>
                <w:color w:val="auto"/>
              </w:rPr>
            </w:pPr>
            <w:r>
              <w:rPr>
                <w:rFonts w:ascii="Arial" w:cs="Arial" w:eastAsia="Arial" w:hAnsi="Arial"/>
                <w:sz w:val="16"/>
                <w:szCs w:val="16"/>
                <w:color w:val="auto"/>
              </w:rPr>
              <w:t>Cash equivalents - Money market funds</w:t>
            </w: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4"/>
        </w:trPr>
        <w:tc>
          <w:tcPr>
            <w:tcW w:w="4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Foreign exchange contracts</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1"/>
        </w:trPr>
        <w:tc>
          <w:tcPr>
            <w:tcW w:w="4500" w:type="dxa"/>
            <w:vAlign w:val="bottom"/>
          </w:tcPr>
          <w:p>
            <w:pPr>
              <w:ind w:left="1180"/>
              <w:spacing w:after="0"/>
              <w:rPr>
                <w:sz w:val="20"/>
                <w:szCs w:val="20"/>
                <w:color w:val="auto"/>
              </w:rPr>
            </w:pPr>
            <w:r>
              <w:rPr>
                <w:rFonts w:ascii="Arial" w:cs="Arial" w:eastAsia="Arial" w:hAnsi="Arial"/>
                <w:sz w:val="16"/>
                <w:szCs w:val="16"/>
                <w:color w:val="auto"/>
              </w:rPr>
              <w:t>Total assets at fair value</w:t>
            </w: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0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Liabilities:</w:t>
            </w: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00" w:type="dxa"/>
            <w:vAlign w:val="bottom"/>
          </w:tcPr>
          <w:p>
            <w:pPr>
              <w:ind w:left="54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4"/>
        </w:trPr>
        <w:tc>
          <w:tcPr>
            <w:tcW w:w="45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Interest rate swap contract</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1"/>
        </w:trPr>
        <w:tc>
          <w:tcPr>
            <w:tcW w:w="4500" w:type="dxa"/>
            <w:vAlign w:val="bottom"/>
          </w:tcPr>
          <w:p>
            <w:pPr>
              <w:ind w:left="1180"/>
              <w:spacing w:after="0"/>
              <w:rPr>
                <w:sz w:val="20"/>
                <w:szCs w:val="20"/>
                <w:color w:val="auto"/>
              </w:rPr>
            </w:pPr>
            <w:r>
              <w:rPr>
                <w:rFonts w:ascii="Arial" w:cs="Arial" w:eastAsia="Arial" w:hAnsi="Arial"/>
                <w:sz w:val="16"/>
                <w:szCs w:val="16"/>
                <w:color w:val="auto"/>
              </w:rPr>
              <w:t>Total liabilities at fair value</w:t>
            </w:r>
          </w:p>
        </w:tc>
        <w:tc>
          <w:tcPr>
            <w:tcW w:w="7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68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3"/>
        </w:trPr>
        <w:tc>
          <w:tcPr>
            <w:tcW w:w="4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July 2, 2021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3"/>
        </w:trPr>
        <w:tc>
          <w:tcPr>
            <w:tcW w:w="4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Level 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76"/>
        </w:trPr>
        <w:tc>
          <w:tcPr>
            <w:tcW w:w="4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4"/>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4500" w:type="dxa"/>
            <w:vAlign w:val="bottom"/>
          </w:tcPr>
          <w:p>
            <w:pPr>
              <w:ind w:left="220"/>
              <w:spacing w:after="0"/>
              <w:rPr>
                <w:sz w:val="20"/>
                <w:szCs w:val="20"/>
                <w:color w:val="auto"/>
              </w:rPr>
            </w:pPr>
            <w:r>
              <w:rPr>
                <w:rFonts w:ascii="Arial" w:cs="Arial" w:eastAsia="Arial" w:hAnsi="Arial"/>
                <w:sz w:val="16"/>
                <w:szCs w:val="16"/>
                <w:color w:val="auto"/>
              </w:rPr>
              <w:t>Cash equivalents - Money market funds</w:t>
            </w:r>
          </w:p>
        </w:tc>
        <w:tc>
          <w:tcPr>
            <w:tcW w:w="7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4"/>
        </w:trPr>
        <w:tc>
          <w:tcPr>
            <w:tcW w:w="4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7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1"/>
        </w:trPr>
        <w:tc>
          <w:tcPr>
            <w:tcW w:w="4500" w:type="dxa"/>
            <w:vAlign w:val="bottom"/>
          </w:tcPr>
          <w:p>
            <w:pPr>
              <w:ind w:left="860"/>
              <w:spacing w:after="0"/>
              <w:rPr>
                <w:sz w:val="20"/>
                <w:szCs w:val="20"/>
                <w:color w:val="auto"/>
              </w:rPr>
            </w:pPr>
            <w:r>
              <w:rPr>
                <w:rFonts w:ascii="Arial" w:cs="Arial" w:eastAsia="Arial" w:hAnsi="Arial"/>
                <w:sz w:val="16"/>
                <w:szCs w:val="16"/>
                <w:color w:val="auto"/>
              </w:rPr>
              <w:t>Total assets at fair value</w:t>
            </w:r>
          </w:p>
        </w:tc>
        <w:tc>
          <w:tcPr>
            <w:tcW w:w="72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1,297</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45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Liabilities:</w:t>
            </w:r>
          </w:p>
        </w:tc>
        <w:tc>
          <w:tcPr>
            <w:tcW w:w="7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8"/>
        </w:trPr>
        <w:tc>
          <w:tcPr>
            <w:tcW w:w="4500" w:type="dxa"/>
            <w:vAlign w:val="bottom"/>
          </w:tcPr>
          <w:p>
            <w:pPr>
              <w:ind w:left="22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4"/>
        </w:trPr>
        <w:tc>
          <w:tcPr>
            <w:tcW w:w="4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contract</w:t>
            </w:r>
          </w:p>
        </w:tc>
        <w:tc>
          <w:tcPr>
            <w:tcW w:w="7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1"/>
        </w:trPr>
        <w:tc>
          <w:tcPr>
            <w:tcW w:w="4500" w:type="dxa"/>
            <w:vAlign w:val="bottom"/>
          </w:tcPr>
          <w:p>
            <w:pPr>
              <w:ind w:left="860"/>
              <w:spacing w:after="0"/>
              <w:rPr>
                <w:sz w:val="20"/>
                <w:szCs w:val="20"/>
                <w:color w:val="auto"/>
              </w:rPr>
            </w:pPr>
            <w:r>
              <w:rPr>
                <w:rFonts w:ascii="Arial" w:cs="Arial" w:eastAsia="Arial" w:hAnsi="Arial"/>
                <w:sz w:val="16"/>
                <w:szCs w:val="16"/>
                <w:color w:val="auto"/>
              </w:rPr>
              <w:t>Total liabilities at fair value</w:t>
            </w:r>
          </w:p>
        </w:tc>
        <w:tc>
          <w:tcPr>
            <w:tcW w:w="720" w:type="dxa"/>
            <w:vAlign w:val="bottom"/>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145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4"/>
          </w:tcPr>
          <w:p>
            <w:pPr>
              <w:ind w:left="8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3"/>
        </w:trPr>
        <w:tc>
          <w:tcPr>
            <w:tcW w:w="4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00" w:firstLine="316"/>
        <w:spacing w:after="0" w:line="262" w:lineRule="auto"/>
        <w:rPr>
          <w:sz w:val="20"/>
          <w:szCs w:val="20"/>
          <w:color w:val="auto"/>
        </w:rPr>
      </w:pPr>
      <w:r>
        <w:rPr>
          <w:rFonts w:ascii="Arial" w:cs="Arial" w:eastAsia="Arial" w:hAnsi="Arial"/>
          <w:sz w:val="18"/>
          <w:szCs w:val="18"/>
          <w:color w:val="auto"/>
        </w:rPr>
        <w:t>During the three months ended October 1, 2021 and October 2, 2020,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41" w:lineRule="exact"/>
        <w:rPr>
          <w:sz w:val="20"/>
          <w:szCs w:val="20"/>
          <w:color w:val="auto"/>
        </w:rPr>
      </w:pPr>
    </w:p>
    <w:p>
      <w:pPr>
        <w:ind w:right="60" w:firstLine="316"/>
        <w:spacing w:after="0" w:line="284"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fiscal 2022 and the fourth quarter of fiscal 2021, respectively.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October 1, 2021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July 2, 2021</w:t>
            </w:r>
          </w:p>
        </w:tc>
        <w:tc>
          <w:tcPr>
            <w:tcW w:w="1080" w:type="dxa"/>
            <w:vAlign w:val="bottom"/>
            <w:tcBorders>
              <w:bottom w:val="single" w:sz="8" w:color="auto"/>
            </w:tcBorders>
          </w:tcPr>
          <w:p>
            <w:pPr>
              <w:spacing w:after="0"/>
              <w:rPr>
                <w:sz w:val="16"/>
                <w:szCs w:val="16"/>
                <w:color w:val="auto"/>
              </w:rPr>
            </w:pPr>
          </w:p>
        </w:tc>
      </w:tr>
      <w:tr>
        <w:trPr>
          <w:trHeight w:val="130"/>
        </w:trPr>
        <w:tc>
          <w:tcPr>
            <w:tcW w:w="4380" w:type="dxa"/>
            <w:vAlign w:val="bottom"/>
          </w:tcPr>
          <w:p>
            <w:pPr>
              <w:spacing w:after="0"/>
              <w:rPr>
                <w:sz w:val="11"/>
                <w:szCs w:val="11"/>
                <w:color w:val="auto"/>
              </w:rPr>
            </w:pPr>
          </w:p>
        </w:tc>
        <w:tc>
          <w:tcPr>
            <w:tcW w:w="1740" w:type="dxa"/>
            <w:vAlign w:val="bottom"/>
            <w:gridSpan w:val="3"/>
          </w:tcPr>
          <w:p>
            <w:pPr>
              <w:ind w:left="700"/>
              <w:spacing w:after="0" w:line="131" w:lineRule="exact"/>
              <w:rPr>
                <w:sz w:val="20"/>
                <w:szCs w:val="20"/>
                <w:color w:val="auto"/>
              </w:rPr>
            </w:pPr>
            <w:r>
              <w:rPr>
                <w:rFonts w:ascii="Arial" w:cs="Arial" w:eastAsia="Arial" w:hAnsi="Arial"/>
                <w:sz w:val="14"/>
                <w:szCs w:val="14"/>
                <w:b w:val="1"/>
                <w:bCs w:val="1"/>
                <w:color w:val="auto"/>
              </w:rPr>
              <w:t>Carrying</w:t>
            </w:r>
          </w:p>
        </w:tc>
        <w:tc>
          <w:tcPr>
            <w:tcW w:w="11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1"/>
                <w:szCs w:val="11"/>
                <w:color w:val="auto"/>
              </w:rPr>
            </w:pPr>
          </w:p>
        </w:tc>
        <w:tc>
          <w:tcPr>
            <w:tcW w:w="1080" w:type="dxa"/>
            <w:vAlign w:val="bottom"/>
          </w:tcPr>
          <w:p>
            <w:pPr>
              <w:jc w:val="right"/>
              <w:ind w:right="463"/>
              <w:spacing w:after="0" w:line="131" w:lineRule="exact"/>
              <w:rPr>
                <w:sz w:val="20"/>
                <w:szCs w:val="20"/>
                <w:color w:val="auto"/>
              </w:rPr>
            </w:pPr>
            <w:r>
              <w:rPr>
                <w:rFonts w:ascii="Arial" w:cs="Arial" w:eastAsia="Arial" w:hAnsi="Arial"/>
                <w:sz w:val="14"/>
                <w:szCs w:val="14"/>
                <w:b w:val="1"/>
                <w:bCs w:val="1"/>
                <w:color w:val="auto"/>
              </w:rPr>
              <w:t>Fair</w:t>
            </w:r>
          </w:p>
        </w:tc>
      </w:tr>
      <w:tr>
        <w:trPr>
          <w:trHeight w:val="184"/>
        </w:trPr>
        <w:tc>
          <w:tcPr>
            <w:tcW w:w="4380" w:type="dxa"/>
            <w:vAlign w:val="bottom"/>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Value</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Value</w:t>
            </w:r>
          </w:p>
        </w:tc>
      </w:tr>
      <w:tr>
        <w:trPr>
          <w:trHeight w:val="176"/>
        </w:trPr>
        <w:tc>
          <w:tcPr>
            <w:tcW w:w="4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110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4,282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r>
      <w:tr>
        <w:trPr>
          <w:trHeight w:val="208"/>
        </w:trPr>
        <w:tc>
          <w:tcPr>
            <w:tcW w:w="438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1,112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r>
      <w:tr>
        <w:trPr>
          <w:trHeight w:val="208"/>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4.75% senior unsecured notes due 2026</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2,550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w:t>
            </w:r>
          </w:p>
        </w:tc>
      </w:tr>
      <w:tr>
        <w:trPr>
          <w:trHeight w:val="233"/>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8,888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47" w:lineRule="exact"/>
        <w:rPr>
          <w:sz w:val="20"/>
          <w:szCs w:val="20"/>
          <w:color w:val="auto"/>
        </w:rPr>
      </w:pPr>
    </w:p>
    <w:p>
      <w:pPr>
        <w:ind w:right="320" w:firstLine="316"/>
        <w:spacing w:after="0" w:line="250" w:lineRule="auto"/>
        <w:rPr>
          <w:sz w:val="20"/>
          <w:szCs w:val="20"/>
          <w:color w:val="auto"/>
        </w:rPr>
      </w:pPr>
      <w:r>
        <w:rPr>
          <w:rFonts w:ascii="Arial" w:cs="Arial" w:eastAsia="Arial" w:hAnsi="Arial"/>
          <w:sz w:val="18"/>
          <w:szCs w:val="18"/>
          <w:color w:val="auto"/>
        </w:rPr>
        <w:t>As of October 1, 2021,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pay-fixed interest rate swaps that were designated as cash flow hedges of variable rate interest payments on a portion of its term loans through February 2023.</w:t>
      </w:r>
    </w:p>
    <w:p>
      <w:pPr>
        <w:spacing w:after="0" w:line="219" w:lineRule="exact"/>
        <w:rPr>
          <w:sz w:val="20"/>
          <w:szCs w:val="20"/>
          <w:color w:val="auto"/>
        </w:rPr>
      </w:pPr>
    </w:p>
    <w:p>
      <w:pPr>
        <w:ind w:right="360" w:firstLine="316"/>
        <w:spacing w:after="0" w:line="250"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months ended October 1, 2021 and October 2, 2020, total net realized and unrealized transaction and foreign exchange contract currency gains and losses were not material to the Company’s Condensed Consolidated Financial Statements.</w:t>
      </w:r>
    </w:p>
    <w:p>
      <w:pPr>
        <w:spacing w:after="0" w:line="219"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Unrealized gains or losses on designated cash flow hedges are recognized in AOCI. For more information regarding cash flow hedges, see Part I, Item1, Note 5. </w:t>
      </w:r>
      <w:r>
        <w:rPr>
          <w:rFonts w:ascii="Arial" w:cs="Arial" w:eastAsia="Arial" w:hAnsi="Arial"/>
          <w:sz w:val="18"/>
          <w:szCs w:val="18"/>
          <w:i w:val="1"/>
          <w:iCs w:val="1"/>
          <w:color w:val="auto"/>
        </w:rPr>
        <w:t>Supplemental Information - Accumulated other comprehensive income (losses)</w:t>
      </w:r>
      <w:r>
        <w:rPr>
          <w:rFonts w:ascii="Arial" w:cs="Arial" w:eastAsia="Arial" w:hAnsi="Arial"/>
          <w:sz w:val="18"/>
          <w:szCs w:val="18"/>
          <w:color w:val="auto"/>
        </w:rPr>
        <w:t>, of the Notes to Condensed Consolidated Financial Statements included in this Quarterly Report on Form 10-Q.</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Netting Arrangements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October 1, 2021 and July 2, 2021,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consisted of the following as of October 1, 2021 and July 2,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w:t>
            </w:r>
          </w:p>
        </w:tc>
        <w:tc>
          <w:tcPr>
            <w:tcW w:w="600" w:type="dxa"/>
            <w:vAlign w:val="bottom"/>
          </w:tcPr>
          <w:p>
            <w:pPr>
              <w:spacing w:after="0"/>
              <w:rPr>
                <w:sz w:val="14"/>
                <w:szCs w:val="14"/>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Variable interest rate Term Loan A-1 maturing 2023</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Variable interest rate Term Loan B-4 maturing 2023</w:t>
            </w: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1.50% convertible notes due 2024</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4.75% senior unsecured notes due 2026</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r>
      <w:tr>
        <w:trPr>
          <w:trHeight w:val="208"/>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debt</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Issuance costs and debt discounts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7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Subtotal</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r>
      <w:tr>
        <w:trPr>
          <w:trHeight w:val="208"/>
        </w:trPr>
        <w:tc>
          <w:tcPr>
            <w:tcW w:w="77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Less current portion of long-term debt</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3"/>
        </w:trPr>
        <w:tc>
          <w:tcPr>
            <w:tcW w:w="77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Long-term debt</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600" w:firstLine="316"/>
        <w:spacing w:after="0" w:line="325" w:lineRule="auto"/>
        <w:rPr>
          <w:sz w:val="20"/>
          <w:szCs w:val="20"/>
          <w:color w:val="auto"/>
        </w:rPr>
      </w:pPr>
      <w:r>
        <w:rPr>
          <w:rFonts w:ascii="Arial" w:cs="Arial" w:eastAsia="Arial" w:hAnsi="Arial"/>
          <w:sz w:val="16"/>
          <w:szCs w:val="16"/>
          <w:color w:val="auto"/>
        </w:rPr>
        <w:t>The credit agreement governing the revolving credit facility and Term Loan A-1 requires the Company to comply with certain financial covenants, consisting of a leverage ratio and an interest coverage ratio. As of October 1, 2021, the Company was in compliance with these financial covenants.</w:t>
      </w:r>
    </w:p>
    <w:p>
      <w:pPr>
        <w:spacing w:after="0" w:line="161" w:lineRule="exact"/>
        <w:rPr>
          <w:sz w:val="20"/>
          <w:szCs w:val="20"/>
          <w:color w:val="auto"/>
        </w:rPr>
      </w:pPr>
    </w:p>
    <w:p>
      <w:pPr>
        <w:ind w:right="80" w:firstLine="316"/>
        <w:spacing w:after="0" w:line="262" w:lineRule="auto"/>
        <w:rPr>
          <w:sz w:val="20"/>
          <w:szCs w:val="20"/>
          <w:color w:val="auto"/>
        </w:rPr>
      </w:pPr>
      <w:r>
        <w:rPr>
          <w:rFonts w:ascii="Arial" w:cs="Arial" w:eastAsia="Arial" w:hAnsi="Arial"/>
          <w:sz w:val="18"/>
          <w:szCs w:val="18"/>
          <w:color w:val="auto"/>
        </w:rPr>
        <w:t>During the three months ended October 1, 2021, the Company made a voluntary prepayment of $150 million on its Term Loan B-4. On October 22, 2021, the Company voluntarily prepaid the remaining principal balance of $943 million on its Term Loan B-4.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Pension and Other Post-Retirement Benefit Plans</w:t>
      </w:r>
    </w:p>
    <w:p>
      <w:pPr>
        <w:spacing w:after="0" w:line="247"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Philippines defined benefit pension plans (the “Pension Plans”) are immaterial to the Condensed Consolidated Financial Statements. The expected long-term rate of return on the Pension Plans assets is 2.5%.</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Obligations and Funded Status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unfunded status of the benefit obligations for the Pension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13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 obligation at end of period</w:t>
            </w:r>
          </w:p>
        </w:tc>
        <w:tc>
          <w:tcPr>
            <w:tcW w:w="13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359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Fair value of plan assets at end of period</w:t>
            </w: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229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Unfunded status</w:t>
            </w:r>
          </w:p>
        </w:tc>
        <w:tc>
          <w:tcPr>
            <w:tcW w:w="136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the unfunded amounts related to the Pension Plans as recognized on the Company’s Condensed Consolidated Balance Sheets: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ind w:right="424"/>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40" w:type="dxa"/>
            <w:vAlign w:val="bottom"/>
          </w:tcPr>
          <w:p>
            <w:pPr>
              <w:spacing w:after="0"/>
              <w:rPr>
                <w:sz w:val="15"/>
                <w:szCs w:val="15"/>
                <w:color w:val="auto"/>
              </w:rPr>
            </w:pPr>
          </w:p>
        </w:tc>
        <w:tc>
          <w:tcPr>
            <w:tcW w:w="13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r>
      <w:tr>
        <w:trPr>
          <w:trHeight w:val="176"/>
        </w:trPr>
        <w:tc>
          <w:tcPr>
            <w:tcW w:w="7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gridSpan w:val="3"/>
          </w:tcPr>
          <w:p>
            <w:pPr>
              <w:jc w:val="right"/>
              <w:ind w:right="4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liabilities</w:t>
            </w:r>
          </w:p>
        </w:tc>
        <w:tc>
          <w:tcPr>
            <w:tcW w:w="13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 liabilities</w:t>
            </w:r>
          </w:p>
        </w:tc>
        <w:tc>
          <w:tcPr>
            <w:tcW w:w="1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129</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3"/>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amount recognized</w:t>
            </w:r>
          </w:p>
        </w:tc>
        <w:tc>
          <w:tcPr>
            <w:tcW w:w="136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periodic benefit costs were not material for the three months ended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Related Parties and Related Commitments and Contingencies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60" w:firstLine="316"/>
        <w:spacing w:after="0" w:line="262" w:lineRule="auto"/>
        <w:rPr>
          <w:sz w:val="20"/>
          <w:szCs w:val="20"/>
          <w:color w:val="auto"/>
        </w:rPr>
      </w:pPr>
      <w:r>
        <w:rPr>
          <w:rFonts w:ascii="Arial" w:cs="Arial" w:eastAsia="Arial" w:hAnsi="Arial"/>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the notes receivable from, and equity investments in, Flash Ventures as of October 1, 2021 and July 2,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w:t>
            </w:r>
          </w:p>
        </w:tc>
        <w:tc>
          <w:tcPr>
            <w:tcW w:w="600" w:type="dxa"/>
            <w:vAlign w:val="bottom"/>
          </w:tcPr>
          <w:p>
            <w:pPr>
              <w:spacing w:after="0"/>
              <w:rPr>
                <w:sz w:val="14"/>
                <w:szCs w:val="14"/>
                <w:color w:val="auto"/>
              </w:rPr>
            </w:pPr>
          </w:p>
        </w:tc>
        <w:tc>
          <w:tcPr>
            <w:tcW w:w="1120" w:type="dxa"/>
            <w:vAlign w:val="bottom"/>
          </w:tcPr>
          <w:p>
            <w:pPr>
              <w:jc w:val="right"/>
              <w:ind w:right="423"/>
              <w:spacing w:after="0"/>
              <w:rPr>
                <w:sz w:val="20"/>
                <w:szCs w:val="20"/>
                <w:color w:val="auto"/>
              </w:rPr>
            </w:pPr>
            <w:r>
              <w:rPr>
                <w:rFonts w:ascii="Arial" w:cs="Arial" w:eastAsia="Arial" w:hAnsi="Arial"/>
                <w:sz w:val="14"/>
                <w:szCs w:val="14"/>
                <w:b w:val="1"/>
                <w:bCs w:val="1"/>
                <w:color w:val="auto"/>
              </w:rPr>
              <w:t>July 2,</w:t>
            </w:r>
          </w:p>
        </w:tc>
      </w:tr>
      <w:tr>
        <w:trPr>
          <w:trHeight w:val="184"/>
        </w:trPr>
        <w:tc>
          <w:tcPr>
            <w:tcW w:w="77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176"/>
        </w:trPr>
        <w:tc>
          <w:tcPr>
            <w:tcW w:w="7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Partners</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Notes receivable, Flash Alliance</w:t>
            </w: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 Flash Forward</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8"/>
        </w:trPr>
        <w:tc>
          <w:tcPr>
            <w:tcW w:w="7720" w:type="dxa"/>
            <w:vAlign w:val="bottom"/>
          </w:tcPr>
          <w:p>
            <w:pPr>
              <w:ind w:left="340"/>
              <w:spacing w:after="0"/>
              <w:rPr>
                <w:sz w:val="20"/>
                <w:szCs w:val="20"/>
                <w:color w:val="auto"/>
              </w:rPr>
            </w:pPr>
            <w:r>
              <w:rPr>
                <w:rFonts w:ascii="Arial" w:cs="Arial" w:eastAsia="Arial" w:hAnsi="Arial"/>
                <w:sz w:val="16"/>
                <w:szCs w:val="16"/>
                <w:color w:val="auto"/>
              </w:rPr>
              <w:t>Investment in Flash Partners</w:t>
            </w: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Flash Alliance</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8"/>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Flash Forward</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33"/>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notes receivable and investments in Flash Ventures</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560" w:firstLine="316"/>
        <w:spacing w:after="0" w:line="262" w:lineRule="auto"/>
        <w:rPr>
          <w:sz w:val="20"/>
          <w:szCs w:val="20"/>
          <w:color w:val="auto"/>
        </w:rPr>
      </w:pPr>
      <w:r>
        <w:rPr>
          <w:rFonts w:ascii="Arial" w:cs="Arial" w:eastAsia="Arial" w:hAnsi="Arial"/>
          <w:sz w:val="18"/>
          <w:szCs w:val="18"/>
          <w:color w:val="auto"/>
        </w:rPr>
        <w:t>During the three months ended October 1, 2021 and October 2, 2020, the Company made net payments to Flash Ventures of $1.19 billion and $981 million, respectively, for purchased flash-based memory wafers and net loans.</w:t>
      </w:r>
    </w:p>
    <w:p>
      <w:pPr>
        <w:spacing w:after="0" w:line="208" w:lineRule="exact"/>
        <w:rPr>
          <w:sz w:val="20"/>
          <w:szCs w:val="20"/>
          <w:color w:val="auto"/>
        </w:rPr>
      </w:pPr>
    </w:p>
    <w:p>
      <w:pPr>
        <w:ind w:right="260" w:firstLine="316"/>
        <w:spacing w:after="0" w:line="316" w:lineRule="auto"/>
        <w:rPr>
          <w:sz w:val="20"/>
          <w:szCs w:val="20"/>
          <w:color w:val="auto"/>
        </w:rPr>
      </w:pPr>
      <w:r>
        <w:rPr>
          <w:rFonts w:ascii="Arial" w:cs="Arial" w:eastAsia="Arial" w:hAnsi="Arial"/>
          <w:sz w:val="15"/>
          <w:szCs w:val="15"/>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73" w:lineRule="exact"/>
        <w:rPr>
          <w:sz w:val="20"/>
          <w:szCs w:val="20"/>
          <w:color w:val="auto"/>
        </w:rPr>
      </w:pPr>
    </w:p>
    <w:p>
      <w:pPr>
        <w:ind w:right="880" w:firstLine="316"/>
        <w:spacing w:after="0" w:line="262" w:lineRule="auto"/>
        <w:rPr>
          <w:sz w:val="20"/>
          <w:szCs w:val="20"/>
          <w:color w:val="auto"/>
        </w:rPr>
      </w:pPr>
      <w:r>
        <w:rPr>
          <w:rFonts w:ascii="Arial" w:cs="Arial" w:eastAsia="Arial" w:hAnsi="Arial"/>
          <w:sz w:val="18"/>
          <w:szCs w:val="18"/>
          <w:color w:val="auto"/>
        </w:rPr>
        <w:t>As of October 1, 2021 and July 2, 2021, the Company had Accounts payable balances due to Flash Ventures of $378 million and $398 million, respectively.</w:t>
      </w:r>
    </w:p>
    <w:p>
      <w:pPr>
        <w:spacing w:after="0" w:line="208" w:lineRule="exact"/>
        <w:rPr>
          <w:sz w:val="20"/>
          <w:szCs w:val="20"/>
          <w:color w:val="auto"/>
        </w:rPr>
      </w:pPr>
    </w:p>
    <w:p>
      <w:pPr>
        <w:ind w:right="220" w:firstLine="316"/>
        <w:spacing w:after="0" w:line="288"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October 1, 2021,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1"/>
        </w:trPr>
        <w:tc>
          <w:tcPr>
            <w:tcW w:w="9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right"/>
              <w:ind w:right="324"/>
              <w:spacing w:after="0" w:line="141" w:lineRule="exact"/>
              <w:rPr>
                <w:sz w:val="20"/>
                <w:szCs w:val="20"/>
                <w:color w:val="auto"/>
              </w:rPr>
            </w:pPr>
            <w:r>
              <w:rPr>
                <w:rFonts w:ascii="Arial" w:cs="Arial" w:eastAsia="Arial" w:hAnsi="Arial"/>
                <w:sz w:val="14"/>
                <w:szCs w:val="14"/>
                <w:b w:val="1"/>
                <w:bCs w:val="1"/>
                <w:color w:val="auto"/>
              </w:rPr>
              <w:t>October 1,</w:t>
            </w:r>
          </w:p>
        </w:tc>
      </w:tr>
      <w:tr>
        <w:trPr>
          <w:trHeight w:val="184"/>
        </w:trPr>
        <w:tc>
          <w:tcPr>
            <w:tcW w:w="95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2021</w:t>
            </w:r>
          </w:p>
        </w:tc>
      </w:tr>
      <w:tr>
        <w:trPr>
          <w:trHeight w:val="176"/>
        </w:trPr>
        <w:tc>
          <w:tcPr>
            <w:tcW w:w="9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receivable</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08"/>
        </w:trPr>
        <w:tc>
          <w:tcPr>
            <w:tcW w:w="9500" w:type="dxa"/>
            <w:vAlign w:val="bottom"/>
          </w:tcPr>
          <w:p>
            <w:pPr>
              <w:ind w:left="340"/>
              <w:spacing w:after="0"/>
              <w:rPr>
                <w:sz w:val="20"/>
                <w:szCs w:val="20"/>
                <w:color w:val="auto"/>
              </w:rPr>
            </w:pPr>
            <w:r>
              <w:rPr>
                <w:rFonts w:ascii="Arial" w:cs="Arial" w:eastAsia="Arial" w:hAnsi="Arial"/>
                <w:sz w:val="16"/>
                <w:szCs w:val="16"/>
                <w:color w:val="auto"/>
              </w:rPr>
              <w:t>Equity investments</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14"/>
        </w:trPr>
        <w:tc>
          <w:tcPr>
            <w:tcW w:w="9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guarantees</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r>
      <w:tr>
        <w:trPr>
          <w:trHeight w:val="208"/>
        </w:trPr>
        <w:tc>
          <w:tcPr>
            <w:tcW w:w="9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Inventory and prepayments</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r>
      <w:tr>
        <w:trPr>
          <w:trHeight w:val="233"/>
        </w:trPr>
        <w:tc>
          <w:tcPr>
            <w:tcW w:w="9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Maximum estimable loss exposure</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93"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In June 2019, an unexpected power outage incident occurred at the flash-based memory manufacturing facilities operated in Yokkaichi, Japan. The power outage incident impacted the facilities and process tools and resulted in damage to flash wafers in production and a reduction in the Company’s flash wafer availability. During the three months ended October 2, 2020, the Company recovered $30 million related to this incident from its insurance carriers, which was recorded in Cost of revenue.</w:t>
      </w:r>
    </w:p>
    <w:p>
      <w:pPr>
        <w:spacing w:after="0" w:line="219" w:lineRule="exact"/>
        <w:rPr>
          <w:sz w:val="20"/>
          <w:szCs w:val="20"/>
          <w:color w:val="auto"/>
        </w:rPr>
      </w:pPr>
    </w:p>
    <w:p>
      <w:pPr>
        <w:ind w:right="400" w:firstLine="316"/>
        <w:spacing w:after="0" w:line="262" w:lineRule="auto"/>
        <w:rPr>
          <w:sz w:val="20"/>
          <w:szCs w:val="20"/>
          <w:color w:val="auto"/>
        </w:rPr>
      </w:pPr>
      <w:r>
        <w:rPr>
          <w:rFonts w:ascii="Arial" w:cs="Arial" w:eastAsia="Arial" w:hAnsi="Arial"/>
          <w:sz w:val="18"/>
          <w:szCs w:val="18"/>
          <w:i w:val="1"/>
          <w:iCs w:val="1"/>
          <w:color w:val="auto"/>
        </w:rPr>
        <w:t xml:space="preserve">Inventory Purchase Commitments with Flash Ventures. </w:t>
      </w:r>
      <w:r>
        <w:rPr>
          <w:rFonts w:ascii="Arial" w:cs="Arial" w:eastAsia="Arial" w:hAnsi="Arial"/>
          <w:sz w:val="18"/>
          <w:szCs w:val="18"/>
          <w:color w:val="auto"/>
        </w:rPr>
        <w:t>Purchase orders placed under Flash Ventures for up to three months are binding and cannot be</w:t>
      </w:r>
      <w:r>
        <w:rPr>
          <w:rFonts w:ascii="Arial" w:cs="Arial" w:eastAsia="Arial" w:hAnsi="Arial"/>
          <w:sz w:val="18"/>
          <w:szCs w:val="18"/>
          <w:i w:val="1"/>
          <w:iCs w:val="1"/>
          <w:color w:val="auto"/>
        </w:rPr>
        <w:t xml:space="preserve"> </w:t>
      </w:r>
      <w:r>
        <w:rPr>
          <w:rFonts w:ascii="Arial" w:cs="Arial" w:eastAsia="Arial" w:hAnsi="Arial"/>
          <w:sz w:val="18"/>
          <w:szCs w:val="18"/>
          <w:color w:val="auto"/>
        </w:rPr>
        <w:t>canceled.</w:t>
      </w:r>
    </w:p>
    <w:p>
      <w:pPr>
        <w:spacing w:after="0" w:line="208" w:lineRule="exact"/>
        <w:rPr>
          <w:sz w:val="20"/>
          <w:szCs w:val="20"/>
          <w:color w:val="auto"/>
        </w:rPr>
      </w:pPr>
    </w:p>
    <w:p>
      <w:pPr>
        <w:ind w:right="920" w:firstLine="316"/>
        <w:spacing w:after="0" w:line="325" w:lineRule="auto"/>
        <w:rPr>
          <w:sz w:val="20"/>
          <w:szCs w:val="20"/>
          <w:color w:val="auto"/>
        </w:rPr>
      </w:pPr>
      <w:r>
        <w:rPr>
          <w:rFonts w:ascii="Arial" w:cs="Arial" w:eastAsia="Arial" w:hAnsi="Arial"/>
          <w:sz w:val="16"/>
          <w:szCs w:val="16"/>
          <w:i w:val="1"/>
          <w:iCs w:val="1"/>
          <w:color w:val="auto"/>
        </w:rPr>
        <w:t xml:space="preserve">Research and Development Activities. </w:t>
      </w:r>
      <w:r>
        <w:rPr>
          <w:rFonts w:ascii="Arial" w:cs="Arial" w:eastAsia="Arial" w:hAnsi="Arial"/>
          <w:sz w:val="16"/>
          <w:szCs w:val="16"/>
          <w:color w:val="auto"/>
        </w:rPr>
        <w:t>The Company participates in common research and development (“R&amp;D”) activities with Kioxia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contractually committed to a minimum funding level. R&amp;D commitments are immaterial to the Condensed Consolidated Financial Statements.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Off-Balance Sheet Liabilities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19" w:lineRule="exact"/>
        <w:rPr>
          <w:sz w:val="20"/>
          <w:szCs w:val="20"/>
          <w:color w:val="auto"/>
        </w:rPr>
      </w:pPr>
    </w:p>
    <w:p>
      <w:pPr>
        <w:ind w:right="100" w:firstLine="316"/>
        <w:spacing w:after="0" w:line="261"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October 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Lease Amounts</w:t>
            </w:r>
          </w:p>
        </w:tc>
        <w:tc>
          <w:tcPr>
            <w:tcW w:w="1120" w:type="dxa"/>
            <w:vAlign w:val="bottom"/>
            <w:tcBorders>
              <w:bottom w:val="single" w:sz="8" w:color="auto"/>
            </w:tcBorders>
          </w:tcPr>
          <w:p>
            <w:pPr>
              <w:spacing w:after="0"/>
              <w:rPr>
                <w:sz w:val="16"/>
                <w:szCs w:val="16"/>
                <w:color w:val="auto"/>
              </w:rPr>
            </w:pPr>
          </w:p>
        </w:tc>
      </w:tr>
      <w:tr>
        <w:trPr>
          <w:trHeight w:val="130"/>
        </w:trPr>
        <w:tc>
          <w:tcPr>
            <w:tcW w:w="7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jc w:val="right"/>
              <w:ind w:right="307"/>
              <w:spacing w:after="0" w:line="131" w:lineRule="exact"/>
              <w:rPr>
                <w:sz w:val="20"/>
                <w:szCs w:val="20"/>
                <w:color w:val="auto"/>
              </w:rPr>
            </w:pPr>
            <w:r>
              <w:rPr>
                <w:rFonts w:ascii="Arial" w:cs="Arial" w:eastAsia="Arial" w:hAnsi="Arial"/>
                <w:sz w:val="14"/>
                <w:szCs w:val="14"/>
                <w:i w:val="1"/>
                <w:iCs w:val="1"/>
                <w:color w:val="auto"/>
                <w:w w:val="92"/>
              </w:rPr>
              <w:t>(Japanese yen, in</w:t>
            </w:r>
          </w:p>
        </w:tc>
        <w:tc>
          <w:tcPr>
            <w:tcW w:w="52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4"/>
                <w:szCs w:val="14"/>
                <w:i w:val="1"/>
                <w:iCs w:val="1"/>
                <w:color w:val="auto"/>
              </w:rPr>
              <w:t>(U.S. dollar, in</w:t>
            </w:r>
          </w:p>
        </w:tc>
      </w:tr>
      <w:tr>
        <w:trPr>
          <w:trHeight w:val="182"/>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727"/>
              <w:spacing w:after="0"/>
              <w:rPr>
                <w:sz w:val="20"/>
                <w:szCs w:val="20"/>
                <w:color w:val="auto"/>
              </w:rPr>
            </w:pPr>
            <w:r>
              <w:rPr>
                <w:rFonts w:ascii="Arial" w:cs="Arial" w:eastAsia="Arial" w:hAnsi="Arial"/>
                <w:sz w:val="14"/>
                <w:szCs w:val="14"/>
                <w:i w:val="1"/>
                <w:iCs w:val="1"/>
                <w:color w:val="auto"/>
              </w:rPr>
              <w:t>billions)</w:t>
            </w:r>
          </w:p>
        </w:tc>
        <w:tc>
          <w:tcPr>
            <w:tcW w:w="5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4"/>
                <w:szCs w:val="14"/>
                <w:i w:val="1"/>
                <w:iCs w:val="1"/>
                <w:color w:val="auto"/>
              </w:rPr>
              <w:t>millions)</w:t>
            </w:r>
          </w:p>
        </w:tc>
      </w:tr>
      <w:tr>
        <w:trPr>
          <w:trHeight w:val="214"/>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guarantee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220</w:t>
            </w:r>
          </w:p>
        </w:tc>
        <w:tc>
          <w:tcPr>
            <w:tcW w:w="5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r>
    </w:tbl>
    <w:p>
      <w:pPr>
        <w:spacing w:after="0" w:line="317" w:lineRule="exact"/>
        <w:rPr>
          <w:sz w:val="20"/>
          <w:szCs w:val="20"/>
          <w:color w:val="auto"/>
        </w:rPr>
      </w:pPr>
    </w:p>
    <w:p>
      <w:pPr>
        <w:ind w:right="140" w:firstLine="316"/>
        <w:spacing w:after="0" w:line="253"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October 1, 2021 in U.S. dollars, based upon the Japanese yen to U.S. dollar exchange rate as of October 1, 2021:</w:t>
      </w: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Payment of Principal</w:t>
            </w:r>
          </w:p>
        </w:tc>
        <w:tc>
          <w:tcPr>
            <w:tcW w:w="4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Purchase Option</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Annual Installments</w:t>
            </w:r>
          </w:p>
        </w:tc>
        <w:tc>
          <w:tcPr>
            <w:tcW w:w="1780" w:type="dxa"/>
            <w:vAlign w:val="bottom"/>
            <w:gridSpan w:val="3"/>
            <w:vMerge w:val="continue"/>
          </w:tcPr>
          <w:p>
            <w:pPr>
              <w:spacing w:after="0"/>
              <w:rPr>
                <w:sz w:val="11"/>
                <w:szCs w:val="11"/>
                <w:color w:val="auto"/>
              </w:rPr>
            </w:pPr>
          </w:p>
        </w:tc>
        <w:tc>
          <w:tcPr>
            <w:tcW w:w="174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1"/>
              </w:rPr>
              <w:t>Exercise Price at Final</w:t>
            </w:r>
          </w:p>
        </w:tc>
        <w:tc>
          <w:tcPr>
            <w:tcW w:w="420" w:type="dxa"/>
            <w:vAlign w:val="bottom"/>
          </w:tcPr>
          <w:p>
            <w:pPr>
              <w:spacing w:after="0"/>
              <w:rPr>
                <w:sz w:val="11"/>
                <w:szCs w:val="11"/>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0"/>
              </w:rPr>
              <w:t>Guarantee Amount</w:t>
            </w:r>
          </w:p>
        </w:tc>
        <w:tc>
          <w:tcPr>
            <w:tcW w:w="0" w:type="dxa"/>
            <w:vAlign w:val="bottom"/>
          </w:tcPr>
          <w:p>
            <w:pPr>
              <w:spacing w:after="0"/>
              <w:rPr>
                <w:sz w:val="1"/>
                <w:szCs w:val="1"/>
                <w:color w:val="auto"/>
              </w:rPr>
            </w:pPr>
          </w:p>
        </w:tc>
      </w:tr>
      <w:tr>
        <w:trPr>
          <w:trHeight w:val="184"/>
        </w:trPr>
        <w:tc>
          <w:tcPr>
            <w:tcW w:w="60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Lease Terms</w:t>
            </w:r>
          </w:p>
        </w:tc>
        <w:tc>
          <w:tcPr>
            <w:tcW w:w="4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i w:val="1"/>
                <w:iCs w:val="1"/>
                <w:color w:val="auto"/>
                <w:w w:val="96"/>
              </w:rPr>
              <w:t>(in millions)</w:t>
            </w: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Remaining nine months of 2022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8"/>
        </w:trPr>
        <w:tc>
          <w:tcPr>
            <w:tcW w:w="5920" w:type="dxa"/>
            <w:vAlign w:val="bottom"/>
          </w:tcPr>
          <w:p>
            <w:pPr>
              <w:ind w:left="3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8"/>
        </w:trPr>
        <w:tc>
          <w:tcPr>
            <w:tcW w:w="6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3"/>
        </w:trPr>
        <w:tc>
          <w:tcPr>
            <w:tcW w:w="6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guarantee obligations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firstLine="316"/>
        <w:spacing w:after="0" w:line="250" w:lineRule="auto"/>
        <w:rPr>
          <w:sz w:val="20"/>
          <w:szCs w:val="20"/>
          <w:color w:val="auto"/>
        </w:rPr>
      </w:pPr>
      <w:r>
        <w:rPr>
          <w:rFonts w:ascii="Arial" w:cs="Arial" w:eastAsia="Arial" w:hAnsi="Arial"/>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October 1, 2021, no amounts have been accrued in the Condensed Consolidated Financial Statements with respect to these indemnification agreements.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Unis Venture</w:t>
      </w:r>
    </w:p>
    <w:p>
      <w:pPr>
        <w:spacing w:after="0" w:line="241" w:lineRule="exact"/>
        <w:rPr>
          <w:sz w:val="20"/>
          <w:szCs w:val="20"/>
          <w:color w:val="auto"/>
        </w:rPr>
      </w:pPr>
    </w:p>
    <w:p>
      <w:pPr>
        <w:ind w:firstLine="316"/>
        <w:spacing w:after="0" w:line="247" w:lineRule="auto"/>
        <w:rPr>
          <w:sz w:val="20"/>
          <w:szCs w:val="20"/>
          <w:color w:val="auto"/>
        </w:rPr>
      </w:pPr>
      <w:r>
        <w:rPr>
          <w:rFonts w:ascii="Arial" w:cs="Arial" w:eastAsia="Arial" w:hAnsi="Arial"/>
          <w:sz w:val="18"/>
          <w:szCs w:val="18"/>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months ended October 1, 2021 and October 2, 2020, the Company recognized approximately 5% and 2%, respectively, of its consolidated revenue on products distributed by the Unis Venture. The outstanding accounts receivable due from and investment in the Unis Venture were 7% and 6% of Accounts receivable, net as of October 1, 2021 and July 2,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Leases and Other Commitments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Leases</w:t>
      </w:r>
    </w:p>
    <w:p>
      <w:pPr>
        <w:spacing w:after="0" w:line="241" w:lineRule="exact"/>
        <w:rPr>
          <w:sz w:val="20"/>
          <w:szCs w:val="20"/>
          <w:color w:val="auto"/>
        </w:rPr>
      </w:pPr>
    </w:p>
    <w:p>
      <w:pPr>
        <w:ind w:right="80" w:firstLine="316"/>
        <w:spacing w:after="0" w:line="300" w:lineRule="auto"/>
        <w:rPr>
          <w:sz w:val="20"/>
          <w:szCs w:val="20"/>
          <w:color w:val="auto"/>
        </w:rPr>
      </w:pPr>
      <w:r>
        <w:rPr>
          <w:rFonts w:ascii="Arial" w:cs="Arial" w:eastAsia="Arial" w:hAnsi="Arial"/>
          <w:sz w:val="15"/>
          <w:szCs w:val="15"/>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October 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80" w:type="dxa"/>
            <w:vAlign w:val="bottom"/>
          </w:tcPr>
          <w:p>
            <w:pPr>
              <w:spacing w:after="0"/>
              <w:rPr>
                <w:sz w:val="16"/>
                <w:szCs w:val="16"/>
                <w:color w:val="auto"/>
              </w:rPr>
            </w:pPr>
          </w:p>
        </w:tc>
        <w:tc>
          <w:tcPr>
            <w:tcW w:w="17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Lease Amounts</w:t>
            </w:r>
          </w:p>
        </w:tc>
        <w:tc>
          <w:tcPr>
            <w:tcW w:w="380" w:type="dxa"/>
            <w:vAlign w:val="bottom"/>
            <w:tcBorders>
              <w:bottom w:val="single" w:sz="8" w:color="auto"/>
            </w:tcBorders>
          </w:tcPr>
          <w:p>
            <w:pPr>
              <w:spacing w:after="0"/>
              <w:rPr>
                <w:sz w:val="16"/>
                <w:szCs w:val="16"/>
                <w:color w:val="auto"/>
              </w:rPr>
            </w:pPr>
          </w:p>
        </w:tc>
      </w:tr>
      <w:tr>
        <w:trPr>
          <w:trHeight w:val="194"/>
        </w:trPr>
        <w:tc>
          <w:tcPr>
            <w:tcW w:w="9080" w:type="dxa"/>
            <w:vAlign w:val="bottom"/>
          </w:tcPr>
          <w:p>
            <w:pPr>
              <w:ind w:left="340"/>
              <w:spacing w:after="0"/>
              <w:rPr>
                <w:sz w:val="20"/>
                <w:szCs w:val="20"/>
                <w:color w:val="auto"/>
              </w:rPr>
            </w:pPr>
            <w:r>
              <w:rPr>
                <w:rFonts w:ascii="Arial" w:cs="Arial" w:eastAsia="Arial" w:hAnsi="Arial"/>
                <w:sz w:val="16"/>
                <w:szCs w:val="16"/>
                <w:color w:val="auto"/>
              </w:rPr>
              <w:t>Minimum lease payments by fiscal year:</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800" w:type="dxa"/>
            <w:vAlign w:val="bottom"/>
          </w:tcPr>
          <w:p>
            <w:pPr>
              <w:jc w:val="right"/>
              <w:ind w:right="61"/>
              <w:spacing w:after="0"/>
              <w:rPr>
                <w:sz w:val="20"/>
                <w:szCs w:val="20"/>
                <w:color w:val="auto"/>
              </w:rPr>
            </w:pPr>
            <w:r>
              <w:rPr>
                <w:rFonts w:ascii="Arial" w:cs="Arial" w:eastAsia="Arial" w:hAnsi="Arial"/>
                <w:sz w:val="14"/>
                <w:szCs w:val="14"/>
                <w:i w:val="1"/>
                <w:iCs w:val="1"/>
                <w:color w:val="auto"/>
                <w:w w:val="96"/>
              </w:rPr>
              <w:t>in millions)</w:t>
            </w:r>
          </w:p>
        </w:tc>
        <w:tc>
          <w:tcPr>
            <w:tcW w:w="380" w:type="dxa"/>
            <w:vAlign w:val="bottom"/>
          </w:tcPr>
          <w:p>
            <w:pPr>
              <w:spacing w:after="0"/>
              <w:rPr>
                <w:sz w:val="16"/>
                <w:szCs w:val="16"/>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Remaining nine months of 2022</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2023</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2024</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Pr>
          <w:p>
            <w:pPr>
              <w:ind w:left="460"/>
              <w:spacing w:after="0"/>
              <w:rPr>
                <w:sz w:val="20"/>
                <w:szCs w:val="20"/>
                <w:color w:val="auto"/>
              </w:rPr>
            </w:pPr>
            <w:r>
              <w:rPr>
                <w:rFonts w:ascii="Arial" w:cs="Arial" w:eastAsia="Arial" w:hAnsi="Arial"/>
                <w:sz w:val="16"/>
                <w:szCs w:val="16"/>
                <w:color w:val="auto"/>
              </w:rPr>
              <w:t>2025</w:t>
            </w:r>
          </w:p>
        </w:tc>
        <w:tc>
          <w:tcPr>
            <w:tcW w:w="96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r>
      <w:tr>
        <w:trPr>
          <w:trHeight w:val="214"/>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2026</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187</w:t>
            </w:r>
          </w:p>
        </w:tc>
        <w:tc>
          <w:tcPr>
            <w:tcW w:w="380" w:type="dxa"/>
            <w:vAlign w:val="bottom"/>
            <w:tcBorders>
              <w:bottom w:val="single" w:sz="8" w:color="auto"/>
            </w:tcBorders>
          </w:tcPr>
          <w:p>
            <w:pPr>
              <w:spacing w:after="0"/>
              <w:rPr>
                <w:sz w:val="18"/>
                <w:szCs w:val="18"/>
                <w:color w:val="auto"/>
              </w:rPr>
            </w:pPr>
          </w:p>
        </w:tc>
      </w:tr>
      <w:tr>
        <w:trPr>
          <w:trHeight w:val="208"/>
        </w:trPr>
        <w:tc>
          <w:tcPr>
            <w:tcW w:w="9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future minimum lease payments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389</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Imputed Interest</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auto"/>
            </w:tcBorders>
          </w:tcPr>
          <w:p>
            <w:pPr>
              <w:spacing w:after="0"/>
              <w:rPr>
                <w:sz w:val="18"/>
                <w:szCs w:val="18"/>
                <w:color w:val="auto"/>
              </w:rPr>
            </w:pPr>
          </w:p>
        </w:tc>
      </w:tr>
      <w:tr>
        <w:trPr>
          <w:trHeight w:val="208"/>
        </w:trPr>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Present value of lease liabilities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329</w:t>
            </w:r>
          </w:p>
        </w:tc>
        <w:tc>
          <w:tcPr>
            <w:tcW w:w="380" w:type="dxa"/>
            <w:vAlign w:val="bottom"/>
            <w:shd w:val="clear" w:color="auto" w:fill="CCEEFF"/>
          </w:tcPr>
          <w:p>
            <w:pPr>
              <w:spacing w:after="0"/>
              <w:rPr>
                <w:sz w:val="18"/>
                <w:szCs w:val="18"/>
                <w:color w:val="auto"/>
              </w:rPr>
            </w:pPr>
          </w:p>
        </w:tc>
      </w:tr>
      <w:tr>
        <w:trPr>
          <w:trHeight w:val="208"/>
        </w:trPr>
        <w:tc>
          <w:tcPr>
            <w:tcW w:w="90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Current portion (included in Accrued expenses)</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r>
      <w:tr>
        <w:trPr>
          <w:trHeight w:val="233"/>
        </w:trPr>
        <w:tc>
          <w:tcPr>
            <w:tcW w:w="9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Long-term operating lease liabilities (included in Other liabilities)</w:t>
            </w:r>
          </w:p>
        </w:tc>
        <w:tc>
          <w:tcPr>
            <w:tcW w:w="96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294</w:t>
            </w:r>
          </w:p>
        </w:tc>
        <w:tc>
          <w:tcPr>
            <w:tcW w:w="380" w:type="dxa"/>
            <w:vAlign w:val="bottom"/>
            <w:tcBorders>
              <w:bottom w:val="single" w:sz="8" w:color="auto"/>
            </w:tcBorders>
            <w:shd w:val="clear" w:color="auto" w:fill="CCEEFF"/>
          </w:tcPr>
          <w:p>
            <w:pPr>
              <w:spacing w:after="0"/>
              <w:rPr>
                <w:sz w:val="19"/>
                <w:szCs w:val="19"/>
                <w:color w:val="auto"/>
              </w:rPr>
            </w:pP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9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right-of-use assets (included in Other non-current assets)</w:t>
            </w:r>
          </w:p>
        </w:tc>
        <w:tc>
          <w:tcPr>
            <w:tcW w:w="9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316</w:t>
            </w:r>
          </w:p>
        </w:tc>
        <w:tc>
          <w:tcPr>
            <w:tcW w:w="380" w:type="dxa"/>
            <w:vAlign w:val="bottom"/>
            <w:shd w:val="clear" w:color="auto" w:fill="CCEEFF"/>
          </w:tcPr>
          <w:p>
            <w:pPr>
              <w:spacing w:after="0"/>
              <w:rPr>
                <w:sz w:val="18"/>
                <w:szCs w:val="18"/>
                <w:color w:val="auto"/>
              </w:rPr>
            </w:pPr>
          </w:p>
        </w:tc>
      </w:tr>
      <w:tr>
        <w:trPr>
          <w:trHeight w:val="251"/>
        </w:trPr>
        <w:tc>
          <w:tcPr>
            <w:tcW w:w="9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1"/>
        </w:trPr>
        <w:tc>
          <w:tcPr>
            <w:tcW w:w="9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remaining lease term in years</w:t>
            </w: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r>
      <w:tr>
        <w:trPr>
          <w:trHeight w:val="204"/>
        </w:trPr>
        <w:tc>
          <w:tcPr>
            <w:tcW w:w="9080" w:type="dxa"/>
            <w:vAlign w:val="bottom"/>
          </w:tcPr>
          <w:p>
            <w:pPr>
              <w:ind w:left="340"/>
              <w:spacing w:after="0"/>
              <w:rPr>
                <w:sz w:val="20"/>
                <w:szCs w:val="20"/>
                <w:color w:val="auto"/>
              </w:rPr>
            </w:pPr>
            <w:r>
              <w:rPr>
                <w:rFonts w:ascii="Arial" w:cs="Arial" w:eastAsia="Arial" w:hAnsi="Arial"/>
                <w:sz w:val="16"/>
                <w:szCs w:val="16"/>
                <w:color w:val="auto"/>
              </w:rPr>
              <w:t>Weighted average discount rate</w:t>
            </w:r>
          </w:p>
        </w:tc>
        <w:tc>
          <w:tcPr>
            <w:tcW w:w="9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supplemental disclosures of operating cost and cash flow information related to operating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3220" w:type="dxa"/>
            <w:vAlign w:val="bottom"/>
            <w:tcBorders>
              <w:bottom w:val="single" w:sz="8" w:color="auto"/>
            </w:tcBorders>
            <w:gridSpan w:val="3"/>
          </w:tcPr>
          <w:p>
            <w:pPr>
              <w:jc w:val="center"/>
              <w:ind w:left="547"/>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Borders>
              <w:bottom w:val="single" w:sz="8" w:color="auto"/>
            </w:tcBorders>
          </w:tcPr>
          <w:p>
            <w:pPr>
              <w:spacing w:after="0"/>
              <w:rPr>
                <w:sz w:val="16"/>
                <w:szCs w:val="16"/>
                <w:color w:val="auto"/>
              </w:rPr>
            </w:pPr>
          </w:p>
        </w:tc>
      </w:tr>
      <w:tr>
        <w:trPr>
          <w:trHeight w:val="130"/>
        </w:trPr>
        <w:tc>
          <w:tcPr>
            <w:tcW w:w="7620" w:type="dxa"/>
            <w:vAlign w:val="bottom"/>
          </w:tcPr>
          <w:p>
            <w:pPr>
              <w:spacing w:after="0"/>
              <w:rPr>
                <w:sz w:val="11"/>
                <w:szCs w:val="11"/>
                <w:color w:val="auto"/>
              </w:rPr>
            </w:pPr>
          </w:p>
        </w:tc>
        <w:tc>
          <w:tcPr>
            <w:tcW w:w="1380" w:type="dxa"/>
            <w:vAlign w:val="bottom"/>
          </w:tcPr>
          <w:p>
            <w:pPr>
              <w:ind w:left="700"/>
              <w:spacing w:after="0" w:line="131" w:lineRule="exact"/>
              <w:rPr>
                <w:sz w:val="20"/>
                <w:szCs w:val="20"/>
                <w:color w:val="auto"/>
              </w:rPr>
            </w:pPr>
            <w:r>
              <w:rPr>
                <w:rFonts w:ascii="Arial" w:cs="Arial" w:eastAsia="Arial" w:hAnsi="Arial"/>
                <w:sz w:val="14"/>
                <w:szCs w:val="14"/>
                <w:b w:val="1"/>
                <w:bCs w:val="1"/>
                <w:color w:val="auto"/>
                <w:w w:val="95"/>
              </w:rPr>
              <w:t>October 1,</w:t>
            </w:r>
          </w:p>
        </w:tc>
        <w:tc>
          <w:tcPr>
            <w:tcW w:w="520" w:type="dxa"/>
            <w:vAlign w:val="bottom"/>
          </w:tcPr>
          <w:p>
            <w:pPr>
              <w:spacing w:after="0"/>
              <w:rPr>
                <w:sz w:val="11"/>
                <w:szCs w:val="11"/>
                <w:color w:val="auto"/>
              </w:rPr>
            </w:pPr>
          </w:p>
        </w:tc>
        <w:tc>
          <w:tcPr>
            <w:tcW w:w="1320" w:type="dxa"/>
            <w:vAlign w:val="bottom"/>
          </w:tcPr>
          <w:p>
            <w:pPr>
              <w:ind w:left="600"/>
              <w:spacing w:after="0" w:line="131" w:lineRule="exact"/>
              <w:rPr>
                <w:sz w:val="20"/>
                <w:szCs w:val="20"/>
                <w:color w:val="auto"/>
              </w:rPr>
            </w:pPr>
            <w:r>
              <w:rPr>
                <w:rFonts w:ascii="Arial" w:cs="Arial" w:eastAsia="Arial" w:hAnsi="Arial"/>
                <w:sz w:val="14"/>
                <w:szCs w:val="14"/>
                <w:b w:val="1"/>
                <w:bCs w:val="1"/>
                <w:color w:val="auto"/>
              </w:rPr>
              <w:t>October 2,</w:t>
            </w:r>
          </w:p>
        </w:tc>
        <w:tc>
          <w:tcPr>
            <w:tcW w:w="300" w:type="dxa"/>
            <w:vAlign w:val="bottom"/>
          </w:tcPr>
          <w:p>
            <w:pPr>
              <w:spacing w:after="0"/>
              <w:rPr>
                <w:sz w:val="11"/>
                <w:szCs w:val="11"/>
                <w:color w:val="auto"/>
              </w:rPr>
            </w:pPr>
          </w:p>
        </w:tc>
      </w:tr>
      <w:tr>
        <w:trPr>
          <w:trHeight w:val="184"/>
        </w:trPr>
        <w:tc>
          <w:tcPr>
            <w:tcW w:w="7620" w:type="dxa"/>
            <w:vAlign w:val="bottom"/>
          </w:tcPr>
          <w:p>
            <w:pPr>
              <w:spacing w:after="0"/>
              <w:rPr>
                <w:sz w:val="15"/>
                <w:szCs w:val="15"/>
                <w:color w:val="auto"/>
              </w:rPr>
            </w:pPr>
          </w:p>
        </w:tc>
        <w:tc>
          <w:tcPr>
            <w:tcW w:w="13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r>
      <w:tr>
        <w:trPr>
          <w:trHeight w:val="176"/>
        </w:trPr>
        <w:tc>
          <w:tcPr>
            <w:tcW w:w="7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gridSpan w:val="2"/>
          </w:tcPr>
          <w:p>
            <w:pPr>
              <w:jc w:val="center"/>
              <w:ind w:right="687"/>
              <w:spacing w:after="0"/>
              <w:rPr>
                <w:sz w:val="20"/>
                <w:szCs w:val="20"/>
                <w:color w:val="auto"/>
              </w:rPr>
            </w:pPr>
            <w:r>
              <w:rPr>
                <w:rFonts w:ascii="Arial" w:cs="Arial" w:eastAsia="Arial" w:hAnsi="Arial"/>
                <w:sz w:val="14"/>
                <w:szCs w:val="14"/>
                <w:i w:val="1"/>
                <w:iCs w:val="1"/>
                <w:color w:val="auto"/>
                <w:w w:val="96"/>
              </w:rPr>
              <w:t>(in millions)</w:t>
            </w:r>
          </w:p>
        </w:tc>
        <w:tc>
          <w:tcPr>
            <w:tcW w:w="300" w:type="dxa"/>
            <w:vAlign w:val="bottom"/>
          </w:tcPr>
          <w:p>
            <w:pPr>
              <w:spacing w:after="0"/>
              <w:rPr>
                <w:sz w:val="15"/>
                <w:szCs w:val="15"/>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operating leases</w:t>
            </w:r>
          </w:p>
        </w:tc>
        <w:tc>
          <w:tcPr>
            <w:tcW w:w="1380" w:type="dxa"/>
            <w:vAlign w:val="bottom"/>
            <w:shd w:val="clear" w:color="auto" w:fill="CCEEFF"/>
          </w:tcPr>
          <w:p>
            <w:pPr>
              <w:jc w:val="right"/>
              <w:ind w:right="887"/>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13</w:t>
            </w:r>
          </w:p>
        </w:tc>
        <w:tc>
          <w:tcPr>
            <w:tcW w:w="1320" w:type="dxa"/>
            <w:vAlign w:val="bottom"/>
            <w:shd w:val="clear" w:color="auto" w:fill="CCEEFF"/>
          </w:tcPr>
          <w:p>
            <w:pPr>
              <w:jc w:val="right"/>
              <w:ind w:right="927"/>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8"/>
        </w:trPr>
        <w:tc>
          <w:tcPr>
            <w:tcW w:w="7620" w:type="dxa"/>
            <w:vAlign w:val="bottom"/>
          </w:tcPr>
          <w:p>
            <w:pPr>
              <w:ind w:left="340"/>
              <w:spacing w:after="0"/>
              <w:rPr>
                <w:sz w:val="20"/>
                <w:szCs w:val="20"/>
                <w:color w:val="auto"/>
              </w:rPr>
            </w:pPr>
            <w:r>
              <w:rPr>
                <w:rFonts w:ascii="Arial" w:cs="Arial" w:eastAsia="Arial" w:hAnsi="Arial"/>
                <w:sz w:val="16"/>
                <w:szCs w:val="16"/>
                <w:color w:val="auto"/>
              </w:rPr>
              <w:t>Cash paid for operating leases</w:t>
            </w:r>
          </w:p>
        </w:tc>
        <w:tc>
          <w:tcPr>
            <w:tcW w:w="1380" w:type="dxa"/>
            <w:vAlign w:val="bottom"/>
          </w:tcPr>
          <w:p>
            <w:pPr>
              <w:spacing w:after="0"/>
              <w:rPr>
                <w:sz w:val="18"/>
                <w:szCs w:val="18"/>
                <w:color w:val="auto"/>
              </w:rPr>
            </w:pPr>
          </w:p>
        </w:tc>
        <w:tc>
          <w:tcPr>
            <w:tcW w:w="520" w:type="dxa"/>
            <w:vAlign w:val="bottom"/>
          </w:tcPr>
          <w:p>
            <w:pPr>
              <w:jc w:val="right"/>
              <w:ind w:right="183"/>
              <w:spacing w:after="0"/>
              <w:rPr>
                <w:sz w:val="20"/>
                <w:szCs w:val="20"/>
                <w:color w:val="auto"/>
              </w:rPr>
            </w:pPr>
            <w:r>
              <w:rPr>
                <w:rFonts w:ascii="Arial" w:cs="Arial" w:eastAsia="Arial" w:hAnsi="Arial"/>
                <w:sz w:val="16"/>
                <w:szCs w:val="16"/>
                <w:color w:val="auto"/>
              </w:rPr>
              <w:t>12</w:t>
            </w:r>
          </w:p>
        </w:tc>
        <w:tc>
          <w:tcPr>
            <w:tcW w:w="1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w w:val="89"/>
              </w:rPr>
              <w:t>112</w:t>
            </w: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Purchase Agreements and Other Commitments</w:t>
      </w:r>
    </w:p>
    <w:p>
      <w:pPr>
        <w:spacing w:after="0" w:line="241"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October 1, 2021, the Company had the following minimum long-term commitments:</w:t>
      </w:r>
    </w:p>
    <w:tbl>
      <w:tblPr>
        <w:tblLayout w:type="fixed"/>
        <w:tblInd w:w="0" w:type="dxa"/>
        <w:tblCellMar>
          <w:top w:w="0" w:type="dxa"/>
          <w:left w:w="0" w:type="dxa"/>
          <w:bottom w:w="0" w:type="dxa"/>
          <w:right w:w="0" w:type="dxa"/>
        </w:tblCellMar>
      </w:tblPr>
      <w:tr>
        <w:trPr>
          <w:trHeight w:val="145"/>
        </w:trPr>
        <w:tc>
          <w:tcPr>
            <w:tcW w:w="9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right"/>
              <w:ind w:right="304"/>
              <w:spacing w:after="0" w:line="145" w:lineRule="exact"/>
              <w:rPr>
                <w:sz w:val="20"/>
                <w:szCs w:val="20"/>
                <w:color w:val="auto"/>
              </w:rPr>
            </w:pPr>
            <w:r>
              <w:rPr>
                <w:rFonts w:ascii="Arial" w:cs="Arial" w:eastAsia="Arial" w:hAnsi="Arial"/>
                <w:sz w:val="14"/>
                <w:szCs w:val="14"/>
                <w:b w:val="1"/>
                <w:bCs w:val="1"/>
                <w:color w:val="auto"/>
              </w:rPr>
              <w:t>Long-term</w:t>
            </w:r>
          </w:p>
        </w:tc>
      </w:tr>
      <w:tr>
        <w:trPr>
          <w:trHeight w:val="184"/>
        </w:trPr>
        <w:tc>
          <w:tcPr>
            <w:tcW w:w="9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w w:val="90"/>
              </w:rPr>
              <w:t>commitments</w:t>
            </w:r>
          </w:p>
        </w:tc>
      </w:tr>
      <w:tr>
        <w:trPr>
          <w:trHeight w:val="176"/>
        </w:trPr>
        <w:tc>
          <w:tcPr>
            <w:tcW w:w="9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28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Fiscal year:</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Remaining nine months of 2022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14"/>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8"/>
        </w:trPr>
        <w:tc>
          <w:tcPr>
            <w:tcW w:w="9440" w:type="dxa"/>
            <w:vAlign w:val="bottom"/>
          </w:tcPr>
          <w:p>
            <w:pPr>
              <w:ind w:left="46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9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8"/>
        </w:trPr>
        <w:tc>
          <w:tcPr>
            <w:tcW w:w="9440" w:type="dxa"/>
            <w:vAlign w:val="bottom"/>
          </w:tcPr>
          <w:p>
            <w:pPr>
              <w:ind w:left="5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r>
      <w:tr>
        <w:trPr>
          <w:trHeight w:val="20"/>
        </w:trPr>
        <w:tc>
          <w:tcPr>
            <w:tcW w:w="9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Shareholders’ Equity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Stock-based Compensation Expense</w:t>
      </w:r>
    </w:p>
    <w:p>
      <w:pPr>
        <w:spacing w:after="0" w:line="241" w:lineRule="exact"/>
        <w:rPr>
          <w:sz w:val="20"/>
          <w:szCs w:val="20"/>
          <w:color w:val="auto"/>
        </w:rPr>
      </w:pPr>
    </w:p>
    <w:p>
      <w:pPr>
        <w:ind w:right="180" w:firstLine="316"/>
        <w:spacing w:after="0" w:line="250"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(i.e., stock options,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Three Months Ended</w:t>
            </w:r>
          </w:p>
        </w:tc>
      </w:tr>
      <w:tr>
        <w:trPr>
          <w:trHeight w:val="130"/>
        </w:trPr>
        <w:tc>
          <w:tcPr>
            <w:tcW w:w="7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ind w:left="40"/>
              <w:spacing w:after="0" w:line="131" w:lineRule="exact"/>
              <w:rPr>
                <w:sz w:val="20"/>
                <w:szCs w:val="20"/>
                <w:color w:val="auto"/>
              </w:rPr>
            </w:pPr>
            <w:r>
              <w:rPr>
                <w:rFonts w:ascii="Arial" w:cs="Arial" w:eastAsia="Arial" w:hAnsi="Arial"/>
                <w:sz w:val="14"/>
                <w:szCs w:val="14"/>
                <w:b w:val="1"/>
                <w:bCs w:val="1"/>
                <w:color w:val="auto"/>
              </w:rPr>
              <w:t>October 1,</w:t>
            </w:r>
          </w:p>
        </w:tc>
        <w:tc>
          <w:tcPr>
            <w:tcW w:w="360" w:type="dxa"/>
            <w:vAlign w:val="bottom"/>
          </w:tcPr>
          <w:p>
            <w:pPr>
              <w:spacing w:after="0"/>
              <w:rPr>
                <w:sz w:val="11"/>
                <w:szCs w:val="11"/>
                <w:color w:val="auto"/>
              </w:rPr>
            </w:pPr>
          </w:p>
        </w:tc>
        <w:tc>
          <w:tcPr>
            <w:tcW w:w="110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4"/>
        </w:trPr>
        <w:tc>
          <w:tcPr>
            <w:tcW w:w="76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176"/>
        </w:trPr>
        <w:tc>
          <w:tcPr>
            <w:tcW w:w="7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jc w:val="right"/>
              <w:ind w:right="81"/>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8"/>
                <w:szCs w:val="18"/>
                <w:color w:val="auto"/>
              </w:rPr>
            </w:pPr>
          </w:p>
        </w:tc>
      </w:tr>
      <w:tr>
        <w:trPr>
          <w:trHeight w:val="208"/>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tcPr>
          <w:p>
            <w:pPr>
              <w:spacing w:after="0"/>
              <w:rPr>
                <w:sz w:val="18"/>
                <w:szCs w:val="18"/>
                <w:color w:val="auto"/>
              </w:rPr>
            </w:pPr>
          </w:p>
        </w:tc>
      </w:tr>
      <w:tr>
        <w:trPr>
          <w:trHeight w:val="233"/>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82"/>
        </w:trPr>
        <w:tc>
          <w:tcPr>
            <w:tcW w:w="7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7"/>
          </w:tcPr>
          <w:p>
            <w:pPr>
              <w:ind w:left="720"/>
              <w:spacing w:after="0"/>
              <w:rPr>
                <w:sz w:val="20"/>
                <w:szCs w:val="20"/>
                <w:color w:val="auto"/>
              </w:rPr>
            </w:pPr>
            <w:r>
              <w:rPr>
                <w:rFonts w:ascii="Arial" w:cs="Arial" w:eastAsia="Arial" w:hAnsi="Arial"/>
                <w:sz w:val="14"/>
                <w:szCs w:val="14"/>
                <w:b w:val="1"/>
                <w:bCs w:val="1"/>
                <w:color w:val="auto"/>
              </w:rPr>
              <w:t>Three Months Ended</w:t>
            </w:r>
          </w:p>
        </w:tc>
      </w:tr>
      <w:tr>
        <w:trPr>
          <w:trHeight w:val="130"/>
        </w:trPr>
        <w:tc>
          <w:tcPr>
            <w:tcW w:w="7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ind w:left="280"/>
              <w:spacing w:after="0" w:line="131" w:lineRule="exact"/>
              <w:rPr>
                <w:sz w:val="20"/>
                <w:szCs w:val="20"/>
                <w:color w:val="auto"/>
              </w:rPr>
            </w:pPr>
            <w:r>
              <w:rPr>
                <w:rFonts w:ascii="Arial" w:cs="Arial" w:eastAsia="Arial" w:hAnsi="Arial"/>
                <w:sz w:val="14"/>
                <w:szCs w:val="14"/>
                <w:b w:val="1"/>
                <w:bCs w:val="1"/>
                <w:color w:val="auto"/>
              </w:rPr>
              <w:t>October 1,</w:t>
            </w: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24"/>
              <w:spacing w:after="0" w:line="131" w:lineRule="exact"/>
              <w:rPr>
                <w:sz w:val="20"/>
                <w:szCs w:val="20"/>
                <w:color w:val="auto"/>
              </w:rPr>
            </w:pPr>
            <w:r>
              <w:rPr>
                <w:rFonts w:ascii="Arial" w:cs="Arial" w:eastAsia="Arial" w:hAnsi="Arial"/>
                <w:sz w:val="14"/>
                <w:szCs w:val="14"/>
                <w:b w:val="1"/>
                <w:bCs w:val="1"/>
                <w:color w:val="auto"/>
                <w:w w:val="95"/>
              </w:rPr>
              <w:t>October 2,</w:t>
            </w:r>
          </w:p>
        </w:tc>
        <w:tc>
          <w:tcPr>
            <w:tcW w:w="20" w:type="dxa"/>
            <w:vAlign w:val="bottom"/>
          </w:tcPr>
          <w:p>
            <w:pPr>
              <w:spacing w:after="0"/>
              <w:rPr>
                <w:sz w:val="11"/>
                <w:szCs w:val="11"/>
                <w:color w:val="auto"/>
              </w:rPr>
            </w:pPr>
          </w:p>
        </w:tc>
      </w:tr>
      <w:tr>
        <w:trPr>
          <w:trHeight w:val="184"/>
        </w:trPr>
        <w:tc>
          <w:tcPr>
            <w:tcW w:w="7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76"/>
        </w:trPr>
        <w:tc>
          <w:tcPr>
            <w:tcW w:w="7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ind w:left="100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684"/>
              <w:spacing w:after="0"/>
              <w:rPr>
                <w:sz w:val="20"/>
                <w:szCs w:val="20"/>
                <w:color w:val="auto"/>
              </w:rPr>
            </w:pPr>
            <w:r>
              <w:rPr>
                <w:rFonts w:ascii="Arial" w:cs="Arial" w:eastAsia="Arial" w:hAnsi="Arial"/>
                <w:sz w:val="16"/>
                <w:szCs w:val="16"/>
                <w:color w:val="auto"/>
                <w:w w:val="89"/>
              </w:rPr>
              <w:t>12</w:t>
            </w:r>
          </w:p>
        </w:tc>
        <w:tc>
          <w:tcPr>
            <w:tcW w:w="20" w:type="dxa"/>
            <w:vAlign w:val="bottom"/>
          </w:tcPr>
          <w:p>
            <w:pPr>
              <w:spacing w:after="0"/>
              <w:rPr>
                <w:sz w:val="18"/>
                <w:szCs w:val="18"/>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center"/>
              <w:ind w:left="684"/>
              <w:spacing w:after="0"/>
              <w:rPr>
                <w:sz w:val="20"/>
                <w:szCs w:val="20"/>
                <w:color w:val="auto"/>
              </w:rPr>
            </w:pPr>
            <w:r>
              <w:rPr>
                <w:rFonts w:ascii="Arial" w:cs="Arial" w:eastAsia="Arial" w:hAnsi="Arial"/>
                <w:sz w:val="16"/>
                <w:szCs w:val="16"/>
                <w:color w:val="auto"/>
                <w:w w:val="89"/>
              </w:rPr>
              <w:t>39</w:t>
            </w:r>
          </w:p>
        </w:tc>
        <w:tc>
          <w:tcPr>
            <w:tcW w:w="20" w:type="dxa"/>
            <w:vAlign w:val="bottom"/>
          </w:tcPr>
          <w:p>
            <w:pPr>
              <w:spacing w:after="0"/>
              <w:rPr>
                <w:sz w:val="18"/>
                <w:szCs w:val="18"/>
                <w:color w:val="auto"/>
              </w:rPr>
            </w:pPr>
          </w:p>
        </w:tc>
      </w:tr>
      <w:tr>
        <w:trPr>
          <w:trHeight w:val="214"/>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84"/>
              <w:spacing w:after="0"/>
              <w:rPr>
                <w:sz w:val="20"/>
                <w:szCs w:val="20"/>
                <w:color w:val="auto"/>
              </w:rPr>
            </w:pPr>
            <w:r>
              <w:rPr>
                <w:rFonts w:ascii="Arial" w:cs="Arial" w:eastAsia="Arial" w:hAnsi="Arial"/>
                <w:sz w:val="16"/>
                <w:szCs w:val="16"/>
                <w:color w:val="auto"/>
                <w:w w:val="89"/>
              </w:rPr>
              <w:t>25</w:t>
            </w:r>
          </w:p>
        </w:tc>
        <w:tc>
          <w:tcPr>
            <w:tcW w:w="20" w:type="dxa"/>
            <w:vAlign w:val="bottom"/>
          </w:tcPr>
          <w:p>
            <w:pPr>
              <w:spacing w:after="0"/>
              <w:rPr>
                <w:sz w:val="18"/>
                <w:szCs w:val="18"/>
                <w:color w:val="auto"/>
              </w:rPr>
            </w:pPr>
          </w:p>
        </w:tc>
      </w:tr>
      <w:tr>
        <w:trPr>
          <w:trHeight w:val="201"/>
        </w:trPr>
        <w:tc>
          <w:tcPr>
            <w:tcW w:w="7660" w:type="dxa"/>
            <w:vAlign w:val="bottom"/>
          </w:tcPr>
          <w:p>
            <w:pPr>
              <w:ind w:left="140"/>
              <w:spacing w:after="0"/>
              <w:rPr>
                <w:sz w:val="20"/>
                <w:szCs w:val="20"/>
                <w:color w:val="auto"/>
              </w:rPr>
            </w:pPr>
            <w:r>
              <w:rPr>
                <w:rFonts w:ascii="Arial" w:cs="Arial" w:eastAsia="Arial" w:hAnsi="Arial"/>
                <w:sz w:val="16"/>
                <w:szCs w:val="16"/>
                <w:color w:val="auto"/>
              </w:rPr>
              <w:t>Subtotal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center"/>
              <w:ind w:left="684"/>
              <w:spacing w:after="0"/>
              <w:rPr>
                <w:sz w:val="20"/>
                <w:szCs w:val="20"/>
                <w:color w:val="auto"/>
              </w:rPr>
            </w:pPr>
            <w:r>
              <w:rPr>
                <w:rFonts w:ascii="Arial" w:cs="Arial" w:eastAsia="Arial" w:hAnsi="Arial"/>
                <w:sz w:val="16"/>
                <w:szCs w:val="16"/>
                <w:color w:val="auto"/>
                <w:w w:val="89"/>
              </w:rPr>
              <w:t>76</w:t>
            </w:r>
          </w:p>
        </w:tc>
        <w:tc>
          <w:tcPr>
            <w:tcW w:w="20" w:type="dxa"/>
            <w:vAlign w:val="bottom"/>
          </w:tcPr>
          <w:p>
            <w:pPr>
              <w:spacing w:after="0"/>
              <w:rPr>
                <w:sz w:val="17"/>
                <w:szCs w:val="17"/>
                <w:color w:val="auto"/>
              </w:rPr>
            </w:pPr>
          </w:p>
        </w:tc>
      </w:tr>
      <w:tr>
        <w:trPr>
          <w:trHeight w:val="211"/>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ind w:left="1020"/>
              <w:spacing w:after="0"/>
              <w:rPr>
                <w:sz w:val="20"/>
                <w:szCs w:val="20"/>
                <w:color w:val="auto"/>
              </w:rPr>
            </w:pPr>
            <w:r>
              <w:rPr>
                <w:rFonts w:ascii="Arial" w:cs="Arial" w:eastAsia="Arial" w:hAnsi="Arial"/>
                <w:sz w:val="16"/>
                <w:szCs w:val="16"/>
                <w:color w:val="auto"/>
                <w:w w:val="91"/>
              </w:rPr>
              <w:t>(15)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64"/>
              <w:spacing w:after="0"/>
              <w:rPr>
                <w:sz w:val="20"/>
                <w:szCs w:val="20"/>
                <w:color w:val="auto"/>
              </w:rPr>
            </w:pPr>
            <w:r>
              <w:rPr>
                <w:rFonts w:ascii="Arial" w:cs="Arial" w:eastAsia="Arial" w:hAnsi="Arial"/>
                <w:sz w:val="16"/>
                <w:szCs w:val="16"/>
                <w:color w:val="auto"/>
                <w:w w:val="91"/>
              </w:rPr>
              <w:t>(11)</w:t>
            </w:r>
          </w:p>
        </w:tc>
        <w:tc>
          <w:tcPr>
            <w:tcW w:w="20" w:type="dxa"/>
            <w:vAlign w:val="bottom"/>
          </w:tcPr>
          <w:p>
            <w:pPr>
              <w:spacing w:after="0"/>
              <w:rPr>
                <w:sz w:val="18"/>
                <w:szCs w:val="18"/>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6"/>
                <w:szCs w:val="16"/>
                <w:color w:val="auto"/>
              </w:rPr>
              <w:t>Total</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684"/>
              <w:spacing w:after="0"/>
              <w:rPr>
                <w:sz w:val="20"/>
                <w:szCs w:val="20"/>
                <w:color w:val="auto"/>
              </w:rPr>
            </w:pPr>
            <w:r>
              <w:rPr>
                <w:rFonts w:ascii="Arial" w:cs="Arial" w:eastAsia="Arial" w:hAnsi="Arial"/>
                <w:sz w:val="16"/>
                <w:szCs w:val="16"/>
                <w:color w:val="auto"/>
                <w:w w:val="89"/>
              </w:rPr>
              <w:t>65</w:t>
            </w:r>
          </w:p>
        </w:tc>
        <w:tc>
          <w:tcPr>
            <w:tcW w:w="2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4" w:lineRule="exact"/>
        <w:rPr>
          <w:sz w:val="20"/>
          <w:szCs w:val="20"/>
          <w:color w:val="auto"/>
        </w:rPr>
      </w:pPr>
    </w:p>
    <w:p>
      <w:pPr>
        <w:ind w:right="100" w:firstLine="316"/>
        <w:spacing w:after="0" w:line="262" w:lineRule="auto"/>
        <w:rPr>
          <w:sz w:val="20"/>
          <w:szCs w:val="20"/>
          <w:color w:val="auto"/>
        </w:rPr>
      </w:pPr>
      <w:r>
        <w:rPr>
          <w:rFonts w:ascii="Arial" w:cs="Arial" w:eastAsia="Arial" w:hAnsi="Arial"/>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208" w:lineRule="exact"/>
        <w:rPr>
          <w:sz w:val="20"/>
          <w:szCs w:val="20"/>
          <w:color w:val="auto"/>
        </w:rPr>
      </w:pPr>
    </w:p>
    <w:p>
      <w:pPr>
        <w:ind w:right="300" w:firstLine="316"/>
        <w:spacing w:after="0" w:line="253" w:lineRule="auto"/>
        <w:rPr>
          <w:sz w:val="20"/>
          <w:szCs w:val="20"/>
          <w:color w:val="auto"/>
        </w:rPr>
      </w:pPr>
      <w:r>
        <w:rPr>
          <w:rFonts w:ascii="Arial" w:cs="Arial" w:eastAsia="Arial" w:hAnsi="Arial"/>
          <w:sz w:val="18"/>
          <w:szCs w:val="18"/>
          <w:color w:val="auto"/>
        </w:rPr>
        <w:t>Compensation cost related to unvested stock options,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October 1, 2021:</w:t>
      </w: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2"/>
                <w:szCs w:val="12"/>
                <w:color w:val="auto"/>
              </w:rPr>
            </w:pPr>
          </w:p>
        </w:tc>
        <w:tc>
          <w:tcPr>
            <w:tcW w:w="1420" w:type="dxa"/>
            <w:vAlign w:val="bottom"/>
          </w:tcPr>
          <w:p>
            <w:pPr>
              <w:jc w:val="center"/>
              <w:ind w:left="25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2"/>
        </w:trPr>
        <w:tc>
          <w:tcPr>
            <w:tcW w:w="7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Average Service</w:t>
            </w:r>
          </w:p>
        </w:tc>
        <w:tc>
          <w:tcPr>
            <w:tcW w:w="0" w:type="dxa"/>
            <w:vAlign w:val="bottom"/>
          </w:tcPr>
          <w:p>
            <w:pPr>
              <w:spacing w:after="0"/>
              <w:rPr>
                <w:sz w:val="1"/>
                <w:szCs w:val="1"/>
                <w:color w:val="auto"/>
              </w:rPr>
            </w:pPr>
          </w:p>
        </w:tc>
      </w:tr>
      <w:tr>
        <w:trPr>
          <w:trHeight w:val="184"/>
        </w:trPr>
        <w:tc>
          <w:tcPr>
            <w:tcW w:w="798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auto"/>
              </w:rPr>
              <w:t>Compensation Costs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1420" w:type="dxa"/>
            <w:vAlign w:val="bottom"/>
          </w:tcPr>
          <w:p>
            <w:pPr>
              <w:jc w:val="center"/>
              <w:ind w:left="230"/>
              <w:spacing w:after="0"/>
              <w:rPr>
                <w:sz w:val="20"/>
                <w:szCs w:val="20"/>
                <w:color w:val="auto"/>
              </w:rPr>
            </w:pPr>
            <w:r>
              <w:rPr>
                <w:rFonts w:ascii="Arial" w:cs="Arial" w:eastAsia="Arial" w:hAnsi="Arial"/>
                <w:sz w:val="14"/>
                <w:szCs w:val="14"/>
                <w:i w:val="1"/>
                <w:iCs w:val="1"/>
                <w:color w:val="auto"/>
                <w:w w:val="91"/>
              </w:rPr>
              <w:t>(years)</w:t>
            </w:r>
          </w:p>
        </w:tc>
        <w:tc>
          <w:tcPr>
            <w:tcW w:w="0" w:type="dxa"/>
            <w:vAlign w:val="bottom"/>
          </w:tcPr>
          <w:p>
            <w:pPr>
              <w:spacing w:after="0"/>
              <w:rPr>
                <w:sz w:val="1"/>
                <w:szCs w:val="1"/>
                <w:color w:val="auto"/>
              </w:rPr>
            </w:pPr>
          </w:p>
        </w:tc>
      </w:tr>
      <w:tr>
        <w:trPr>
          <w:trHeight w:val="214"/>
        </w:trPr>
        <w:tc>
          <w:tcPr>
            <w:tcW w:w="798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 xml:space="preserve">RSUs and PSUs </w:t>
            </w:r>
            <w:r>
              <w:rPr>
                <w:rFonts w:ascii="Arial" w:cs="Arial" w:eastAsia="Arial" w:hAnsi="Arial"/>
                <w:sz w:val="20"/>
                <w:szCs w:val="20"/>
                <w:color w:val="auto"/>
                <w:vertAlign w:val="superscript"/>
              </w:rPr>
              <w:t>(1)</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755</w:t>
            </w:r>
          </w:p>
        </w:tc>
        <w:tc>
          <w:tcPr>
            <w:tcW w:w="1520" w:type="dxa"/>
            <w:vAlign w:val="bottom"/>
            <w:gridSpan w:val="2"/>
            <w:shd w:val="clear" w:color="auto" w:fill="CCEEFF"/>
          </w:tcPr>
          <w:p>
            <w:pPr>
              <w:jc w:val="center"/>
              <w:ind w:left="321"/>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ESPP</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w:t>
            </w:r>
          </w:p>
        </w:tc>
        <w:tc>
          <w:tcPr>
            <w:tcW w:w="1520" w:type="dxa"/>
            <w:vAlign w:val="bottom"/>
            <w:tcBorders>
              <w:bottom w:val="single" w:sz="8" w:color="CCEEFF"/>
            </w:tcBorders>
            <w:gridSpan w:val="2"/>
          </w:tcPr>
          <w:p>
            <w:pPr>
              <w:jc w:val="center"/>
              <w:ind w:left="321"/>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unamortized compensation cost</w:t>
            </w: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260" w:hanging="254"/>
        <w:spacing w:after="0"/>
        <w:tabs>
          <w:tab w:leader="none" w:pos="2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Weighted average service period assumes the performance metrics are met for the PSUs.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6"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Options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 option activity under the Company’s incentive plans. All outstanding options were exercisable at October 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8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28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w w:val="89"/>
              </w:rPr>
              <w:t>Aggregate Intrinsic</w:t>
            </w: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6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Average Remaining</w:t>
            </w:r>
          </w:p>
        </w:tc>
        <w:tc>
          <w:tcPr>
            <w:tcW w:w="4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380" w:type="dxa"/>
            <w:vAlign w:val="bottom"/>
          </w:tcPr>
          <w:p>
            <w:pPr>
              <w:jc w:val="right"/>
              <w:ind w:right="325"/>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5"/>
                <w:szCs w:val="15"/>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Exercise Price 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Contractual Life</w:t>
            </w:r>
          </w:p>
        </w:tc>
        <w:tc>
          <w:tcPr>
            <w:tcW w:w="440" w:type="dxa"/>
            <w:vAlign w:val="bottom"/>
          </w:tcPr>
          <w:p>
            <w:pPr>
              <w:spacing w:after="0"/>
              <w:rPr>
                <w:sz w:val="15"/>
                <w:szCs w:val="15"/>
                <w:color w:val="auto"/>
              </w:rPr>
            </w:pPr>
          </w:p>
        </w:tc>
        <w:tc>
          <w:tcPr>
            <w:tcW w:w="1280" w:type="dxa"/>
            <w:vAlign w:val="bottom"/>
          </w:tcPr>
          <w:p>
            <w:pPr>
              <w:jc w:val="right"/>
              <w:ind w:right="60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380" w:type="dxa"/>
            <w:vAlign w:val="bottom"/>
            <w:tcBorders>
              <w:top w:val="single" w:sz="8" w:color="auto"/>
            </w:tcBorders>
          </w:tcPr>
          <w:p>
            <w:pPr>
              <w:jc w:val="right"/>
              <w:ind w:right="105"/>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ind w:left="227"/>
              <w:spacing w:after="0"/>
              <w:rPr>
                <w:sz w:val="20"/>
                <w:szCs w:val="20"/>
                <w:color w:val="auto"/>
              </w:rPr>
            </w:pPr>
            <w:r>
              <w:rPr>
                <w:rFonts w:ascii="Arial" w:cs="Arial" w:eastAsia="Arial" w:hAnsi="Arial"/>
                <w:sz w:val="14"/>
                <w:szCs w:val="14"/>
                <w:i w:val="1"/>
                <w:iCs w:val="1"/>
                <w:color w:val="auto"/>
                <w:w w:val="92"/>
              </w:rPr>
              <w:t>(in years)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85"/>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Options outstanding at July 2, 2021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247"/>
              <w:spacing w:after="0"/>
              <w:rPr>
                <w:sz w:val="20"/>
                <w:szCs w:val="20"/>
                <w:color w:val="auto"/>
              </w:rPr>
            </w:pPr>
            <w:r>
              <w:rPr>
                <w:rFonts w:ascii="Arial" w:cs="Arial" w:eastAsia="Arial" w:hAnsi="Arial"/>
                <w:sz w:val="16"/>
                <w:szCs w:val="16"/>
                <w:color w:val="auto"/>
                <w:w w:val="89"/>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4780" w:type="dxa"/>
            <w:vAlign w:val="bottom"/>
          </w:tcPr>
          <w:p>
            <w:pPr>
              <w:ind w:left="66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Canceled or 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6"/>
                <w:szCs w:val="16"/>
                <w:color w:val="auto"/>
              </w:rPr>
              <w:t>Options outstanding at October 1,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64.61</w:t>
            </w:r>
          </w:p>
        </w:tc>
        <w:tc>
          <w:tcPr>
            <w:tcW w:w="120" w:type="dxa"/>
            <w:vAlign w:val="bottom"/>
          </w:tcPr>
          <w:p>
            <w:pPr>
              <w:spacing w:after="0"/>
              <w:rPr>
                <w:sz w:val="18"/>
                <w:szCs w:val="18"/>
                <w:color w:val="auto"/>
              </w:rPr>
            </w:pPr>
          </w:p>
        </w:tc>
        <w:tc>
          <w:tcPr>
            <w:tcW w:w="1360" w:type="dxa"/>
            <w:vAlign w:val="bottom"/>
          </w:tcPr>
          <w:p>
            <w:pPr>
              <w:jc w:val="center"/>
              <w:ind w:left="247"/>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RSUs and PSUs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Pr>
          <w:p>
            <w:pPr>
              <w:spacing w:after="0"/>
              <w:rPr>
                <w:sz w:val="14"/>
                <w:szCs w:val="14"/>
                <w:color w:val="auto"/>
              </w:rPr>
            </w:pPr>
          </w:p>
        </w:tc>
        <w:tc>
          <w:tcPr>
            <w:tcW w:w="126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Aggregate Intrinsic</w:t>
            </w:r>
          </w:p>
        </w:tc>
      </w:tr>
      <w:tr>
        <w:trPr>
          <w:trHeight w:val="184"/>
        </w:trPr>
        <w:tc>
          <w:tcPr>
            <w:tcW w:w="624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800" w:type="dxa"/>
            <w:vAlign w:val="bottom"/>
            <w:gridSpan w:val="3"/>
          </w:tcPr>
          <w:p>
            <w:pPr>
              <w:ind w:left="180"/>
              <w:spacing w:after="0"/>
              <w:rPr>
                <w:sz w:val="20"/>
                <w:szCs w:val="20"/>
                <w:color w:val="auto"/>
              </w:rPr>
            </w:pPr>
            <w:r>
              <w:rPr>
                <w:rFonts w:ascii="Arial" w:cs="Arial" w:eastAsia="Arial" w:hAnsi="Arial"/>
                <w:sz w:val="14"/>
                <w:szCs w:val="14"/>
                <w:b w:val="1"/>
                <w:bCs w:val="1"/>
                <w:color w:val="auto"/>
              </w:rPr>
              <w:t>Grant Date Fair Value</w:t>
            </w:r>
          </w:p>
        </w:tc>
        <w:tc>
          <w:tcPr>
            <w:tcW w:w="1680" w:type="dxa"/>
            <w:vAlign w:val="bottom"/>
            <w:gridSpan w:val="2"/>
          </w:tcPr>
          <w:p>
            <w:pPr>
              <w:jc w:val="right"/>
              <w:ind w:right="227"/>
              <w:spacing w:after="0"/>
              <w:rPr>
                <w:sz w:val="20"/>
                <w:szCs w:val="20"/>
                <w:color w:val="auto"/>
              </w:rPr>
            </w:pPr>
            <w:r>
              <w:rPr>
                <w:rFonts w:ascii="Arial" w:cs="Arial" w:eastAsia="Arial" w:hAnsi="Arial"/>
                <w:sz w:val="14"/>
                <w:szCs w:val="14"/>
                <w:b w:val="1"/>
                <w:bCs w:val="1"/>
                <w:color w:val="auto"/>
              </w:rPr>
              <w:t>Value at Vest Date</w:t>
            </w:r>
          </w:p>
        </w:tc>
      </w:tr>
      <w:tr>
        <w:trPr>
          <w:trHeight w:val="176"/>
        </w:trPr>
        <w:tc>
          <w:tcPr>
            <w:tcW w:w="6240" w:type="dxa"/>
            <w:vAlign w:val="bottom"/>
          </w:tcPr>
          <w:p>
            <w:pPr>
              <w:spacing w:after="0"/>
              <w:rPr>
                <w:sz w:val="15"/>
                <w:szCs w:val="15"/>
                <w:color w:val="auto"/>
              </w:rPr>
            </w:pPr>
          </w:p>
        </w:tc>
        <w:tc>
          <w:tcPr>
            <w:tcW w:w="138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27"/>
              <w:spacing w:after="0"/>
              <w:rPr>
                <w:sz w:val="20"/>
                <w:szCs w:val="20"/>
                <w:color w:val="auto"/>
              </w:rPr>
            </w:pPr>
            <w:r>
              <w:rPr>
                <w:rFonts w:ascii="Arial" w:cs="Arial" w:eastAsia="Arial" w:hAnsi="Arial"/>
                <w:sz w:val="14"/>
                <w:szCs w:val="14"/>
                <w:i w:val="1"/>
                <w:iCs w:val="1"/>
                <w:color w:val="auto"/>
                <w:w w:val="96"/>
              </w:rPr>
              <w:t>(in millions)</w:t>
            </w:r>
          </w:p>
        </w:tc>
      </w:tr>
      <w:tr>
        <w:trPr>
          <w:trHeight w:val="214"/>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RSUs and PSUs outstanding at July 2, 2021</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240" w:type="dxa"/>
            <w:vAlign w:val="bottom"/>
          </w:tcPr>
          <w:p>
            <w:pPr>
              <w:ind w:left="6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08"/>
        </w:trPr>
        <w:tc>
          <w:tcPr>
            <w:tcW w:w="62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52.62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r>
      <w:tr>
        <w:trPr>
          <w:trHeight w:val="233"/>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RSUs and PSUs outstanding at October 1, 2021</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15.9</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47"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Company’s Board of Directors has authorized a stock repurchase program for the repurchase of up to $5.0 billion of the Company’s common stock, which authorization is effective through July 25, 2023. The Company did not make any stock repurchases during the three months ended October 1, 2021 and has not repurchased any shares of its common stock pursuant to its stock repurchase program since the first quarter of fiscal 2019. The remaining amount available to be repurchased under the Company’s current stock repurchase program as of October 1, 2021 was $4.5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 Expense</w:t>
      </w:r>
    </w:p>
    <w:p>
      <w:pPr>
        <w:spacing w:after="0" w:line="247" w:lineRule="exact"/>
        <w:rPr>
          <w:sz w:val="20"/>
          <w:szCs w:val="20"/>
          <w:color w:val="auto"/>
        </w:rPr>
      </w:pPr>
    </w:p>
    <w:p>
      <w:pPr>
        <w:ind w:right="20" w:firstLine="316"/>
        <w:spacing w:after="0" w:line="285" w:lineRule="auto"/>
        <w:rPr>
          <w:sz w:val="20"/>
          <w:szCs w:val="20"/>
          <w:color w:val="auto"/>
        </w:rPr>
      </w:pPr>
      <w:r>
        <w:rPr>
          <w:rFonts w:ascii="Arial" w:cs="Arial" w:eastAsia="Arial" w:hAnsi="Arial"/>
          <w:sz w:val="16"/>
          <w:szCs w:val="16"/>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30"/>
        </w:trPr>
        <w:tc>
          <w:tcPr>
            <w:tcW w:w="6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right"/>
              <w:ind w:right="4"/>
              <w:spacing w:after="0" w:line="131" w:lineRule="exact"/>
              <w:rPr>
                <w:sz w:val="20"/>
                <w:szCs w:val="20"/>
                <w:color w:val="auto"/>
              </w:rPr>
            </w:pPr>
            <w:r>
              <w:rPr>
                <w:rFonts w:ascii="Arial" w:cs="Arial" w:eastAsia="Arial" w:hAnsi="Arial"/>
                <w:sz w:val="14"/>
                <w:szCs w:val="14"/>
                <w:b w:val="1"/>
                <w:bCs w:val="1"/>
                <w:color w:val="auto"/>
              </w:rPr>
              <w:t>October 1,</w:t>
            </w:r>
          </w:p>
        </w:tc>
        <w:tc>
          <w:tcPr>
            <w:tcW w:w="1400" w:type="dxa"/>
            <w:vAlign w:val="bottom"/>
          </w:tcPr>
          <w:p>
            <w:pPr>
              <w:spacing w:after="0"/>
              <w:rPr>
                <w:sz w:val="11"/>
                <w:szCs w:val="11"/>
                <w:color w:val="auto"/>
              </w:rPr>
            </w:pPr>
          </w:p>
        </w:tc>
        <w:tc>
          <w:tcPr>
            <w:tcW w:w="940" w:type="dxa"/>
            <w:vAlign w:val="bottom"/>
          </w:tcPr>
          <w:p>
            <w:pPr>
              <w:jc w:val="right"/>
              <w:ind w:right="164"/>
              <w:spacing w:after="0" w:line="131" w:lineRule="exact"/>
              <w:rPr>
                <w:sz w:val="20"/>
                <w:szCs w:val="20"/>
                <w:color w:val="auto"/>
              </w:rPr>
            </w:pPr>
            <w:r>
              <w:rPr>
                <w:rFonts w:ascii="Arial" w:cs="Arial" w:eastAsia="Arial" w:hAnsi="Arial"/>
                <w:sz w:val="14"/>
                <w:szCs w:val="14"/>
                <w:b w:val="1"/>
                <w:bCs w:val="1"/>
                <w:color w:val="auto"/>
                <w:w w:val="98"/>
              </w:rPr>
              <w:t>October 2,</w:t>
            </w:r>
          </w:p>
        </w:tc>
        <w:tc>
          <w:tcPr>
            <w:tcW w:w="320" w:type="dxa"/>
            <w:vAlign w:val="bottom"/>
          </w:tcPr>
          <w:p>
            <w:pPr>
              <w:spacing w:after="0"/>
              <w:rPr>
                <w:sz w:val="11"/>
                <w:szCs w:val="11"/>
                <w:color w:val="auto"/>
              </w:rPr>
            </w:pPr>
          </w:p>
        </w:tc>
      </w:tr>
      <w:tr>
        <w:trPr>
          <w:trHeight w:val="184"/>
        </w:trPr>
        <w:tc>
          <w:tcPr>
            <w:tcW w:w="6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r>
      <w:tr>
        <w:trPr>
          <w:trHeight w:val="176"/>
        </w:trPr>
        <w:tc>
          <w:tcPr>
            <w:tcW w:w="6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i w:val="1"/>
                <w:iCs w:val="1"/>
                <w:color w:val="auto"/>
                <w:w w:val="96"/>
              </w:rPr>
              <w:t>($ in millions)</w:t>
            </w: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4"/>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before taxes</w:t>
            </w: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40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spacing w:after="0"/>
              <w:rPr>
                <w:sz w:val="18"/>
                <w:szCs w:val="18"/>
                <w:color w:val="auto"/>
              </w:rPr>
            </w:pPr>
          </w:p>
        </w:tc>
      </w:tr>
      <w:tr>
        <w:trPr>
          <w:trHeight w:val="208"/>
        </w:trPr>
        <w:tc>
          <w:tcPr>
            <w:tcW w:w="68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14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8"/>
                <w:szCs w:val="18"/>
                <w:color w:val="auto"/>
              </w:rPr>
            </w:pPr>
          </w:p>
        </w:tc>
      </w:tr>
      <w:tr>
        <w:trPr>
          <w:trHeight w:val="214"/>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(1,900)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7" w:lineRule="exact"/>
        <w:rPr>
          <w:sz w:val="20"/>
          <w:szCs w:val="20"/>
          <w:color w:val="auto"/>
        </w:rPr>
      </w:pPr>
    </w:p>
    <w:p>
      <w:pPr>
        <w:ind w:right="20" w:firstLine="316"/>
        <w:spacing w:after="0" w:line="249" w:lineRule="auto"/>
        <w:rPr>
          <w:sz w:val="20"/>
          <w:szCs w:val="20"/>
          <w:color w:val="auto"/>
        </w:rPr>
      </w:pPr>
      <w:r>
        <w:rPr>
          <w:rFonts w:ascii="Arial" w:cs="Arial" w:eastAsia="Arial" w:hAnsi="Arial"/>
          <w:sz w:val="18"/>
          <w:szCs w:val="18"/>
          <w:color w:val="auto"/>
        </w:rPr>
        <w:t>The primary drivers of the difference between the effective tax rate for the three months ended October 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months ended October 1, 2021 includes the discrete effect of an increase to unrecognized tax benefits of $16 million as a result of ongoing discussions with various taxing authorities.</w:t>
      </w:r>
    </w:p>
    <w:p>
      <w:pPr>
        <w:spacing w:after="0" w:line="219"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months ended October 2, 2020 and the U.S. Federal statutory rate of 21% are the relative mix of earnings and losses by jurisdiction, the deduction for foreign derived intangible income, credits, and tax holidays in Malaysia, Philippines and Thailand. In addition, the effective tax rate for the three months ended October 2, 2020 includes the discrete effects of net tax deficiencies from shortfalls of $11 million related to the vesting of stock-based awards and additional tax expense of $10 million from the re-measurement of purchase accounting deferred tax liabilities due to restructuring activities. The discrete items had no impact on the amount of income taxes paid by the Company.</w:t>
      </w:r>
    </w:p>
    <w:p>
      <w:pPr>
        <w:spacing w:after="0" w:line="192" w:lineRule="exact"/>
        <w:rPr>
          <w:sz w:val="20"/>
          <w:szCs w:val="20"/>
          <w:color w:val="auto"/>
        </w:rPr>
      </w:pPr>
    </w:p>
    <w:p>
      <w:pPr>
        <w:ind w:firstLine="316"/>
        <w:spacing w:after="0" w:line="278" w:lineRule="auto"/>
        <w:rPr>
          <w:sz w:val="20"/>
          <w:szCs w:val="20"/>
          <w:color w:val="auto"/>
        </w:rPr>
      </w:pPr>
      <w:r>
        <w:rPr>
          <w:rFonts w:ascii="Arial" w:cs="Arial" w:eastAsia="Arial" w:hAnsi="Arial"/>
          <w:sz w:val="16"/>
          <w:szCs w:val="16"/>
          <w:color w:val="auto"/>
        </w:rPr>
        <w:t>As previously disclosed, the IRS issued statutory notices of deficiency with respect to adjustments relating to transfer pricing with the Company’s foreign subsidiaries and intercompany payable balances for fiscal years 2008 through 2009 and fiscal years 2010 through 2012. The Company filed petitions with the U.S. Tax Court with respect to the statutory notices of deficiency for fiscal years 2008 through 2009 and the fiscal years 2010 through 2012. The U.S. Tax Court consolidated the case for fiscal years 2008 through 2009 with the case for fiscal years 2010 through 2012. In May 2020, the IRS filed with the U.S. Tax Court Amendments to Answer to assert penalties totaling $340 million on the proposed adjustments relating to transfer pricing with respect to fiscal years 2008 through 2012. In June 2021, the IRS filed with the U.S. Tax Court Second Amendments to Answer to assert additional adjustments relating to transfer pricing with the Company’s foreign subsidiaries for fiscal years 2008 through 2009 and fiscal years 2010 through 2012. The Second Amendments to Answer replace the amounts asserted in the statutory notices of deficiency. With its Second Amendments to Answer, the IRS seeks to increase the Company’s U.S. taxable income by amounts that would result in additional federal income tax liabilities totaling approximately $335 million for fiscal years 2008 through 2009 and approximately $922 million for fiscal years 2010 through 2012, subject to interest and the IRS’s claim for penalties. In September 2020 and December 2020, the IRS proposed adjustments relating to transfer pricing with the Company’s foreign subsidiaries and intercompany payable balances for fiscal years 2013 through 2015 that, if sustained, would result in additional federal income tax liabilities totaling approximately $343 million for those fiscal years. In March 2021, the IRS asserted penalties totaling $109 million on the proposed adjustments relating to transfer pricing with respect to fiscal years 2013 through 2015. The Company disagrees with the proposed adjustments relating to transfer pricing and related penalties, and continues to believe that its tax positions are properly supported and will vigorously contest the position taken by the IRS. Also in March 2021, the Company and the IRS tentatively reached a basis for resolving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intercompany payable balances matter for all fiscal years at issue and the impact was not material to the Consolidated Financial Statements.</w:t>
      </w:r>
    </w:p>
    <w:p>
      <w:pPr>
        <w:spacing w:after="0" w:line="264" w:lineRule="exact"/>
        <w:rPr>
          <w:sz w:val="20"/>
          <w:szCs w:val="20"/>
          <w:color w:val="auto"/>
        </w:rPr>
      </w:pPr>
    </w:p>
    <w:p>
      <w:pPr>
        <w:ind w:right="120" w:firstLine="316"/>
        <w:spacing w:after="0" w:line="285" w:lineRule="auto"/>
        <w:rPr>
          <w:sz w:val="20"/>
          <w:szCs w:val="20"/>
          <w:color w:val="auto"/>
        </w:rPr>
      </w:pPr>
      <w:r>
        <w:rPr>
          <w:rFonts w:ascii="Arial" w:cs="Arial" w:eastAsia="Arial" w:hAnsi="Arial"/>
          <w:sz w:val="16"/>
          <w:szCs w:val="16"/>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October 1, 2021,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193" w:lineRule="exact"/>
        <w:rPr>
          <w:sz w:val="20"/>
          <w:szCs w:val="20"/>
          <w:color w:val="auto"/>
        </w:rPr>
      </w:pPr>
    </w:p>
    <w:p>
      <w:pPr>
        <w:ind w:firstLine="316"/>
        <w:spacing w:after="0" w:line="250" w:lineRule="auto"/>
        <w:rPr>
          <w:sz w:val="20"/>
          <w:szCs w:val="20"/>
          <w:color w:val="auto"/>
        </w:rPr>
      </w:pPr>
      <w:r>
        <w:rPr>
          <w:rFonts w:ascii="Arial" w:cs="Arial" w:eastAsia="Arial" w:hAnsi="Arial"/>
          <w:sz w:val="18"/>
          <w:szCs w:val="18"/>
          <w:color w:val="auto"/>
        </w:rPr>
        <w:t>As of October 1, 2021, the liability for unrecognized tax benefits (excluding accrued interest and penalties) was approximately $762 million. Accrued interest and penalties related to unrecognized tax benefits as of October 1, 2021 was approximately $132 million. Of these amounts, approximately $758 million could result in potential cash payments. The Company is not able to provide a reasonable estimate of the timing of future tax payments related to these obligations.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Income (Loss) Per Common Share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7640" w:type="dxa"/>
            <w:vAlign w:val="bottom"/>
          </w:tcPr>
          <w:p>
            <w:pPr>
              <w:spacing w:after="0"/>
              <w:rPr>
                <w:sz w:val="11"/>
                <w:szCs w:val="11"/>
                <w:color w:val="auto"/>
              </w:rPr>
            </w:pPr>
          </w:p>
        </w:tc>
        <w:tc>
          <w:tcPr>
            <w:tcW w:w="13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right"/>
              <w:ind w:right="301"/>
              <w:spacing w:after="0" w:line="131"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4"/>
        </w:trPr>
        <w:tc>
          <w:tcPr>
            <w:tcW w:w="7640" w:type="dxa"/>
            <w:vAlign w:val="bottom"/>
          </w:tcPr>
          <w:p>
            <w:pPr>
              <w:spacing w:after="0"/>
              <w:rPr>
                <w:sz w:val="15"/>
                <w:szCs w:val="15"/>
                <w:color w:val="auto"/>
              </w:rPr>
            </w:pPr>
          </w:p>
        </w:tc>
        <w:tc>
          <w:tcPr>
            <w:tcW w:w="134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3000" w:type="dxa"/>
            <w:vAlign w:val="bottom"/>
            <w:gridSpan w:val="4"/>
          </w:tcPr>
          <w:p>
            <w:pPr>
              <w:jc w:val="right"/>
              <w:ind w:right="24"/>
              <w:spacing w:after="0"/>
              <w:rPr>
                <w:sz w:val="20"/>
                <w:szCs w:val="20"/>
                <w:color w:val="auto"/>
              </w:rPr>
            </w:pPr>
            <w:r>
              <w:rPr>
                <w:rFonts w:ascii="Arial" w:cs="Arial" w:eastAsia="Arial" w:hAnsi="Arial"/>
                <w:sz w:val="14"/>
                <w:szCs w:val="14"/>
                <w:i w:val="1"/>
                <w:iCs w:val="1"/>
                <w:color w:val="auto"/>
              </w:rPr>
              <w:t>(in millions, except per share data)</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134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Weighted average shares outstanding:</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6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8"/>
        </w:trPr>
        <w:tc>
          <w:tcPr>
            <w:tcW w:w="76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Employee stock options, RSUs, PSUs and ESPP</w:t>
            </w: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Basic and diluted</w:t>
            </w: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Income (loss) per common share</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64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340" w:type="dxa"/>
            <w:vAlign w:val="bottom"/>
            <w:shd w:val="clear" w:color="auto" w:fill="CCEEFF"/>
          </w:tcPr>
          <w:p>
            <w:pPr>
              <w:jc w:val="right"/>
              <w:ind w:right="846"/>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1"/>
        </w:trPr>
        <w:tc>
          <w:tcPr>
            <w:tcW w:w="7640" w:type="dxa"/>
            <w:vAlign w:val="bottom"/>
          </w:tcPr>
          <w:p>
            <w:pPr>
              <w:ind w:left="460"/>
              <w:spacing w:after="0"/>
              <w:rPr>
                <w:sz w:val="20"/>
                <w:szCs w:val="20"/>
                <w:color w:val="auto"/>
              </w:rPr>
            </w:pPr>
            <w:r>
              <w:rPr>
                <w:rFonts w:ascii="Arial" w:cs="Arial" w:eastAsia="Arial" w:hAnsi="Arial"/>
                <w:sz w:val="16"/>
                <w:szCs w:val="16"/>
                <w:color w:val="auto"/>
              </w:rPr>
              <w:t>Diluted</w:t>
            </w:r>
          </w:p>
        </w:tc>
        <w:tc>
          <w:tcPr>
            <w:tcW w:w="1340" w:type="dxa"/>
            <w:vAlign w:val="bottom"/>
            <w:tcBorders>
              <w:bottom w:val="single" w:sz="8" w:color="auto"/>
            </w:tcBorders>
          </w:tcPr>
          <w:p>
            <w:pPr>
              <w:jc w:val="right"/>
              <w:ind w:right="84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1.93</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Anti-dilutive potential common shares excluded</w:t>
            </w: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40" w:firstLine="316"/>
        <w:spacing w:after="0" w:line="311" w:lineRule="auto"/>
        <w:rPr>
          <w:sz w:val="20"/>
          <w:szCs w:val="20"/>
          <w:color w:val="auto"/>
        </w:rPr>
      </w:pPr>
      <w:r>
        <w:rPr>
          <w:rFonts w:ascii="Arial" w:cs="Arial" w:eastAsia="Arial" w:hAnsi="Arial"/>
          <w:sz w:val="15"/>
          <w:szCs w:val="15"/>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three months ended October 2, 2020, the Company recorded net loss, and all shares subject to outstanding equity awards have been excluded for this period because including them would be anti-dilutive.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recorded the following charges related to employee termination benefits, asset impairment, and other charges: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130"/>
        </w:trPr>
        <w:tc>
          <w:tcPr>
            <w:tcW w:w="7620" w:type="dxa"/>
            <w:vAlign w:val="bottom"/>
          </w:tcPr>
          <w:p>
            <w:pPr>
              <w:spacing w:after="0"/>
              <w:rPr>
                <w:sz w:val="11"/>
                <w:szCs w:val="11"/>
                <w:color w:val="auto"/>
              </w:rPr>
            </w:pPr>
          </w:p>
        </w:tc>
        <w:tc>
          <w:tcPr>
            <w:tcW w:w="140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5"/>
              <w:spacing w:after="0" w:line="131" w:lineRule="exact"/>
              <w:rPr>
                <w:sz w:val="20"/>
                <w:szCs w:val="20"/>
                <w:color w:val="auto"/>
              </w:rPr>
            </w:pPr>
            <w:r>
              <w:rPr>
                <w:rFonts w:ascii="Arial" w:cs="Arial" w:eastAsia="Arial" w:hAnsi="Arial"/>
                <w:sz w:val="14"/>
                <w:szCs w:val="14"/>
                <w:b w:val="1"/>
                <w:bCs w:val="1"/>
                <w:color w:val="auto"/>
              </w:rPr>
              <w:t>October 2,</w:t>
            </w:r>
          </w:p>
        </w:tc>
        <w:tc>
          <w:tcPr>
            <w:tcW w:w="300" w:type="dxa"/>
            <w:vAlign w:val="bottom"/>
          </w:tcPr>
          <w:p>
            <w:pPr>
              <w:spacing w:after="0"/>
              <w:rPr>
                <w:sz w:val="11"/>
                <w:szCs w:val="11"/>
                <w:color w:val="auto"/>
              </w:rPr>
            </w:pPr>
          </w:p>
        </w:tc>
      </w:tr>
      <w:tr>
        <w:trPr>
          <w:trHeight w:val="184"/>
        </w:trPr>
        <w:tc>
          <w:tcPr>
            <w:tcW w:w="7620" w:type="dxa"/>
            <w:vAlign w:val="bottom"/>
          </w:tcPr>
          <w:p>
            <w:pPr>
              <w:spacing w:after="0"/>
              <w:rPr>
                <w:sz w:val="15"/>
                <w:szCs w:val="15"/>
                <w:color w:val="auto"/>
              </w:rPr>
            </w:pPr>
          </w:p>
        </w:tc>
        <w:tc>
          <w:tcPr>
            <w:tcW w:w="140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r>
      <w:tr>
        <w:trPr>
          <w:trHeight w:val="176"/>
        </w:trPr>
        <w:tc>
          <w:tcPr>
            <w:tcW w:w="7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20" w:type="dxa"/>
            <w:vAlign w:val="bottom"/>
            <w:gridSpan w:val="3"/>
          </w:tcPr>
          <w:p>
            <w:pPr>
              <w:jc w:val="right"/>
              <w:ind w:right="885"/>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r>
      <w:tr>
        <w:trPr>
          <w:trHeight w:val="214"/>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termination and other charges: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08"/>
        </w:trPr>
        <w:tc>
          <w:tcPr>
            <w:tcW w:w="7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Business Realignment</w:t>
            </w:r>
          </w:p>
        </w:tc>
        <w:tc>
          <w:tcPr>
            <w:tcW w:w="1400" w:type="dxa"/>
            <w:vAlign w:val="bottom"/>
            <w:tcBorders>
              <w:bottom w:val="single" w:sz="8" w:color="auto"/>
            </w:tcBorders>
          </w:tcPr>
          <w:p>
            <w:pPr>
              <w:jc w:val="right"/>
              <w:ind w:right="906"/>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92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76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employee termination and other charges</w:t>
            </w:r>
          </w:p>
        </w:tc>
        <w:tc>
          <w:tcPr>
            <w:tcW w:w="1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88"/>
        </w:trPr>
        <w:tc>
          <w:tcPr>
            <w:tcW w:w="7620" w:type="dxa"/>
            <w:vAlign w:val="bottom"/>
          </w:tcPr>
          <w:p>
            <w:pPr>
              <w:ind w:left="340"/>
              <w:spacing w:after="0"/>
              <w:rPr>
                <w:sz w:val="20"/>
                <w:szCs w:val="20"/>
                <w:color w:val="auto"/>
              </w:rPr>
            </w:pPr>
            <w:r>
              <w:rPr>
                <w:rFonts w:ascii="Arial" w:cs="Arial" w:eastAsia="Arial" w:hAnsi="Arial"/>
                <w:sz w:val="16"/>
                <w:szCs w:val="16"/>
                <w:color w:val="auto"/>
              </w:rPr>
              <w:t>Asset impairment:</w:t>
            </w: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1"/>
        </w:trPr>
        <w:tc>
          <w:tcPr>
            <w:tcW w:w="7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Business Realignment</w:t>
            </w:r>
          </w:p>
        </w:tc>
        <w:tc>
          <w:tcPr>
            <w:tcW w:w="1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20" w:type="dxa"/>
            <w:vAlign w:val="bottom"/>
          </w:tcPr>
          <w:p>
            <w:pPr>
              <w:ind w:left="660"/>
              <w:spacing w:after="0"/>
              <w:rPr>
                <w:sz w:val="20"/>
                <w:szCs w:val="20"/>
                <w:color w:val="auto"/>
              </w:rPr>
            </w:pPr>
            <w:r>
              <w:rPr>
                <w:rFonts w:ascii="Arial" w:cs="Arial" w:eastAsia="Arial" w:hAnsi="Arial"/>
                <w:sz w:val="16"/>
                <w:szCs w:val="16"/>
                <w:color w:val="auto"/>
              </w:rPr>
              <w:t>Total employee termination, asset impairment, and other charges</w:t>
            </w:r>
          </w:p>
        </w:tc>
        <w:tc>
          <w:tcPr>
            <w:tcW w:w="1400" w:type="dxa"/>
            <w:vAlign w:val="bottom"/>
            <w:tcBorders>
              <w:bottom w:val="single" w:sz="8" w:color="auto"/>
            </w:tcBorders>
          </w:tcPr>
          <w:p>
            <w:pPr>
              <w:jc w:val="right"/>
              <w:ind w:right="906"/>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92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7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Realignment</w:t>
      </w:r>
    </w:p>
    <w:p>
      <w:pPr>
        <w:spacing w:after="0" w:line="241" w:lineRule="exact"/>
        <w:rPr>
          <w:sz w:val="20"/>
          <w:szCs w:val="20"/>
          <w:color w:val="auto"/>
        </w:rPr>
      </w:pPr>
    </w:p>
    <w:p>
      <w:pPr>
        <w:ind w:right="400" w:firstLine="316"/>
        <w:spacing w:after="0" w:line="325"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an analysis of the components of these activities against the reserve during the three months ended October 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Employee Termination</w:t>
            </w:r>
          </w:p>
        </w:tc>
      </w:tr>
      <w:tr>
        <w:trPr>
          <w:trHeight w:val="184"/>
        </w:trPr>
        <w:tc>
          <w:tcPr>
            <w:tcW w:w="9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Benefits</w:t>
            </w:r>
          </w:p>
        </w:tc>
      </w:tr>
      <w:tr>
        <w:trPr>
          <w:trHeight w:val="176"/>
        </w:trPr>
        <w:tc>
          <w:tcPr>
            <w:tcW w:w="9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Arial" w:cs="Arial" w:eastAsia="Arial" w:hAnsi="Arial"/>
                <w:sz w:val="14"/>
                <w:szCs w:val="14"/>
                <w:i w:val="1"/>
                <w:iCs w:val="1"/>
                <w:color w:val="auto"/>
              </w:rPr>
              <w:t>(in millions)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balance at July 2, 2021</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9800" w:type="dxa"/>
            <w:vAlign w:val="bottom"/>
          </w:tcPr>
          <w:p>
            <w:pPr>
              <w:ind w:left="20"/>
              <w:spacing w:after="0"/>
              <w:rPr>
                <w:sz w:val="20"/>
                <w:szCs w:val="20"/>
                <w:color w:val="auto"/>
              </w:rPr>
            </w:pPr>
            <w:r>
              <w:rPr>
                <w:rFonts w:ascii="Arial" w:cs="Arial" w:eastAsia="Arial" w:hAnsi="Arial"/>
                <w:sz w:val="16"/>
                <w:szCs w:val="16"/>
                <w:color w:val="auto"/>
              </w:rPr>
              <w:t>Accrual balance at October 1, 2021</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Legal Proceedings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Tax</w:t>
      </w:r>
    </w:p>
    <w:p>
      <w:pPr>
        <w:spacing w:after="0" w:line="241"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 see Note 13, </w:t>
      </w:r>
      <w:r>
        <w:rPr>
          <w:rFonts w:ascii="Arial" w:cs="Arial" w:eastAsia="Arial" w:hAnsi="Arial"/>
          <w:sz w:val="18"/>
          <w:szCs w:val="18"/>
          <w:i w:val="1"/>
          <w:iCs w:val="1"/>
          <w:color w:val="auto"/>
        </w:rPr>
        <w:t>Income Tax Expense.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Matters</w:t>
      </w:r>
    </w:p>
    <w:p>
      <w:pPr>
        <w:spacing w:after="0" w:line="241" w:lineRule="exact"/>
        <w:rPr>
          <w:sz w:val="20"/>
          <w:szCs w:val="20"/>
          <w:color w:val="auto"/>
        </w:rPr>
      </w:pPr>
    </w:p>
    <w:p>
      <w:pPr>
        <w:ind w:firstLine="316"/>
        <w:spacing w:after="0" w:line="249" w:lineRule="auto"/>
        <w:rPr>
          <w:sz w:val="20"/>
          <w:szCs w:val="20"/>
          <w:color w:val="auto"/>
        </w:rPr>
      </w:pPr>
      <w:r>
        <w:rPr>
          <w:rFonts w:ascii="Arial" w:cs="Arial" w:eastAsia="Arial" w:hAnsi="Arial"/>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47" w:lineRule="exact"/>
        <w:rPr>
          <w:sz w:val="20"/>
          <w:szCs w:val="20"/>
          <w:color w:val="auto"/>
        </w:rPr>
      </w:pPr>
    </w:p>
    <w:p>
      <w:pPr>
        <w:ind w:right="140" w:firstLine="316"/>
        <w:spacing w:after="0" w:line="214"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July 2, 2021. See also “Forward-Looking Statements” immediately prior to Part I, Item 1 in this Quarterly Report on Form 10-Q.</w:t>
      </w:r>
    </w:p>
    <w:p>
      <w:pPr>
        <w:spacing w:after="0" w:line="227"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180" w:firstLine="316"/>
        <w:spacing w:after="0" w:line="292"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information technology (“IT”) and the infrastructure that enables the proliferation of data in virtually every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86" w:lineRule="exact"/>
        <w:rPr>
          <w:sz w:val="20"/>
          <w:szCs w:val="20"/>
          <w:color w:val="auto"/>
        </w:rPr>
      </w:pPr>
    </w:p>
    <w:p>
      <w:pPr>
        <w:ind w:right="40" w:firstLine="316"/>
        <w:spacing w:after="0" w:line="253" w:lineRule="auto"/>
        <w:rPr>
          <w:sz w:val="20"/>
          <w:szCs w:val="20"/>
          <w:color w:val="auto"/>
        </w:rPr>
      </w:pPr>
      <w:r>
        <w:rPr>
          <w:rFonts w:ascii="Arial" w:cs="Arial" w:eastAsia="Arial" w:hAnsi="Arial"/>
          <w:sz w:val="18"/>
          <w:szCs w:val="18"/>
          <w:color w:val="auto"/>
        </w:rPr>
        <w:t>Our fiscal year ends on the Friday nearest to June 30 and typically consists of 52 weeks. Approximately every five to six years, we report a 53-week fiscal year to align the fiscal year with the foregoing policy. Fiscal years 2022, which ends on July 1, 2022, and 2021, which ended on July 2, 2021, are each comprised of 52 weeks, with all quarters presented consisting of 13 weeks.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Structure</w:t>
      </w:r>
    </w:p>
    <w:p>
      <w:pPr>
        <w:spacing w:after="0" w:line="228"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Historically, our company had been managed and reported under a single operating segment. Late in the first quarter of fiscal 2021, the Chief Executive Officer, who is our Chief Operating Decision Maker (“CODM”), announced a decision to reorganize our business by forming two separate product business units: hard disk drives (“HDD”) and flash-based products (“Flash”). The new structure is intended to provide each business unit with focus and responsibility for identifying current and future customer requirements while driving the strategy, roadmap, pricing and overall profitability for their respective product areas. To align with the new operating model and business structure, we made management organizational changes and implemented new reporting modules and processes to provide discrete information to manage the business. Effective July 3, 2021, management finalized its assessment of our operating segments and concluded that we now have two reportable segments: HDD and Flash.</w:t>
      </w:r>
    </w:p>
    <w:p>
      <w:pPr>
        <w:spacing w:after="0" w:line="196"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Our broad portfolio of technology and products address multiple end markets. In the fiscal first quarter of 2022, we refined the end markets we report to be Cloud, Client and Consumer. Cloud represents a large and growing end market comprised primarily of products for public or private cloud environments and end customers, which we believe we are uniquely positioned to address as the only provider of both hard drive and flash products. Through the Client end market, we provide our OEM and channel customers a broad array of high-performance flash and hard drive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discussion and analysis included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 reflects our new business unit structure and end markets discussed above.</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COVID-19 Pandemic and Operational Update</w:t>
      </w:r>
    </w:p>
    <w:p>
      <w:pPr>
        <w:spacing w:after="0" w:line="228" w:lineRule="exact"/>
        <w:rPr>
          <w:sz w:val="20"/>
          <w:szCs w:val="20"/>
          <w:color w:val="auto"/>
        </w:rPr>
      </w:pPr>
    </w:p>
    <w:p>
      <w:pPr>
        <w:ind w:right="40" w:firstLine="316"/>
        <w:spacing w:after="0" w:line="316" w:lineRule="auto"/>
        <w:rPr>
          <w:sz w:val="20"/>
          <w:szCs w:val="20"/>
          <w:color w:val="auto"/>
        </w:rPr>
      </w:pPr>
      <w:r>
        <w:rPr>
          <w:rFonts w:ascii="Arial" w:cs="Arial" w:eastAsia="Arial" w:hAnsi="Arial"/>
          <w:sz w:val="15"/>
          <w:szCs w:val="15"/>
          <w:color w:val="auto"/>
        </w:rPr>
        <w:t>As the ongoing COVID-19 pandemic has evolved, we have implemented and maintained more thorough sanitation practices as outlined by health organizations and supported vaccination efforts. As we begin to phase in a return to site for more employees, we are monitoring and adopting practices recommended by health organizations to ensure the continued safety of our employees and business partners. In addition, the responses to COVID-19 taken by others in the supply chain have increased the costs of their services which have in turn impacted our operations. We incurred incremental charges primarily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related to logistics, absorption and other factory-related costs of approximately $56 million and $28 million during the three months ended October 1, 2021 and October 2, 2020, respectively, which were recorded in Cost of revenue.</w:t>
      </w:r>
    </w:p>
    <w:p>
      <w:pPr>
        <w:spacing w:after="0" w:line="208" w:lineRule="exact"/>
        <w:rPr>
          <w:sz w:val="20"/>
          <w:szCs w:val="20"/>
          <w:color w:val="auto"/>
        </w:rPr>
      </w:pPr>
    </w:p>
    <w:p>
      <w:pPr>
        <w:ind w:right="100" w:firstLine="316"/>
        <w:spacing w:after="0" w:line="292" w:lineRule="auto"/>
        <w:rPr>
          <w:sz w:val="20"/>
          <w:szCs w:val="20"/>
          <w:color w:val="auto"/>
        </w:rPr>
      </w:pPr>
      <w:r>
        <w:rPr>
          <w:rFonts w:ascii="Arial" w:cs="Arial" w:eastAsia="Arial" w:hAnsi="Arial"/>
          <w:sz w:val="16"/>
          <w:szCs w:val="16"/>
          <w:color w:val="auto"/>
        </w:rPr>
        <w:t>The technology hardware and semiconductor industries faced supply chain disruptions during the quarter that negatively impacted both our and our customers’ ability to manufacture products, which collectively reduced revenues across all of our end markets. While these supply disruptions may continue for the near term, we ultimately expect that they will be transitory as demand for our products has remained solid during the pandemic, with work-from-home, distance learning, and at home entertainment driving demand for cloud environments, new devices, and retail products.</w:t>
      </w:r>
    </w:p>
    <w:p>
      <w:pPr>
        <w:spacing w:after="0" w:line="186"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 xml:space="preserve">The COVID-19 environment remains dynamic and we will continue to actively monitor the situation and may take further actions altering our business operations that we determine are in the best interests of our employees, customers, partners, suppliers, and stakeholders, or as required by federal, state, or local authorities. See “The COVID-19 pandemic could negatively affect our business” and “We are dependent on a limited number of qualified suppliers who provide critical services, materials or components, and a disruption in our supply chain could negatively affect our business”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fiscal year ended July 2, 2021 for more information regarding the risks we face as a result of the COVID-19 pandemic and supply chain disruptions.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28"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In October 2020, Kioxia announced the start of construction of the shell for a new fabrication facility in Yokkaichi, Japan, referred to as “Y7”. We expect to continue Flash Ventures investments into Y7 in due course, following the completion of agreements with Kioxia governing the construction and operation of the new facility and according to the then-prevailing market trends.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First Quarter Overview</w:t>
      </w:r>
    </w:p>
    <w:p>
      <w:pPr>
        <w:spacing w:after="0" w:line="241" w:lineRule="exact"/>
        <w:rPr>
          <w:sz w:val="20"/>
          <w:szCs w:val="20"/>
          <w:color w:val="auto"/>
        </w:rPr>
      </w:pPr>
    </w:p>
    <w:p>
      <w:pPr>
        <w:ind w:right="280" w:firstLine="316"/>
        <w:spacing w:after="0" w:line="243"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40" w:type="dxa"/>
            <w:vAlign w:val="bottom"/>
            <w:gridSpan w:val="3"/>
          </w:tcPr>
          <w:p>
            <w:pPr>
              <w:ind w:left="520"/>
              <w:spacing w:after="0" w:line="125" w:lineRule="exact"/>
              <w:rPr>
                <w:sz w:val="20"/>
                <w:szCs w:val="20"/>
                <w:color w:val="auto"/>
              </w:rPr>
            </w:pPr>
            <w:r>
              <w:rPr>
                <w:rFonts w:ascii="Arial" w:cs="Arial" w:eastAsia="Arial" w:hAnsi="Arial"/>
                <w:sz w:val="14"/>
                <w:szCs w:val="14"/>
                <w:b w:val="1"/>
                <w:bCs w:val="1"/>
                <w:color w:val="auto"/>
              </w:rPr>
              <w:t>October 1,</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3"/>
          </w:tcPr>
          <w:p>
            <w:pPr>
              <w:ind w:left="520"/>
              <w:spacing w:after="0" w:line="125" w:lineRule="exact"/>
              <w:rPr>
                <w:sz w:val="20"/>
                <w:szCs w:val="20"/>
                <w:color w:val="auto"/>
              </w:rPr>
            </w:pPr>
            <w:r>
              <w:rPr>
                <w:rFonts w:ascii="Arial" w:cs="Arial" w:eastAsia="Arial" w:hAnsi="Arial"/>
                <w:sz w:val="14"/>
                <w:szCs w:val="14"/>
                <w:b w:val="1"/>
                <w:bCs w:val="1"/>
                <w:color w:val="auto"/>
              </w:rPr>
              <w:t>October 2,</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w w:val="91"/>
              </w:rPr>
              <w:t>$ Change</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80" w:type="dxa"/>
            <w:vAlign w:val="bottom"/>
            <w:gridSpan w:val="3"/>
          </w:tcPr>
          <w:p>
            <w:pPr>
              <w:ind w:left="540"/>
              <w:spacing w:after="0"/>
              <w:rPr>
                <w:sz w:val="20"/>
                <w:szCs w:val="20"/>
                <w:color w:val="auto"/>
              </w:rPr>
            </w:pPr>
            <w:r>
              <w:rPr>
                <w:rFonts w:ascii="Arial" w:cs="Arial" w:eastAsia="Arial" w:hAnsi="Arial"/>
                <w:sz w:val="14"/>
                <w:szCs w:val="14"/>
                <w:i w:val="1"/>
                <w:iCs w:val="1"/>
                <w:color w:val="auto"/>
              </w:rPr>
              <w:t>($ in millions)</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Revenue, net</w:t>
            </w:r>
          </w:p>
        </w:tc>
        <w:tc>
          <w:tcPr>
            <w:tcW w:w="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100.0</w:t>
            </w:r>
          </w:p>
        </w:tc>
        <w:tc>
          <w:tcPr>
            <w:tcW w:w="4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1,129</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8"/>
        </w:trPr>
        <w:tc>
          <w:tcPr>
            <w:tcW w:w="3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Cost of revenue</w:t>
            </w: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67.0</w:t>
            </w:r>
          </w:p>
        </w:tc>
        <w:tc>
          <w:tcPr>
            <w:tcW w:w="4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77.0</w:t>
            </w: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368</w:t>
            </w:r>
          </w:p>
        </w:tc>
        <w:tc>
          <w:tcPr>
            <w:tcW w:w="108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Gross profit</w:t>
            </w: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33.0</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23.0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761</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20" w:type="dxa"/>
            <w:vAlign w:val="bottom"/>
            <w:gridSpan w:val="2"/>
          </w:tcPr>
          <w:p>
            <w:pPr>
              <w:ind w:left="340"/>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Research and development</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14.2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23</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gridSpan w:val="2"/>
          </w:tcPr>
          <w:p>
            <w:pPr>
              <w:ind w:left="46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c>
          <w:tcPr>
            <w:tcW w:w="360" w:type="dxa"/>
            <w:vAlign w:val="bottom"/>
          </w:tcPr>
          <w:p>
            <w:pPr>
              <w:spacing w:after="0"/>
              <w:rPr>
                <w:sz w:val="18"/>
                <w:szCs w:val="18"/>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color w:val="auto"/>
              </w:rPr>
              <w:t>5.8</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256</w:t>
            </w:r>
          </w:p>
        </w:tc>
        <w:tc>
          <w:tcPr>
            <w:tcW w:w="360" w:type="dxa"/>
            <w:vAlign w:val="bottom"/>
          </w:tcPr>
          <w:p>
            <w:pPr>
              <w:spacing w:after="0"/>
              <w:rPr>
                <w:sz w:val="18"/>
                <w:szCs w:val="18"/>
                <w:color w:val="auto"/>
              </w:rPr>
            </w:pPr>
          </w:p>
        </w:tc>
        <w:tc>
          <w:tcPr>
            <w:tcW w:w="740" w:type="dxa"/>
            <w:vAlign w:val="bottom"/>
          </w:tcPr>
          <w:p>
            <w:pPr>
              <w:jc w:val="right"/>
              <w:ind w:right="161"/>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35</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20" w:type="dxa"/>
            <w:vAlign w:val="bottom"/>
            <w:gridSpan w:val="2"/>
            <w:shd w:val="clear" w:color="auto" w:fill="CCEEFF"/>
          </w:tcPr>
          <w:p>
            <w:pPr>
              <w:ind w:left="460"/>
              <w:spacing w:after="0" w:line="165" w:lineRule="exact"/>
              <w:rPr>
                <w:sz w:val="20"/>
                <w:szCs w:val="20"/>
                <w:color w:val="auto"/>
              </w:rPr>
            </w:pPr>
            <w:r>
              <w:rPr>
                <w:rFonts w:ascii="Arial" w:cs="Arial" w:eastAsia="Arial" w:hAnsi="Arial"/>
                <w:sz w:val="16"/>
                <w:szCs w:val="16"/>
                <w:color w:val="auto"/>
                <w:w w:val="94"/>
              </w:rPr>
              <w:t>Employee termination, asset impairment,</w:t>
            </w:r>
          </w:p>
        </w:tc>
        <w:tc>
          <w:tcPr>
            <w:tcW w:w="5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0.6</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(5)</w:t>
            </w:r>
          </w:p>
        </w:tc>
        <w:tc>
          <w:tcPr>
            <w:tcW w:w="108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other charges</w:t>
            </w: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operating expenses</w:t>
            </w: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3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17.6</w:t>
            </w:r>
          </w:p>
        </w:tc>
        <w:tc>
          <w:tcPr>
            <w:tcW w:w="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3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21.3</w:t>
            </w:r>
          </w:p>
        </w:tc>
        <w:tc>
          <w:tcPr>
            <w:tcW w:w="4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53</w:t>
            </w:r>
          </w:p>
        </w:tc>
        <w:tc>
          <w:tcPr>
            <w:tcW w:w="108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708</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1,011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gridSpan w:val="2"/>
          </w:tcPr>
          <w:p>
            <w:pPr>
              <w:ind w:left="340"/>
              <w:spacing w:after="0"/>
              <w:rPr>
                <w:sz w:val="20"/>
                <w:szCs w:val="20"/>
                <w:color w:val="auto"/>
              </w:rPr>
            </w:pPr>
            <w:r>
              <w:rPr>
                <w:rFonts w:ascii="Arial" w:cs="Arial" w:eastAsia="Arial" w:hAnsi="Arial"/>
                <w:sz w:val="16"/>
                <w:szCs w:val="16"/>
                <w:color w:val="auto"/>
              </w:rPr>
              <w:t>Interest and other income (expense):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Interest income</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0.1</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gridSpan w:val="2"/>
          </w:tcPr>
          <w:p>
            <w:pPr>
              <w:ind w:left="46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360" w:type="dxa"/>
            <w:vAlign w:val="bottom"/>
          </w:tcPr>
          <w:p>
            <w:pPr>
              <w:spacing w:after="0"/>
              <w:rPr>
                <w:sz w:val="18"/>
                <w:szCs w:val="18"/>
                <w:color w:val="auto"/>
              </w:rPr>
            </w:pP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tcPr>
          <w:p>
            <w:pPr>
              <w:spacing w:after="0"/>
              <w:rPr>
                <w:sz w:val="18"/>
                <w:szCs w:val="18"/>
                <w:color w:val="auto"/>
              </w:rPr>
            </w:pPr>
          </w:p>
        </w:tc>
        <w:tc>
          <w:tcPr>
            <w:tcW w:w="74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6</w:t>
            </w:r>
          </w:p>
        </w:tc>
        <w:tc>
          <w:tcPr>
            <w:tcW w:w="1080" w:type="dxa"/>
            <w:vAlign w:val="bottom"/>
          </w:tcPr>
          <w:p>
            <w:pPr>
              <w:jc w:val="right"/>
              <w:ind w:right="221"/>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income, net</w:t>
            </w: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0.2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w:t>
            </w: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Total interest and other expense, net</w:t>
            </w: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3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w:t>
            </w:r>
          </w:p>
        </w:tc>
        <w:tc>
          <w:tcPr>
            <w:tcW w:w="4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before taxes</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707</w:t>
            </w: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(23,567)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Income tax expense</w:t>
            </w: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37</w:t>
            </w:r>
          </w:p>
        </w:tc>
        <w:tc>
          <w:tcPr>
            <w:tcW w:w="1080" w:type="dxa"/>
            <w:vAlign w:val="bottom"/>
            <w:tcBorders>
              <w:bottom w:val="single" w:sz="8" w:color="CCEEFF"/>
            </w:tcBorders>
          </w:tcPr>
          <w:p>
            <w:pPr>
              <w:jc w:val="right"/>
              <w:ind w:right="261"/>
              <w:spacing w:after="0"/>
              <w:rPr>
                <w:sz w:val="20"/>
                <w:szCs w:val="20"/>
                <w:color w:val="auto"/>
              </w:rPr>
            </w:pPr>
            <w:r>
              <w:rPr>
                <w:rFonts w:ascii="Arial" w:cs="Arial" w:eastAsia="Arial" w:hAnsi="Arial"/>
                <w:sz w:val="16"/>
                <w:szCs w:val="16"/>
                <w:color w:val="auto"/>
              </w:rPr>
              <w:t>65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3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12.1</w:t>
            </w:r>
          </w:p>
        </w:tc>
        <w:tc>
          <w:tcPr>
            <w:tcW w:w="4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670</w:t>
            </w:r>
          </w:p>
        </w:tc>
        <w:tc>
          <w:tcPr>
            <w:tcW w:w="108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(1,117)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for the periods presented, a summary of our segment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30"/>
        </w:trPr>
        <w:tc>
          <w:tcPr>
            <w:tcW w:w="7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500" w:type="dxa"/>
            <w:vAlign w:val="bottom"/>
          </w:tcPr>
          <w:p>
            <w:pPr>
              <w:spacing w:after="0"/>
              <w:rPr>
                <w:sz w:val="11"/>
                <w:szCs w:val="11"/>
                <w:color w:val="auto"/>
              </w:rPr>
            </w:pPr>
          </w:p>
        </w:tc>
        <w:tc>
          <w:tcPr>
            <w:tcW w:w="1200" w:type="dxa"/>
            <w:vAlign w:val="bottom"/>
          </w:tcPr>
          <w:p>
            <w:pPr>
              <w:jc w:val="right"/>
              <w:ind w:right="462"/>
              <w:spacing w:after="0" w:line="131"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84"/>
        </w:trPr>
        <w:tc>
          <w:tcPr>
            <w:tcW w:w="7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7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ind w:left="862"/>
              <w:spacing w:after="0"/>
              <w:rPr>
                <w:sz w:val="20"/>
                <w:szCs w:val="20"/>
                <w:color w:val="auto"/>
              </w:rPr>
            </w:pPr>
            <w:r>
              <w:rPr>
                <w:rFonts w:ascii="Arial" w:cs="Arial" w:eastAsia="Arial" w:hAnsi="Arial"/>
                <w:sz w:val="16"/>
                <w:szCs w:val="16"/>
                <w:i w:val="1"/>
                <w:iCs w:val="1"/>
                <w:color w:val="auto"/>
                <w:w w:val="93"/>
              </w:rPr>
              <w:t>(in 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120"/>
              <w:spacing w:after="0"/>
              <w:rPr>
                <w:sz w:val="20"/>
                <w:szCs w:val="20"/>
                <w:color w:val="auto"/>
              </w:rPr>
            </w:pPr>
            <w:r>
              <w:rPr>
                <w:rFonts w:ascii="Arial" w:cs="Arial" w:eastAsia="Arial" w:hAnsi="Arial"/>
                <w:sz w:val="16"/>
                <w:szCs w:val="16"/>
                <w:color w:val="auto"/>
              </w:rPr>
              <w:t>HDD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500" w:type="dxa"/>
            <w:vAlign w:val="bottom"/>
          </w:tcPr>
          <w:p>
            <w:pPr>
              <w:jc w:val="center"/>
              <w:ind w:right="3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Flash</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2,490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01"/>
        </w:trPr>
        <w:tc>
          <w:tcPr>
            <w:tcW w:w="7960" w:type="dxa"/>
            <w:vAlign w:val="bottom"/>
          </w:tcPr>
          <w:p>
            <w:pPr>
              <w:ind w:left="240"/>
              <w:spacing w:after="0"/>
              <w:rPr>
                <w:sz w:val="20"/>
                <w:szCs w:val="20"/>
                <w:color w:val="auto"/>
              </w:rPr>
            </w:pPr>
            <w:r>
              <w:rPr>
                <w:rFonts w:ascii="Arial" w:cs="Arial" w:eastAsia="Arial" w:hAnsi="Arial"/>
                <w:sz w:val="16"/>
                <w:szCs w:val="16"/>
                <w:color w:val="auto"/>
              </w:rPr>
              <w:t>Total net revenue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5,051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center"/>
              <w:ind w:right="3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3,922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9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60" w:type="dxa"/>
            <w:vAlign w:val="bottom"/>
          </w:tcPr>
          <w:p>
            <w:pPr>
              <w:ind w:left="120"/>
              <w:spacing w:after="0"/>
              <w:rPr>
                <w:sz w:val="20"/>
                <w:szCs w:val="20"/>
                <w:color w:val="auto"/>
              </w:rPr>
            </w:pPr>
            <w:r>
              <w:rPr>
                <w:rFonts w:ascii="Arial" w:cs="Arial" w:eastAsia="Arial" w:hAnsi="Arial"/>
                <w:sz w:val="16"/>
                <w:szCs w:val="16"/>
                <w:color w:val="auto"/>
              </w:rPr>
              <w:t>HDD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500" w:type="dxa"/>
            <w:vAlign w:val="bottom"/>
          </w:tcPr>
          <w:p>
            <w:pPr>
              <w:jc w:val="center"/>
              <w:ind w:right="3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Flash</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8"/>
        </w:trPr>
        <w:tc>
          <w:tcPr>
            <w:tcW w:w="7960" w:type="dxa"/>
            <w:vAlign w:val="bottom"/>
          </w:tcPr>
          <w:p>
            <w:pPr>
              <w:ind w:left="120"/>
              <w:spacing w:after="0"/>
              <w:rPr>
                <w:sz w:val="20"/>
                <w:szCs w:val="20"/>
                <w:color w:val="auto"/>
              </w:rPr>
            </w:pPr>
            <w:r>
              <w:rPr>
                <w:rFonts w:ascii="Arial" w:cs="Arial" w:eastAsia="Arial" w:hAnsi="Arial"/>
                <w:sz w:val="16"/>
                <w:szCs w:val="16"/>
                <w:color w:val="auto"/>
              </w:rPr>
              <w:t>Unallocated corporate items: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8"/>
        </w:trPr>
        <w:tc>
          <w:tcPr>
            <w:tcW w:w="796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Charges related to a power outage incident and related recovery</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1"/>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unallocated corporate items</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gross profit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1,665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right="3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HDD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26.2 %</w:t>
            </w:r>
          </w:p>
        </w:tc>
        <w:tc>
          <w:tcPr>
            <w:tcW w:w="0" w:type="dxa"/>
            <w:vAlign w:val="bottom"/>
          </w:tcPr>
          <w:p>
            <w:pPr>
              <w:spacing w:after="0"/>
              <w:rPr>
                <w:sz w:val="1"/>
                <w:szCs w:val="1"/>
                <w:color w:val="auto"/>
              </w:rPr>
            </w:pPr>
          </w:p>
        </w:tc>
      </w:tr>
      <w:tr>
        <w:trPr>
          <w:trHeight w:val="208"/>
        </w:trPr>
        <w:tc>
          <w:tcPr>
            <w:tcW w:w="7960" w:type="dxa"/>
            <w:vAlign w:val="bottom"/>
          </w:tcPr>
          <w:p>
            <w:pPr>
              <w:ind w:left="120"/>
              <w:spacing w:after="0"/>
              <w:rPr>
                <w:sz w:val="20"/>
                <w:szCs w:val="20"/>
                <w:color w:val="auto"/>
              </w:rPr>
            </w:pPr>
            <w:r>
              <w:rPr>
                <w:rFonts w:ascii="Arial" w:cs="Arial" w:eastAsia="Arial" w:hAnsi="Arial"/>
                <w:sz w:val="16"/>
                <w:szCs w:val="16"/>
                <w:color w:val="auto"/>
              </w:rPr>
              <w:t>Flash</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37.0 %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gross margin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disaggregated revenue information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130"/>
        </w:trPr>
        <w:tc>
          <w:tcPr>
            <w:tcW w:w="8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360" w:type="dxa"/>
            <w:vAlign w:val="bottom"/>
          </w:tcPr>
          <w:p>
            <w:pPr>
              <w:spacing w:after="0"/>
              <w:rPr>
                <w:sz w:val="11"/>
                <w:szCs w:val="11"/>
                <w:color w:val="auto"/>
              </w:rPr>
            </w:pPr>
          </w:p>
        </w:tc>
        <w:tc>
          <w:tcPr>
            <w:tcW w:w="1080" w:type="dxa"/>
            <w:vAlign w:val="bottom"/>
          </w:tcPr>
          <w:p>
            <w:pPr>
              <w:jc w:val="right"/>
              <w:ind w:right="323"/>
              <w:spacing w:after="0" w:line="131" w:lineRule="exact"/>
              <w:rPr>
                <w:sz w:val="20"/>
                <w:szCs w:val="20"/>
                <w:color w:val="auto"/>
              </w:rPr>
            </w:pPr>
            <w:r>
              <w:rPr>
                <w:rFonts w:ascii="Arial" w:cs="Arial" w:eastAsia="Arial" w:hAnsi="Arial"/>
                <w:sz w:val="14"/>
                <w:szCs w:val="14"/>
                <w:b w:val="1"/>
                <w:bCs w:val="1"/>
                <w:color w:val="auto"/>
                <w:w w:val="95"/>
              </w:rPr>
              <w:t>October 2,</w:t>
            </w:r>
          </w:p>
        </w:tc>
      </w:tr>
      <w:tr>
        <w:trPr>
          <w:trHeight w:val="184"/>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76"/>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5"/>
                <w:szCs w:val="15"/>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End Market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Cloud</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8"/>
        </w:trPr>
        <w:tc>
          <w:tcPr>
            <w:tcW w:w="8280" w:type="dxa"/>
            <w:vAlign w:val="bottom"/>
          </w:tcPr>
          <w:p>
            <w:pPr>
              <w:ind w:left="140"/>
              <w:spacing w:after="0"/>
              <w:rPr>
                <w:sz w:val="20"/>
                <w:szCs w:val="20"/>
                <w:color w:val="auto"/>
              </w:rPr>
            </w:pPr>
            <w:r>
              <w:rPr>
                <w:rFonts w:ascii="Arial" w:cs="Arial" w:eastAsia="Arial" w:hAnsi="Arial"/>
                <w:sz w:val="16"/>
                <w:szCs w:val="16"/>
                <w:color w:val="auto"/>
              </w:rPr>
              <w:t>Americas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 Middle East and Africa</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08"/>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Asia</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Revenue</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Comparison of Three Months Ended October 1, 2021 to Three Months Ended October 2, 2020</w:t>
      </w:r>
    </w:p>
    <w:p>
      <w:pPr>
        <w:spacing w:after="0" w:line="241" w:lineRule="exact"/>
        <w:rPr>
          <w:sz w:val="20"/>
          <w:szCs w:val="20"/>
          <w:color w:val="auto"/>
        </w:rPr>
      </w:pPr>
    </w:p>
    <w:p>
      <w:pPr>
        <w:ind w:right="100" w:firstLine="316"/>
        <w:spacing w:after="0" w:line="253" w:lineRule="auto"/>
        <w:rPr>
          <w:sz w:val="20"/>
          <w:szCs w:val="20"/>
          <w:color w:val="auto"/>
        </w:rPr>
      </w:pPr>
      <w:r>
        <w:rPr>
          <w:rFonts w:ascii="Arial" w:cs="Arial" w:eastAsia="Arial" w:hAnsi="Arial"/>
          <w:sz w:val="18"/>
          <w:szCs w:val="18"/>
          <w:color w:val="auto"/>
        </w:rPr>
        <w:t>Consolidated net revenue increased 29% for the three months ended October 1, 2021 compared to the three months ended October 2, 2020, which reflects an increase in exabytes of HDD and flash sold as discussed below. The revenue increase driven by exabytes was partially offset by a decline in the average price per gigabyte of storage for both HDD and Flash as product mix shifted.</w:t>
      </w:r>
    </w:p>
    <w:p>
      <w:pPr>
        <w:spacing w:after="0" w:line="216" w:lineRule="exact"/>
        <w:rPr>
          <w:sz w:val="20"/>
          <w:szCs w:val="20"/>
          <w:color w:val="auto"/>
        </w:rPr>
      </w:pPr>
    </w:p>
    <w:p>
      <w:pPr>
        <w:ind w:right="60" w:firstLine="316"/>
        <w:spacing w:after="0" w:line="287" w:lineRule="auto"/>
        <w:rPr>
          <w:sz w:val="20"/>
          <w:szCs w:val="20"/>
          <w:color w:val="auto"/>
        </w:rPr>
      </w:pPr>
      <w:r>
        <w:rPr>
          <w:rFonts w:ascii="Arial" w:cs="Arial" w:eastAsia="Arial" w:hAnsi="Arial"/>
          <w:sz w:val="16"/>
          <w:szCs w:val="16"/>
          <w:color w:val="auto"/>
        </w:rPr>
        <w:t>HDD revenue increased 39% year over year, primarily driven by a 52% increase in exabytes sold. Higher volume was due to continued demand for our latest generation energy assisted drives among our public and private cloud customers. The strong demand in Cloud was partly offset by a decline in HDD exabytes sold in our Client and Consumer end markets due to pressure in the commercial channel related to component issues impacting our customers’ ability to ship product, greater component sourcing constraints within our own operations and uneven geographic demand due to COVID lockdowns. The revenue increase driven by exabytes was partially offset by a decline in the average price per gigabyte as noted above.</w:t>
      </w:r>
    </w:p>
    <w:p>
      <w:pPr>
        <w:spacing w:after="0" w:line="192" w:lineRule="exact"/>
        <w:rPr>
          <w:sz w:val="20"/>
          <w:szCs w:val="20"/>
          <w:color w:val="auto"/>
        </w:rPr>
      </w:pPr>
    </w:p>
    <w:p>
      <w:pPr>
        <w:ind w:right="20" w:firstLine="316"/>
        <w:spacing w:after="0" w:line="292" w:lineRule="auto"/>
        <w:rPr>
          <w:sz w:val="20"/>
          <w:szCs w:val="20"/>
          <w:color w:val="auto"/>
        </w:rPr>
      </w:pPr>
      <w:r>
        <w:rPr>
          <w:rFonts w:ascii="Arial" w:cs="Arial" w:eastAsia="Arial" w:hAnsi="Arial"/>
          <w:sz w:val="16"/>
          <w:szCs w:val="16"/>
          <w:color w:val="auto"/>
        </w:rPr>
        <w:t>Flash revenue increased 20% year over year, primarily driven by a 30% increase in exabytes sold. The growth in volume was due to strong demand in Cloud for our latest generation of enterprise SSD products and the ramp of new 5G-based mobile phones incorporating our latest BiCS5 flash solutions. Higher volume was also driven by strong demand in gaming along with a growing brand recognition of WD_Black based products. The revenue increase driven by exabytes was partially offset by a decline in the average price per gigabyte as noted above.</w:t>
      </w:r>
    </w:p>
    <w:p>
      <w:pPr>
        <w:spacing w:after="0" w:line="186"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The increase in Cloud revenue compared to the prior year was led by growth in both capacity enterprise hard drives and enterprise SSDs as we ramped sales of latest generation products after another successful quarter of qualifications with customers. In Client, we experienced growth–specifically in mobile, gaming, automotive, IOT and industrial applications. Our strength in this end market was partially offset by pressure in desktop and notebook hard drives due to supply disruptions at our customers and within our own operations. In Consumer, revenue growth was driven by strong demand in gaming along with a growing brand recognition of WD_Black. In the current year quarter, we experienced some supply disruptions, in addition to uneven geographic demand due to COVID lockdowns, which tempered revenue growth in each of our end-markets. However, we expect these impacts to be transitory.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660" w:firstLine="316"/>
        <w:spacing w:after="0" w:line="363" w:lineRule="auto"/>
        <w:rPr>
          <w:sz w:val="20"/>
          <w:szCs w:val="20"/>
          <w:color w:val="auto"/>
        </w:rPr>
      </w:pPr>
      <w:r>
        <w:rPr>
          <w:rFonts w:ascii="Arial" w:cs="Arial" w:eastAsia="Arial" w:hAnsi="Arial"/>
          <w:sz w:val="15"/>
          <w:szCs w:val="15"/>
          <w:color w:val="auto"/>
        </w:rPr>
        <w:t>The changes in net revenue by geography reflect an increase in the Americas driven by higher sales of HDD capacity enterprise products to cloud customers in the region and an increase in Asia primarily driven by our increased sales of Flash mobility products to manufacturers in the region.</w:t>
      </w:r>
    </w:p>
    <w:p>
      <w:pPr>
        <w:spacing w:after="0" w:line="138" w:lineRule="exact"/>
        <w:rPr>
          <w:sz w:val="20"/>
          <w:szCs w:val="20"/>
          <w:color w:val="auto"/>
        </w:rPr>
      </w:pPr>
    </w:p>
    <w:p>
      <w:pPr>
        <w:ind w:right="180" w:firstLine="316"/>
        <w:spacing w:after="0" w:line="325" w:lineRule="auto"/>
        <w:rPr>
          <w:sz w:val="20"/>
          <w:szCs w:val="20"/>
          <w:color w:val="auto"/>
        </w:rPr>
      </w:pPr>
      <w:r>
        <w:rPr>
          <w:rFonts w:ascii="Arial" w:cs="Arial" w:eastAsia="Arial" w:hAnsi="Arial"/>
          <w:sz w:val="16"/>
          <w:szCs w:val="16"/>
          <w:color w:val="auto"/>
        </w:rPr>
        <w:t>Our top 10 customers accounted for 43% and 44% of our net revenue for the three months ended October 1, 2021 and October 2, 2020, respectively. For the three months ended October 1, 2021 and October 2, 2020, no single customer accounted for 10% or more of our net revenue.</w:t>
      </w:r>
    </w:p>
    <w:p>
      <w:pPr>
        <w:spacing w:after="0" w:line="161" w:lineRule="exact"/>
        <w:rPr>
          <w:sz w:val="20"/>
          <w:szCs w:val="20"/>
          <w:color w:val="auto"/>
        </w:rPr>
      </w:pPr>
    </w:p>
    <w:p>
      <w:pPr>
        <w:ind w:right="180" w:firstLine="316"/>
        <w:spacing w:after="0" w:line="285"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both the three months ended October 1, 2021 and October 2, 2020, the programs represented 18% of gross revenues, and adjustments due to changes in accruals for these programs have generally averaged less than 1% of gross revenue year over year.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93"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We believe future revenues will be supported by the introduction of our new 20TB HDD, which we are moving forward in qualifications with public and private cloud customers. Within Cloud, our enterprise SSDs are now qualified with three cloud titans and we have made progress on the qualification process with public and private cloud customers and distribution channels. We expect these qualifications to drive accelerated growth in 2022 as customers begin to deploy these products into their networks. We also expect the migration to 5G, combined with a continued increase in the amount of storage per phone, to drive revenue growth in our Client end market in the near term. In Consumer, we also expect to see near term revenue growth due to continued growth in the brand recognition of our WD_Black-based products in the channel and retail.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Gross Profit and Gross Margin</w:t>
      </w:r>
    </w:p>
    <w:p>
      <w:pPr>
        <w:spacing w:after="0" w:line="241" w:lineRule="exact"/>
        <w:rPr>
          <w:sz w:val="20"/>
          <w:szCs w:val="20"/>
          <w:color w:val="auto"/>
        </w:rPr>
      </w:pPr>
    </w:p>
    <w:p>
      <w:pPr>
        <w:ind w:right="160" w:firstLine="316"/>
        <w:spacing w:after="0" w:line="253" w:lineRule="auto"/>
        <w:rPr>
          <w:sz w:val="20"/>
          <w:szCs w:val="20"/>
          <w:color w:val="auto"/>
        </w:rPr>
      </w:pPr>
      <w:r>
        <w:rPr>
          <w:rFonts w:ascii="Arial" w:cs="Arial" w:eastAsia="Arial" w:hAnsi="Arial"/>
          <w:sz w:val="18"/>
          <w:szCs w:val="18"/>
          <w:color w:val="auto"/>
        </w:rPr>
        <w:t>Consolidated gross profit increased by $761 million for the three months ended October 1, 2021 from the comparable period in the prior year, which reflects the increase in revenue in both HDD and Flash, as well as a $106 million decrease in charges in the current period related to amortization expense on acquired intangible assets, some of which became fully amortized.</w:t>
      </w:r>
    </w:p>
    <w:p>
      <w:pPr>
        <w:spacing w:after="0" w:line="216" w:lineRule="exact"/>
        <w:rPr>
          <w:sz w:val="20"/>
          <w:szCs w:val="20"/>
          <w:color w:val="auto"/>
        </w:rPr>
      </w:pPr>
    </w:p>
    <w:p>
      <w:pPr>
        <w:ind w:right="200" w:firstLine="316"/>
        <w:spacing w:after="0" w:line="250" w:lineRule="auto"/>
        <w:rPr>
          <w:sz w:val="20"/>
          <w:szCs w:val="20"/>
          <w:color w:val="auto"/>
        </w:rPr>
      </w:pPr>
      <w:r>
        <w:rPr>
          <w:rFonts w:ascii="Arial" w:cs="Arial" w:eastAsia="Arial" w:hAnsi="Arial"/>
          <w:sz w:val="18"/>
          <w:szCs w:val="18"/>
          <w:color w:val="auto"/>
        </w:rPr>
        <w:t>Consolidated gross margin increased 10.0 percentage points for the three months ended October 1, 2021 from the comparable period in the prior year, which reflects higher gross margin in both HDD and Flash and the lower charges for amortization of acquired intangible assets noted above. HDD and Flash gross margin increased by 4.7 and 10.6 percentage points year over year, respectively, reflecting cost reductions as we ramped production on higher capacity drives.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Expenses</w:t>
      </w:r>
    </w:p>
    <w:p>
      <w:pPr>
        <w:spacing w:after="0" w:line="241" w:lineRule="exact"/>
        <w:rPr>
          <w:sz w:val="20"/>
          <w:szCs w:val="20"/>
          <w:color w:val="auto"/>
        </w:rPr>
      </w:pPr>
    </w:p>
    <w:p>
      <w:pPr>
        <w:jc w:val="both"/>
        <w:ind w:right="120" w:firstLine="316"/>
        <w:spacing w:after="0" w:line="253" w:lineRule="auto"/>
        <w:rPr>
          <w:sz w:val="20"/>
          <w:szCs w:val="20"/>
          <w:color w:val="auto"/>
        </w:rPr>
      </w:pPr>
      <w:r>
        <w:rPr>
          <w:rFonts w:ascii="Arial" w:cs="Arial" w:eastAsia="Arial" w:hAnsi="Arial"/>
          <w:sz w:val="18"/>
          <w:szCs w:val="18"/>
          <w:color w:val="auto"/>
        </w:rPr>
        <w:t>Research and development (“R&amp;D”) expense increased $23 million for the three months ended October 1, 2021 from the comparable period in the prior year. The increase was driven by higher compensation costs due to merit increases and increased headcount, as well as higher variable compensation cost due to improved earnings.</w:t>
      </w:r>
    </w:p>
    <w:p>
      <w:pPr>
        <w:spacing w:after="0" w:line="216" w:lineRule="exact"/>
        <w:rPr>
          <w:sz w:val="20"/>
          <w:szCs w:val="20"/>
          <w:color w:val="auto"/>
        </w:rPr>
      </w:pPr>
    </w:p>
    <w:p>
      <w:pPr>
        <w:ind w:right="180" w:firstLine="316"/>
        <w:spacing w:after="0" w:line="300" w:lineRule="auto"/>
        <w:rPr>
          <w:sz w:val="20"/>
          <w:szCs w:val="20"/>
          <w:color w:val="auto"/>
        </w:rPr>
      </w:pPr>
      <w:r>
        <w:rPr>
          <w:rFonts w:ascii="Arial" w:cs="Arial" w:eastAsia="Arial" w:hAnsi="Arial"/>
          <w:sz w:val="16"/>
          <w:szCs w:val="16"/>
          <w:color w:val="auto"/>
        </w:rPr>
        <w:t>Selling, general and administrative (“SG&amp;A”) expense increased $35 million for the three months ended October 1, 2021 from the comparable period in the prior year. The increase was driven by approximately $20 million for professional services and approximately $10 million of higher compensation costs due to merit increases and increased headcount, as well as higher variable compensation cost due to improved earnings.</w:t>
      </w:r>
    </w:p>
    <w:p>
      <w:pPr>
        <w:spacing w:after="0" w:line="181" w:lineRule="exact"/>
        <w:rPr>
          <w:sz w:val="20"/>
          <w:szCs w:val="20"/>
          <w:color w:val="auto"/>
        </w:rPr>
      </w:pPr>
    </w:p>
    <w:p>
      <w:pPr>
        <w:ind w:firstLine="316"/>
        <w:spacing w:after="0" w:line="236" w:lineRule="auto"/>
        <w:rPr>
          <w:sz w:val="20"/>
          <w:szCs w:val="20"/>
          <w:color w:val="auto"/>
        </w:rPr>
      </w:pPr>
      <w:r>
        <w:rPr>
          <w:rFonts w:ascii="Arial" w:cs="Arial" w:eastAsia="Arial" w:hAnsi="Arial"/>
          <w:sz w:val="18"/>
          <w:szCs w:val="18"/>
          <w:color w:val="auto"/>
        </w:rPr>
        <w:t xml:space="preserve">Employee termination, asset impairment and other charges decreased from the comparable period in the prior year as some of the actions initiated in the prior year have been substantially completed. For information regarding Employee termination, asset impairment and other charges, see Part I, Item 1, Note 15, </w:t>
      </w:r>
      <w:r>
        <w:rPr>
          <w:rFonts w:ascii="Arial" w:cs="Arial" w:eastAsia="Arial" w:hAnsi="Arial"/>
          <w:sz w:val="18"/>
          <w:szCs w:val="18"/>
          <w:i w:val="1"/>
          <w:iCs w:val="1"/>
          <w:color w:val="auto"/>
        </w:rPr>
        <w:t>Employee Termination, Asset Impairment and Other Charges</w:t>
      </w:r>
      <w:r>
        <w:rPr>
          <w:rFonts w:ascii="Arial" w:cs="Arial" w:eastAsia="Arial" w:hAnsi="Arial"/>
          <w:sz w:val="18"/>
          <w:szCs w:val="18"/>
          <w:color w:val="auto"/>
        </w:rPr>
        <w:t>, of the Notes to Condensed Consolidated Financial Statements included in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and Other Income (Expense)</w:t>
      </w:r>
    </w:p>
    <w:p>
      <w:pPr>
        <w:spacing w:after="0" w:line="241" w:lineRule="exact"/>
        <w:rPr>
          <w:sz w:val="20"/>
          <w:szCs w:val="20"/>
          <w:color w:val="auto"/>
        </w:rPr>
      </w:pPr>
    </w:p>
    <w:p>
      <w:pPr>
        <w:ind w:right="240" w:firstLine="316"/>
        <w:spacing w:after="0" w:line="325" w:lineRule="auto"/>
        <w:rPr>
          <w:sz w:val="20"/>
          <w:szCs w:val="20"/>
          <w:color w:val="auto"/>
        </w:rPr>
      </w:pPr>
      <w:r>
        <w:rPr>
          <w:rFonts w:ascii="Arial" w:cs="Arial" w:eastAsia="Arial" w:hAnsi="Arial"/>
          <w:sz w:val="16"/>
          <w:szCs w:val="16"/>
          <w:color w:val="auto"/>
        </w:rPr>
        <w:t>Total interest and other expense, net for the three months ended October 1, 2021 was relatively flat with the prior year, reflecting lower interest expense resulting from the pay-down of principal on our debt, partially offset by a lower impact from foreign exchange rates and other gains.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1" w:lineRule="exact"/>
        <w:rPr>
          <w:sz w:val="20"/>
          <w:szCs w:val="20"/>
          <w:color w:val="auto"/>
        </w:rPr>
      </w:pPr>
    </w:p>
    <w:p>
      <w:pPr>
        <w:ind w:right="80" w:firstLine="316"/>
        <w:spacing w:after="0" w:line="248" w:lineRule="auto"/>
        <w:rPr>
          <w:sz w:val="20"/>
          <w:szCs w:val="20"/>
          <w:color w:val="auto"/>
        </w:rPr>
      </w:pPr>
      <w:r>
        <w:rPr>
          <w:rFonts w:ascii="Arial" w:cs="Arial" w:eastAsia="Arial" w:hAnsi="Arial"/>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Internal Revenue Service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income tax information from our Condensed Consolidated Statements of Operations by dollar and effective tax rate: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30"/>
        </w:trPr>
        <w:tc>
          <w:tcPr>
            <w:tcW w:w="6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right"/>
              <w:ind w:right="4"/>
              <w:spacing w:after="0" w:line="131" w:lineRule="exact"/>
              <w:rPr>
                <w:sz w:val="20"/>
                <w:szCs w:val="20"/>
                <w:color w:val="auto"/>
              </w:rPr>
            </w:pPr>
            <w:r>
              <w:rPr>
                <w:rFonts w:ascii="Arial" w:cs="Arial" w:eastAsia="Arial" w:hAnsi="Arial"/>
                <w:sz w:val="14"/>
                <w:szCs w:val="14"/>
                <w:b w:val="1"/>
                <w:bCs w:val="1"/>
                <w:color w:val="auto"/>
              </w:rPr>
              <w:t>October 1,</w:t>
            </w:r>
          </w:p>
        </w:tc>
        <w:tc>
          <w:tcPr>
            <w:tcW w:w="1400" w:type="dxa"/>
            <w:vAlign w:val="bottom"/>
          </w:tcPr>
          <w:p>
            <w:pPr>
              <w:spacing w:after="0"/>
              <w:rPr>
                <w:sz w:val="11"/>
                <w:szCs w:val="11"/>
                <w:color w:val="auto"/>
              </w:rPr>
            </w:pPr>
          </w:p>
        </w:tc>
        <w:tc>
          <w:tcPr>
            <w:tcW w:w="940" w:type="dxa"/>
            <w:vAlign w:val="bottom"/>
          </w:tcPr>
          <w:p>
            <w:pPr>
              <w:jc w:val="right"/>
              <w:ind w:right="164"/>
              <w:spacing w:after="0" w:line="131" w:lineRule="exact"/>
              <w:rPr>
                <w:sz w:val="20"/>
                <w:szCs w:val="20"/>
                <w:color w:val="auto"/>
              </w:rPr>
            </w:pPr>
            <w:r>
              <w:rPr>
                <w:rFonts w:ascii="Arial" w:cs="Arial" w:eastAsia="Arial" w:hAnsi="Arial"/>
                <w:sz w:val="14"/>
                <w:szCs w:val="14"/>
                <w:b w:val="1"/>
                <w:bCs w:val="1"/>
                <w:color w:val="auto"/>
                <w:w w:val="98"/>
              </w:rPr>
              <w:t>October 2,</w:t>
            </w:r>
          </w:p>
        </w:tc>
        <w:tc>
          <w:tcPr>
            <w:tcW w:w="320" w:type="dxa"/>
            <w:vAlign w:val="bottom"/>
          </w:tcPr>
          <w:p>
            <w:pPr>
              <w:spacing w:after="0"/>
              <w:rPr>
                <w:sz w:val="11"/>
                <w:szCs w:val="11"/>
                <w:color w:val="auto"/>
              </w:rPr>
            </w:pPr>
          </w:p>
        </w:tc>
      </w:tr>
      <w:tr>
        <w:trPr>
          <w:trHeight w:val="184"/>
        </w:trPr>
        <w:tc>
          <w:tcPr>
            <w:tcW w:w="6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r>
      <w:tr>
        <w:trPr>
          <w:trHeight w:val="202"/>
        </w:trPr>
        <w:tc>
          <w:tcPr>
            <w:tcW w:w="6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5"/>
              </w:rPr>
              <w:t>($ in millions)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4"/>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before taxes</w:t>
            </w: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4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w:t>
            </w:r>
          </w:p>
        </w:tc>
        <w:tc>
          <w:tcPr>
            <w:tcW w:w="320" w:type="dxa"/>
            <w:vAlign w:val="bottom"/>
            <w:shd w:val="clear" w:color="auto" w:fill="CCEEFF"/>
          </w:tcPr>
          <w:p>
            <w:pPr>
              <w:spacing w:after="0"/>
              <w:rPr>
                <w:sz w:val="18"/>
                <w:szCs w:val="18"/>
                <w:color w:val="auto"/>
              </w:rPr>
            </w:pPr>
          </w:p>
        </w:tc>
      </w:tr>
      <w:tr>
        <w:trPr>
          <w:trHeight w:val="208"/>
        </w:trPr>
        <w:tc>
          <w:tcPr>
            <w:tcW w:w="68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140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8"/>
                <w:szCs w:val="18"/>
                <w:color w:val="auto"/>
              </w:rPr>
            </w:pPr>
          </w:p>
        </w:tc>
      </w:tr>
      <w:tr>
        <w:trPr>
          <w:trHeight w:val="214"/>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tax rate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(1,900)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7"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The primary drivers of the difference between the effective tax rate for the three months ended October 1, 2021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months ended October 1, 2021 includes the discrete effect of an increase to unrecognized tax benefits of $16 million as a result of ongoing discussions with various taxing authorities.</w:t>
      </w:r>
    </w:p>
    <w:p>
      <w:pPr>
        <w:spacing w:after="0" w:line="219"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The primary drivers of the difference between the effective tax rate for the three months ended October 2, 2020 and the U.S. Federal statutory rate of 21% are the relative mix of earnings and losses by jurisdiction, the deduction for foreign derived intangible income, credits, and tax holidays in Malaysia, Philippines and Thailand. In addition, the effective tax rate for the three months ended October 2, 2020 includes the discrete effects of net tax deficiencies from shortfalls of $11 million related to the vesting of stock-based awards and additional tax expense of $10 million from the re-measurement of purchase accounting deferred tax liabilities due to restructuring activities. The discrete items had no impact on the amount of income taxes paid.</w:t>
      </w:r>
    </w:p>
    <w:p>
      <w:pPr>
        <w:spacing w:after="0" w:line="192" w:lineRule="exact"/>
        <w:rPr>
          <w:sz w:val="20"/>
          <w:szCs w:val="20"/>
          <w:color w:val="auto"/>
        </w:rPr>
      </w:pPr>
    </w:p>
    <w:p>
      <w:pPr>
        <w:ind w:right="220" w:firstLine="316"/>
        <w:spacing w:after="0" w:line="325" w:lineRule="auto"/>
        <w:rPr>
          <w:sz w:val="20"/>
          <w:szCs w:val="20"/>
          <w:color w:val="auto"/>
        </w:rPr>
      </w:pPr>
      <w:r>
        <w:rPr>
          <w:rFonts w:ascii="Arial" w:cs="Arial" w:eastAsia="Arial" w:hAnsi="Arial"/>
          <w:sz w:val="16"/>
          <w:szCs w:val="16"/>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61" w:lineRule="exact"/>
        <w:rPr>
          <w:sz w:val="20"/>
          <w:szCs w:val="20"/>
          <w:color w:val="auto"/>
        </w:rPr>
      </w:pPr>
    </w:p>
    <w:p>
      <w:pPr>
        <w:ind w:right="840" w:firstLine="316"/>
        <w:spacing w:after="0" w:line="262" w:lineRule="auto"/>
        <w:rPr>
          <w:sz w:val="20"/>
          <w:szCs w:val="20"/>
          <w:color w:val="auto"/>
        </w:rPr>
      </w:pPr>
      <w:r>
        <w:rPr>
          <w:rFonts w:ascii="Arial" w:cs="Arial" w:eastAsia="Arial" w:hAnsi="Arial"/>
          <w:sz w:val="18"/>
          <w:szCs w:val="18"/>
          <w:color w:val="auto"/>
        </w:rPr>
        <w:t xml:space="preserve">For additional information regarding Income tax expense (benefit), see Part I, Item 1,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r>
      <w:tr>
        <w:trPr>
          <w:trHeight w:val="130"/>
        </w:trPr>
        <w:tc>
          <w:tcPr>
            <w:tcW w:w="774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October 2,</w:t>
            </w:r>
          </w:p>
        </w:tc>
        <w:tc>
          <w:tcPr>
            <w:tcW w:w="380" w:type="dxa"/>
            <w:vAlign w:val="bottom"/>
          </w:tcPr>
          <w:p>
            <w:pPr>
              <w:spacing w:after="0"/>
              <w:rPr>
                <w:sz w:val="11"/>
                <w:szCs w:val="11"/>
                <w:color w:val="auto"/>
              </w:rPr>
            </w:pPr>
          </w:p>
        </w:tc>
      </w:tr>
      <w:tr>
        <w:trPr>
          <w:trHeight w:val="184"/>
        </w:trPr>
        <w:tc>
          <w:tcPr>
            <w:tcW w:w="7740" w:type="dxa"/>
            <w:vAlign w:val="bottom"/>
          </w:tcPr>
          <w:p>
            <w:pPr>
              <w:spacing w:after="0"/>
              <w:rPr>
                <w:sz w:val="15"/>
                <w:szCs w:val="15"/>
                <w:color w:val="auto"/>
              </w:rPr>
            </w:pPr>
          </w:p>
        </w:tc>
        <w:tc>
          <w:tcPr>
            <w:tcW w:w="132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r>
      <w:tr>
        <w:trPr>
          <w:trHeight w:val="176"/>
        </w:trPr>
        <w:tc>
          <w:tcPr>
            <w:tcW w:w="7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gridSpan w:val="3"/>
          </w:tcPr>
          <w:p>
            <w:pPr>
              <w:jc w:val="right"/>
              <w:ind w:right="785"/>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5"/>
                <w:szCs w:val="15"/>
                <w:color w:val="auto"/>
              </w:rPr>
            </w:pPr>
          </w:p>
        </w:tc>
      </w:tr>
      <w:tr>
        <w:trPr>
          <w:trHeight w:val="214"/>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08"/>
        </w:trPr>
        <w:tc>
          <w:tcPr>
            <w:tcW w:w="774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1320" w:type="dxa"/>
            <w:vAlign w:val="bottom"/>
          </w:tcPr>
          <w:p>
            <w:pPr>
              <w:jc w:val="right"/>
              <w:ind w:right="826"/>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3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4"/>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(312)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(166)</w:t>
            </w:r>
          </w:p>
        </w:tc>
      </w:tr>
      <w:tr>
        <w:trPr>
          <w:trHeight w:val="208"/>
        </w:trPr>
        <w:tc>
          <w:tcPr>
            <w:tcW w:w="774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1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5"/>
              </w:rPr>
              <w:t>(289)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0"/>
              </w:rPr>
              <w:t>(253)</w:t>
            </w:r>
          </w:p>
        </w:tc>
      </w:tr>
      <w:tr>
        <w:trPr>
          <w:trHeight w:val="211"/>
        </w:trPr>
        <w:tc>
          <w:tcPr>
            <w:tcW w:w="7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7740" w:type="dxa"/>
            <w:vAlign w:val="bottom"/>
          </w:tcPr>
          <w:p>
            <w:pPr>
              <w:ind w:left="340"/>
              <w:spacing w:after="0"/>
              <w:rPr>
                <w:sz w:val="20"/>
                <w:szCs w:val="20"/>
                <w:color w:val="auto"/>
              </w:rPr>
            </w:pPr>
            <w:r>
              <w:rPr>
                <w:rFonts w:ascii="Arial" w:cs="Arial" w:eastAsia="Arial" w:hAnsi="Arial"/>
                <w:sz w:val="16"/>
                <w:szCs w:val="16"/>
                <w:color w:val="auto"/>
              </w:rPr>
              <w:t>Net decrease in cash and cash equivalents</w:t>
            </w:r>
          </w:p>
        </w:tc>
        <w:tc>
          <w:tcPr>
            <w:tcW w:w="132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7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firstLine="316"/>
        <w:spacing w:after="0" w:line="300" w:lineRule="auto"/>
        <w:rPr>
          <w:sz w:val="20"/>
          <w:szCs w:val="20"/>
          <w:color w:val="auto"/>
        </w:rPr>
      </w:pPr>
      <w:r>
        <w:rPr>
          <w:rFonts w:ascii="Arial" w:cs="Arial" w:eastAsia="Arial" w:hAnsi="Arial"/>
          <w:sz w:val="16"/>
          <w:szCs w:val="16"/>
          <w:color w:val="auto"/>
        </w:rPr>
        <w:t xml:space="preserve">We believe our cash, cash equivalents and cash generated from operations as well as our available credit facilities will be sufficient to meet our working capital, debt and capital expenditure needs for at least the next twelve months. Our ability to sustain our working capital position is subject to a number of risks that we discuss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Annual Report on Form 10-K for the fiscal year ended July 2, 2021.</w:t>
      </w:r>
    </w:p>
    <w:p>
      <w:pPr>
        <w:spacing w:after="0" w:line="181" w:lineRule="exact"/>
        <w:rPr>
          <w:sz w:val="20"/>
          <w:szCs w:val="20"/>
          <w:color w:val="auto"/>
        </w:rPr>
      </w:pPr>
    </w:p>
    <w:p>
      <w:pPr>
        <w:ind w:right="40" w:firstLine="316"/>
        <w:spacing w:after="0" w:line="249" w:lineRule="auto"/>
        <w:rPr>
          <w:sz w:val="20"/>
          <w:szCs w:val="20"/>
          <w:color w:val="auto"/>
        </w:rPr>
      </w:pPr>
      <w:r>
        <w:rPr>
          <w:rFonts w:ascii="Arial" w:cs="Arial" w:eastAsia="Arial" w:hAnsi="Arial"/>
          <w:sz w:val="18"/>
          <w:szCs w:val="18"/>
          <w:color w:val="auto"/>
        </w:rPr>
        <w:t>We have also filed a shelf registration statement (the “Shelf Registration Statement”)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9" w:lineRule="exact"/>
        <w:rPr>
          <w:sz w:val="20"/>
          <w:szCs w:val="20"/>
          <w:color w:val="auto"/>
        </w:rPr>
      </w:pPr>
    </w:p>
    <w:p>
      <w:pPr>
        <w:ind w:right="200" w:firstLine="316"/>
        <w:spacing w:after="0" w:line="287" w:lineRule="auto"/>
        <w:rPr>
          <w:sz w:val="20"/>
          <w:szCs w:val="20"/>
          <w:color w:val="auto"/>
        </w:rPr>
      </w:pPr>
      <w:r>
        <w:rPr>
          <w:rFonts w:ascii="Arial" w:cs="Arial" w:eastAsia="Arial" w:hAnsi="Arial"/>
          <w:sz w:val="16"/>
          <w:szCs w:val="16"/>
          <w:color w:val="auto"/>
        </w:rPr>
        <w:t>During fiscal 2022, we expect expenditures for property, plant and equipment for our company plus our portion of the capital expenditures by our Flash Ventures joint venture with Kioxia for its operations to aggregate approximately $3.1 billion. After consideration of the Flash Ventures’ lease financing of its capital expenditures and net operating cash flow, we expect net cash used for our purchases of property, plant and equipment and net activity in notes receivable relating to Flash Ventures to be a cash outflow of approximately $2.0 billion during fiscal 2022. The total expected cash to be used could vary depending on the timing and completion of various capital projects and the availability, timing and terms of related financing</w:t>
      </w:r>
      <w:r>
        <w:rPr>
          <w:rFonts w:ascii="Arial" w:cs="Arial" w:eastAsia="Arial" w:hAnsi="Arial"/>
          <w:sz w:val="16"/>
          <w:szCs w:val="16"/>
          <w:color w:val="7030A0"/>
        </w:rPr>
        <w:t>.</w:t>
      </w:r>
    </w:p>
    <w:p>
      <w:pPr>
        <w:spacing w:after="0" w:line="192" w:lineRule="exact"/>
        <w:rPr>
          <w:sz w:val="20"/>
          <w:szCs w:val="20"/>
          <w:color w:val="auto"/>
        </w:rPr>
      </w:pPr>
    </w:p>
    <w:p>
      <w:pPr>
        <w:ind w:right="600" w:firstLine="316"/>
        <w:spacing w:after="0" w:line="325" w:lineRule="auto"/>
        <w:rPr>
          <w:sz w:val="20"/>
          <w:szCs w:val="20"/>
          <w:color w:val="auto"/>
        </w:rPr>
      </w:pPr>
      <w:r>
        <w:rPr>
          <w:rFonts w:ascii="Arial" w:cs="Arial" w:eastAsia="Arial" w:hAnsi="Arial"/>
          <w:sz w:val="16"/>
          <w:szCs w:val="16"/>
          <w:color w:val="auto"/>
        </w:rPr>
        <w:t>A total of $2.41 billion and $1.97 billion of our Cash and cash equivalents was held outside of the U.S. as of October 1, 2021 and October 2, 2020, respectively. There are no material tax consequences that were not previously accrued for on the repatriation of this cash.</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Operating Activities</w:t>
      </w:r>
    </w:p>
    <w:p>
      <w:pPr>
        <w:spacing w:after="0" w:line="241" w:lineRule="exact"/>
        <w:rPr>
          <w:sz w:val="20"/>
          <w:szCs w:val="20"/>
          <w:color w:val="auto"/>
        </w:rPr>
      </w:pPr>
    </w:p>
    <w:p>
      <w:pPr>
        <w:ind w:right="100" w:firstLine="316"/>
        <w:spacing w:after="0" w:line="281" w:lineRule="auto"/>
        <w:rPr>
          <w:sz w:val="20"/>
          <w:szCs w:val="20"/>
          <w:color w:val="auto"/>
        </w:rPr>
      </w:pPr>
      <w:r>
        <w:rPr>
          <w:rFonts w:ascii="Arial" w:cs="Arial" w:eastAsia="Arial" w:hAnsi="Arial"/>
          <w:sz w:val="16"/>
          <w:szCs w:val="16"/>
          <w:color w:val="auto"/>
        </w:rPr>
        <w:t>Cash flow from operating activities primarily consists of net income, adjusted for non-cash charges, plus or minus changes in operating assets and liabilities. This represents our principal source of cash. Net cash used for changes in operating assets and liabilities was $440 million for the three months ended October 1, 2021, as compared to $43 million of net cash used for changes in operating assets and liabilities for the three months ended October 2, 2020. Changes in our operating assets and liabilities are largely affected by our working capital requirements, which are dependent on the effective management of our cash conversion cycle as well as timing of payments for taxes. Our cash conversion cycle measures how quickly we can convert our products into cash through sales. The cash conversion cycles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960" w:type="dxa"/>
            <w:vAlign w:val="bottom"/>
            <w:tcBorders>
              <w:bottom w:val="single" w:sz="8" w:color="auto"/>
            </w:tcBorders>
            <w:gridSpan w:val="4"/>
          </w:tcPr>
          <w:p>
            <w:pPr>
              <w:jc w:val="center"/>
              <w:ind w:left="245"/>
              <w:spacing w:after="0"/>
              <w:rPr>
                <w:sz w:val="20"/>
                <w:szCs w:val="20"/>
                <w:color w:val="auto"/>
              </w:rPr>
            </w:pPr>
            <w:r>
              <w:rPr>
                <w:rFonts w:ascii="Arial" w:cs="Arial" w:eastAsia="Arial" w:hAnsi="Arial"/>
                <w:sz w:val="14"/>
                <w:szCs w:val="14"/>
                <w:b w:val="1"/>
                <w:bCs w:val="1"/>
                <w:color w:val="auto"/>
                <w:w w:val="92"/>
              </w:rPr>
              <w:t>Three Months Ended</w:t>
            </w:r>
          </w:p>
        </w:tc>
      </w:tr>
      <w:tr>
        <w:trPr>
          <w:trHeight w:val="130"/>
        </w:trPr>
        <w:tc>
          <w:tcPr>
            <w:tcW w:w="8280" w:type="dxa"/>
            <w:vAlign w:val="bottom"/>
          </w:tcPr>
          <w:p>
            <w:pPr>
              <w:spacing w:after="0"/>
              <w:rPr>
                <w:sz w:val="11"/>
                <w:szCs w:val="11"/>
                <w:color w:val="auto"/>
              </w:rPr>
            </w:pPr>
          </w:p>
        </w:tc>
        <w:tc>
          <w:tcPr>
            <w:tcW w:w="1980" w:type="dxa"/>
            <w:vAlign w:val="bottom"/>
            <w:gridSpan w:val="3"/>
          </w:tcPr>
          <w:p>
            <w:pPr>
              <w:ind w:left="540"/>
              <w:spacing w:after="0" w:line="131" w:lineRule="exact"/>
              <w:rPr>
                <w:sz w:val="20"/>
                <w:szCs w:val="20"/>
                <w:color w:val="auto"/>
              </w:rPr>
            </w:pPr>
            <w:r>
              <w:rPr>
                <w:rFonts w:ascii="Arial" w:cs="Arial" w:eastAsia="Arial" w:hAnsi="Arial"/>
                <w:sz w:val="14"/>
                <w:szCs w:val="14"/>
                <w:b w:val="1"/>
                <w:bCs w:val="1"/>
                <w:color w:val="auto"/>
              </w:rPr>
              <w:t>October 1,</w:t>
            </w:r>
          </w:p>
        </w:tc>
        <w:tc>
          <w:tcPr>
            <w:tcW w:w="980" w:type="dxa"/>
            <w:vAlign w:val="bottom"/>
          </w:tcPr>
          <w:p>
            <w:pPr>
              <w:jc w:val="right"/>
              <w:ind w:right="164"/>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4"/>
        </w:trPr>
        <w:tc>
          <w:tcPr>
            <w:tcW w:w="8280" w:type="dxa"/>
            <w:vAlign w:val="bottom"/>
          </w:tcPr>
          <w:p>
            <w:pPr>
              <w:spacing w:after="0"/>
              <w:rPr>
                <w:sz w:val="15"/>
                <w:szCs w:val="15"/>
                <w:color w:val="auto"/>
              </w:rPr>
            </w:pPr>
          </w:p>
        </w:tc>
        <w:tc>
          <w:tcPr>
            <w:tcW w:w="14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176"/>
        </w:trPr>
        <w:tc>
          <w:tcPr>
            <w:tcW w:w="8280" w:type="dxa"/>
            <w:vAlign w:val="bottom"/>
          </w:tcPr>
          <w:p>
            <w:pPr>
              <w:spacing w:after="0"/>
              <w:rPr>
                <w:sz w:val="15"/>
                <w:szCs w:val="15"/>
                <w:color w:val="auto"/>
              </w:rPr>
            </w:pPr>
          </w:p>
        </w:tc>
        <w:tc>
          <w:tcPr>
            <w:tcW w:w="1980" w:type="dxa"/>
            <w:vAlign w:val="bottom"/>
            <w:gridSpan w:val="3"/>
          </w:tcPr>
          <w:p>
            <w:pPr>
              <w:jc w:val="center"/>
              <w:ind w:left="1205"/>
              <w:spacing w:after="0"/>
              <w:rPr>
                <w:sz w:val="20"/>
                <w:szCs w:val="20"/>
                <w:color w:val="auto"/>
              </w:rPr>
            </w:pPr>
            <w:r>
              <w:rPr>
                <w:rFonts w:ascii="Arial" w:cs="Arial" w:eastAsia="Arial" w:hAnsi="Arial"/>
                <w:sz w:val="14"/>
                <w:szCs w:val="14"/>
                <w:i w:val="1"/>
                <w:iCs w:val="1"/>
                <w:color w:val="auto"/>
                <w:w w:val="93"/>
              </w:rPr>
              <w:t>(in days)</w:t>
            </w:r>
          </w:p>
        </w:tc>
        <w:tc>
          <w:tcPr>
            <w:tcW w:w="980" w:type="dxa"/>
            <w:vAlign w:val="bottom"/>
          </w:tcPr>
          <w:p>
            <w:pPr>
              <w:spacing w:after="0"/>
              <w:rPr>
                <w:sz w:val="15"/>
                <w:szCs w:val="15"/>
                <w:color w:val="auto"/>
              </w:rPr>
            </w:pPr>
          </w:p>
        </w:tc>
      </w:tr>
      <w:tr>
        <w:trPr>
          <w:trHeight w:val="214"/>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Days sales outstanding</w:t>
            </w:r>
          </w:p>
        </w:tc>
        <w:tc>
          <w:tcPr>
            <w:tcW w:w="1420" w:type="dxa"/>
            <w:vAlign w:val="bottom"/>
            <w:shd w:val="clear" w:color="auto" w:fill="CCEEFF"/>
          </w:tcPr>
          <w:p>
            <w:pPr>
              <w:jc w:val="center"/>
              <w:ind w:left="1065"/>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8"/>
        </w:trPr>
        <w:tc>
          <w:tcPr>
            <w:tcW w:w="8280" w:type="dxa"/>
            <w:vAlign w:val="bottom"/>
          </w:tcPr>
          <w:p>
            <w:pPr>
              <w:ind w:left="340"/>
              <w:spacing w:after="0"/>
              <w:rPr>
                <w:sz w:val="20"/>
                <w:szCs w:val="20"/>
                <w:color w:val="auto"/>
              </w:rPr>
            </w:pPr>
            <w:r>
              <w:rPr>
                <w:rFonts w:ascii="Arial" w:cs="Arial" w:eastAsia="Arial" w:hAnsi="Arial"/>
                <w:sz w:val="16"/>
                <w:szCs w:val="16"/>
                <w:color w:val="auto"/>
              </w:rPr>
              <w:t>Days in inventory</w:t>
            </w:r>
          </w:p>
        </w:tc>
        <w:tc>
          <w:tcPr>
            <w:tcW w:w="1420" w:type="dxa"/>
            <w:vAlign w:val="bottom"/>
          </w:tcPr>
          <w:p>
            <w:pPr>
              <w:jc w:val="center"/>
              <w:ind w:left="1065"/>
              <w:spacing w:after="0"/>
              <w:rPr>
                <w:sz w:val="20"/>
                <w:szCs w:val="20"/>
                <w:color w:val="auto"/>
              </w:rPr>
            </w:pPr>
            <w:r>
              <w:rPr>
                <w:rFonts w:ascii="Arial" w:cs="Arial" w:eastAsia="Arial" w:hAnsi="Arial"/>
                <w:sz w:val="16"/>
                <w:szCs w:val="16"/>
                <w:color w:val="auto"/>
                <w:w w:val="89"/>
              </w:rPr>
              <w:t>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1"/>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Days payables outstanding</w:t>
            </w:r>
          </w:p>
        </w:tc>
        <w:tc>
          <w:tcPr>
            <w:tcW w:w="1420" w:type="dxa"/>
            <w:vAlign w:val="bottom"/>
            <w:tcBorders>
              <w:bottom w:val="single" w:sz="8" w:color="auto"/>
            </w:tcBorders>
            <w:shd w:val="clear" w:color="auto" w:fill="CCEEFF"/>
          </w:tcPr>
          <w:p>
            <w:pPr>
              <w:jc w:val="center"/>
              <w:ind w:left="1025"/>
              <w:spacing w:after="0"/>
              <w:rPr>
                <w:sz w:val="20"/>
                <w:szCs w:val="20"/>
                <w:color w:val="auto"/>
              </w:rPr>
            </w:pPr>
            <w:r>
              <w:rPr>
                <w:rFonts w:ascii="Arial" w:cs="Arial" w:eastAsia="Arial" w:hAnsi="Arial"/>
                <w:sz w:val="16"/>
                <w:szCs w:val="16"/>
                <w:color w:val="auto"/>
                <w:w w:val="98"/>
              </w:rPr>
              <w:t>(61)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8280" w:type="dxa"/>
            <w:vAlign w:val="bottom"/>
          </w:tcPr>
          <w:p>
            <w:pPr>
              <w:ind w:left="340"/>
              <w:spacing w:after="0"/>
              <w:rPr>
                <w:sz w:val="20"/>
                <w:szCs w:val="20"/>
                <w:color w:val="auto"/>
              </w:rPr>
            </w:pPr>
            <w:r>
              <w:rPr>
                <w:rFonts w:ascii="Arial" w:cs="Arial" w:eastAsia="Arial" w:hAnsi="Arial"/>
                <w:sz w:val="16"/>
                <w:szCs w:val="16"/>
                <w:color w:val="auto"/>
              </w:rPr>
              <w:t>Cash conversion cycle</w:t>
            </w:r>
          </w:p>
        </w:tc>
        <w:tc>
          <w:tcPr>
            <w:tcW w:w="1420" w:type="dxa"/>
            <w:vAlign w:val="bottom"/>
            <w:tcBorders>
              <w:bottom w:val="single" w:sz="8" w:color="auto"/>
            </w:tcBorders>
          </w:tcPr>
          <w:p>
            <w:pPr>
              <w:jc w:val="center"/>
              <w:ind w:left="1065"/>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 w:firstLine="316"/>
        <w:spacing w:after="0" w:line="250" w:lineRule="auto"/>
        <w:rPr>
          <w:sz w:val="20"/>
          <w:szCs w:val="20"/>
          <w:color w:val="auto"/>
        </w:rPr>
      </w:pPr>
      <w:r>
        <w:rPr>
          <w:rFonts w:ascii="Arial" w:cs="Arial" w:eastAsia="Arial" w:hAnsi="Arial"/>
          <w:sz w:val="18"/>
          <w:szCs w:val="18"/>
          <w:color w:val="auto"/>
        </w:rPr>
        <w:t>Changes in days sales outstanding (“DSO”) are generally due to the timing of shipments. Changes in days in inventory (“DIO”) are generally related to the timing of inventory builds. Changes in days payables outstanding (“DPO”) are generally related to production volume and the timing of purchases during the period. From time to time, we negotiate to modify the timing of payments to our vendors to manage our vendor relationships and to manage our cash flows, including our cash balances.</w:t>
      </w:r>
    </w:p>
    <w:p>
      <w:pPr>
        <w:spacing w:after="0" w:line="219" w:lineRule="exact"/>
        <w:rPr>
          <w:sz w:val="20"/>
          <w:szCs w:val="20"/>
          <w:color w:val="auto"/>
        </w:rPr>
      </w:pPr>
    </w:p>
    <w:p>
      <w:pPr>
        <w:ind w:right="120" w:firstLine="316"/>
        <w:spacing w:after="0" w:line="292" w:lineRule="auto"/>
        <w:rPr>
          <w:sz w:val="20"/>
          <w:szCs w:val="20"/>
          <w:color w:val="auto"/>
        </w:rPr>
      </w:pPr>
      <w:r>
        <w:rPr>
          <w:rFonts w:ascii="Arial" w:cs="Arial" w:eastAsia="Arial" w:hAnsi="Arial"/>
          <w:sz w:val="16"/>
          <w:szCs w:val="16"/>
          <w:color w:val="auto"/>
        </w:rPr>
        <w:t>For the three months ended October 1, 2021, DSO decreased by 5 days from the comparable period in the prior year, primarily reflecting the timing of shipments and customer collections. We have seen no significant deterioration in our receivables as a result of COVID-19. DIO and DPO decreased by 6 days and 10 days, respectively, from the comparable period in the prior year primarily reflecting improved supply chain management in the HDD business, as well as routine variations in the timing of purchases and payments during the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Investing Activities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cash used in investing activities for the three months ended October 1, 2021 primarily consisted of $245 million in capital expenditures and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$52 million net increase in notes receivable issuances to Flash Ventures. Net cash used in investing activities for the three months ended October 2, 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primarily consisted of $337 million in capital expenditures partially offset by a $163 million net decrease in notes receivable issuances to Flash Ventures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fund its capital expansion.</w:t>
      </w:r>
    </w:p>
    <w:p>
      <w:pPr>
        <w:spacing w:after="0" w:line="230" w:lineRule="exact"/>
        <w:rPr>
          <w:sz w:val="20"/>
          <w:szCs w:val="20"/>
          <w:color w:val="auto"/>
        </w:rPr>
      </w:pPr>
    </w:p>
    <w:p>
      <w:pPr>
        <w:ind w:right="220" w:firstLine="316"/>
        <w:spacing w:after="0" w:line="253"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In addition, from time to time, we invest directly in U.S. Treasury securities, U.S. and international government agency securities, certificates of deposit, asset backed securities and corporate and municipal notes and bonds.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Financing Activities</w:t>
      </w:r>
    </w:p>
    <w:p>
      <w:pPr>
        <w:spacing w:after="0" w:line="241" w:lineRule="exact"/>
        <w:rPr>
          <w:sz w:val="20"/>
          <w:szCs w:val="20"/>
          <w:color w:val="auto"/>
        </w:rPr>
      </w:pPr>
    </w:p>
    <w:p>
      <w:pPr>
        <w:ind w:firstLine="316"/>
        <w:spacing w:after="0" w:line="292" w:lineRule="auto"/>
        <w:rPr>
          <w:sz w:val="20"/>
          <w:szCs w:val="20"/>
          <w:color w:val="auto"/>
        </w:rPr>
      </w:pPr>
      <w:r>
        <w:rPr>
          <w:rFonts w:ascii="Arial" w:cs="Arial" w:eastAsia="Arial" w:hAnsi="Arial"/>
          <w:sz w:val="16"/>
          <w:szCs w:val="16"/>
          <w:color w:val="auto"/>
        </w:rPr>
        <w:t>During the three months ended October 1, 2021, net cash used in financing activities primarily consisted of $213 million for repayment of debt, which included a $150 million voluntary prepayment on our Term Loan B-4, and $78 million for taxes paid on vested stock awards under employee stock plans. Net cash used in financing activities for the three months ended October 2, 2020 primarily consisted of $213 million for the repayment of our debt, which included a $150 million voluntary prepayment on our Term Loan B-4, and $41 million for taxes paid on vested stock awards under employee stock plans.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October 22, 2021, we voluntarily prepaid the remaining principal balance of $943 million on our Term Loan B-4.</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 xml:space="preserve">Other than the commitments related to Flash Ventures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October 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Remaining nine</w:t>
            </w:r>
          </w:p>
        </w:tc>
        <w:tc>
          <w:tcPr>
            <w:tcW w:w="460" w:type="dxa"/>
            <w:vAlign w:val="bottom"/>
          </w:tcPr>
          <w:p>
            <w:pPr>
              <w:spacing w:after="0"/>
              <w:rPr>
                <w:sz w:val="14"/>
                <w:szCs w:val="14"/>
                <w:color w:val="auto"/>
              </w:rPr>
            </w:pPr>
          </w:p>
        </w:tc>
        <w:tc>
          <w:tcPr>
            <w:tcW w:w="96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2023-2024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w w:val="98"/>
              </w:rPr>
              <w:t>2025-2026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87"/>
              </w:rPr>
              <w:t>Beyond 2026</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months of 2022</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0"/>
                <w:szCs w:val="20"/>
                <w:color w:val="auto"/>
                <w:vertAlign w:val="superscript"/>
              </w:rPr>
              <w:t>(1)</w:t>
            </w: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Interest on debt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line="214" w:lineRule="exact"/>
              <w:rPr>
                <w:sz w:val="20"/>
                <w:szCs w:val="20"/>
                <w:color w:val="auto"/>
              </w:rPr>
            </w:pPr>
            <w:r>
              <w:rPr>
                <w:rFonts w:ascii="Arial" w:cs="Arial" w:eastAsia="Arial" w:hAnsi="Arial"/>
                <w:sz w:val="16"/>
                <w:szCs w:val="16"/>
                <w:color w:val="auto"/>
              </w:rPr>
              <w:t>Flash Ventures related commitments</w:t>
            </w:r>
            <w:r>
              <w:rPr>
                <w:rFonts w:ascii="Arial" w:cs="Arial" w:eastAsia="Arial" w:hAnsi="Arial"/>
                <w:sz w:val="20"/>
                <w:szCs w:val="20"/>
                <w:color w:val="auto"/>
                <w:vertAlign w:val="superscript"/>
              </w:rPr>
              <w:t>(2)</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Operating leases</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Purchase obligations and other commitments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8"/>
        </w:trPr>
        <w:tc>
          <w:tcPr>
            <w:tcW w:w="3680" w:type="dxa"/>
            <w:vAlign w:val="bottom"/>
            <w:gridSpan w:val="2"/>
          </w:tcPr>
          <w:p>
            <w:pPr>
              <w:ind w:left="340"/>
              <w:spacing w:after="0"/>
              <w:rPr>
                <w:sz w:val="20"/>
                <w:szCs w:val="20"/>
                <w:color w:val="auto"/>
              </w:rPr>
            </w:pPr>
            <w:r>
              <w:rPr>
                <w:rFonts w:ascii="Arial" w:cs="Arial" w:eastAsia="Arial" w:hAnsi="Arial"/>
                <w:sz w:val="16"/>
                <w:szCs w:val="16"/>
                <w:color w:val="auto"/>
              </w:rPr>
              <w:t>Mandatory Deemed Repatriation Tax</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0" w:right="260" w:hanging="314"/>
        <w:spacing w:after="0" w:line="220" w:lineRule="auto"/>
        <w:tabs>
          <w:tab w:leader="none" w:pos="30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Principal portion of debt, excluding discounts and issuance costs. On October 22, 2021, we voluntarily prepaid the remaining principal balance of $943 million on our Term Loan B-4, which was scheduled to mature in 2023.</w:t>
      </w:r>
    </w:p>
    <w:p>
      <w:pPr>
        <w:spacing w:after="0" w:line="1" w:lineRule="exact"/>
        <w:rPr>
          <w:rFonts w:ascii="Arial" w:cs="Arial" w:eastAsia="Arial" w:hAnsi="Arial"/>
          <w:sz w:val="23"/>
          <w:szCs w:val="23"/>
          <w:color w:val="auto"/>
          <w:vertAlign w:val="superscript"/>
        </w:rPr>
      </w:pPr>
    </w:p>
    <w:p>
      <w:pPr>
        <w:ind w:left="320" w:right="60" w:hanging="314"/>
        <w:spacing w:after="0" w:line="223" w:lineRule="auto"/>
        <w:tabs>
          <w:tab w:leader="none" w:pos="30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w:t>
      </w:r>
    </w:p>
    <w:p>
      <w:pPr>
        <w:spacing w:after="0" w:line="241" w:lineRule="exact"/>
        <w:rPr>
          <w:sz w:val="20"/>
          <w:szCs w:val="20"/>
          <w:color w:val="auto"/>
        </w:rPr>
      </w:pPr>
    </w:p>
    <w:p>
      <w:pPr>
        <w:ind w:firstLine="316"/>
        <w:spacing w:after="0" w:line="283" w:lineRule="auto"/>
        <w:rPr>
          <w:sz w:val="20"/>
          <w:szCs w:val="20"/>
          <w:color w:val="auto"/>
        </w:rPr>
      </w:pPr>
      <w:r>
        <w:rPr>
          <w:rFonts w:ascii="Arial" w:cs="Arial" w:eastAsia="Arial" w:hAnsi="Arial"/>
          <w:sz w:val="16"/>
          <w:szCs w:val="16"/>
          <w:color w:val="auto"/>
        </w:rPr>
        <w:t xml:space="preserve">In addition to our existing debt, we have $2.25 billion available for borrowing under our revolving credit facility, subject to customary conditions under the credit agreement. Additional information regarding our indebtedness, including information about availability under our revolving credit facility and the principal repayment terms, interest rates, covenants and other key terms of our outstanding indebtedness, is included in Part I, Item 1, Note 7, </w:t>
      </w:r>
      <w:r>
        <w:rPr>
          <w:rFonts w:ascii="Arial" w:cs="Arial" w:eastAsia="Arial" w:hAnsi="Arial"/>
          <w:sz w:val="16"/>
          <w:szCs w:val="16"/>
          <w:i w:val="1"/>
          <w:iCs w:val="1"/>
          <w:color w:val="auto"/>
        </w:rPr>
        <w:t>Debt,</w:t>
      </w:r>
      <w:r>
        <w:rPr>
          <w:rFonts w:ascii="Arial" w:cs="Arial" w:eastAsia="Arial" w:hAnsi="Arial"/>
          <w:sz w:val="16"/>
          <w:szCs w:val="16"/>
          <w:color w:val="auto"/>
        </w:rPr>
        <w:t xml:space="preserve"> of the Notes to Condensed Consolidated Financial Statements in this Quarterly Report on Form 10-Q and in Part II, Item 8, Note 6, </w:t>
      </w:r>
      <w:r>
        <w:rPr>
          <w:rFonts w:ascii="Arial" w:cs="Arial" w:eastAsia="Arial" w:hAnsi="Arial"/>
          <w:sz w:val="16"/>
          <w:szCs w:val="16"/>
          <w:i w:val="1"/>
          <w:iCs w:val="1"/>
          <w:color w:val="auto"/>
        </w:rPr>
        <w:t>Debt</w:t>
      </w:r>
      <w:r>
        <w:rPr>
          <w:rFonts w:ascii="Arial" w:cs="Arial" w:eastAsia="Arial" w:hAnsi="Arial"/>
          <w:sz w:val="16"/>
          <w:szCs w:val="16"/>
          <w:color w:val="auto"/>
        </w:rPr>
        <w:t>, of the Notes to Consolidated Financial Statements included in our Annual Report on Form 10-K for the fiscal year ended July 2, 2021. The credit agreement governing our revolving credit facility and Term Loan A-1 requires us to comply with certain financial covenants, consisting of a leverage ratio and an interest coverage ratio. As of October 1, 2021, we were in compliance with these financial covenants.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20" w:firstLine="316"/>
        <w:spacing w:after="0" w:line="285" w:lineRule="auto"/>
        <w:rPr>
          <w:sz w:val="20"/>
          <w:szCs w:val="20"/>
          <w:color w:val="auto"/>
        </w:rPr>
      </w:pPr>
      <w:r>
        <w:rPr>
          <w:rFonts w:ascii="Arial" w:cs="Arial" w:eastAsia="Arial" w:hAnsi="Arial"/>
          <w:sz w:val="16"/>
          <w:szCs w:val="16"/>
          <w:color w:val="auto"/>
        </w:rPr>
        <w:t>We may issue additional debt securities in the future that may also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spacing w:after="0" w:line="193" w:lineRule="exact"/>
        <w:rPr>
          <w:sz w:val="20"/>
          <w:szCs w:val="20"/>
          <w:color w:val="auto"/>
        </w:rPr>
      </w:pPr>
    </w:p>
    <w:p>
      <w:pPr>
        <w:jc w:val="both"/>
        <w:ind w:right="280" w:firstLine="316"/>
        <w:spacing w:after="0" w:line="250" w:lineRule="auto"/>
        <w:rPr>
          <w:sz w:val="20"/>
          <w:szCs w:val="20"/>
          <w:color w:val="auto"/>
        </w:rPr>
      </w:pPr>
      <w:r>
        <w:rPr>
          <w:rFonts w:ascii="Arial" w:cs="Arial" w:eastAsia="Arial" w:hAnsi="Arial"/>
          <w:sz w:val="18"/>
          <w:szCs w:val="18"/>
          <w:color w:val="auto"/>
        </w:rPr>
        <w:t>The following tables include summarized financial information for the Obligor Group. The information for the Obligor Group is presented on combined basis, excluding intercompany balances and transactions between the Company and the Guarantor and excluding investments in and equity in the earnings of non-guarantor subsidiaries. The Obligor Group’s amounts due from, amounts due to, and transactions with non-guarantor subsidiaries have been presented in separate line items in the tables below.</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of the Obligor Group include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21"/>
              <w:spacing w:after="0"/>
              <w:rPr>
                <w:sz w:val="20"/>
                <w:szCs w:val="20"/>
                <w:color w:val="auto"/>
              </w:rPr>
            </w:pPr>
            <w:r>
              <w:rPr>
                <w:rFonts w:ascii="Arial" w:cs="Arial" w:eastAsia="Arial" w:hAnsi="Arial"/>
                <w:sz w:val="16"/>
                <w:szCs w:val="16"/>
                <w:b w:val="1"/>
                <w:bCs w:val="1"/>
                <w:color w:val="auto"/>
              </w:rPr>
              <w:t>October 1,</w:t>
            </w:r>
          </w:p>
        </w:tc>
        <w:tc>
          <w:tcPr>
            <w:tcW w:w="4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Arial" w:cs="Arial" w:eastAsia="Arial" w:hAnsi="Arial"/>
                <w:sz w:val="16"/>
                <w:szCs w:val="16"/>
                <w:b w:val="1"/>
                <w:bCs w:val="1"/>
                <w:color w:val="auto"/>
              </w:rPr>
              <w:t>July 2,</w:t>
            </w:r>
          </w:p>
        </w:tc>
      </w:tr>
      <w:tr>
        <w:trPr>
          <w:trHeight w:val="208"/>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204"/>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i w:val="1"/>
                <w:iCs w:val="1"/>
                <w:color w:val="auto"/>
              </w:rPr>
              <w:t>(in millions)</w:t>
            </w:r>
          </w:p>
        </w:tc>
        <w:tc>
          <w:tcPr>
            <w:tcW w:w="1020" w:type="dxa"/>
            <w:vAlign w:val="bottom"/>
          </w:tcPr>
          <w:p>
            <w:pPr>
              <w:spacing w:after="0"/>
              <w:rPr>
                <w:sz w:val="17"/>
                <w:szCs w:val="17"/>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 (excluding net intercompany receivable from non-guarantor subsidiaries)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2,458</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4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1,855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1,903</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intercompany payable to non-guarantor subsidiaries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2,217</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9,409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w:t>
            </w: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and transactions with non-guarantor subsidiaries of the Obligor Group include the following:</w:t>
      </w:r>
    </w:p>
    <w:p>
      <w:pPr>
        <w:spacing w:after="0" w:line="27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jc w:val="right"/>
              <w:ind w:right="341"/>
              <w:spacing w:after="0"/>
              <w:rPr>
                <w:sz w:val="20"/>
                <w:szCs w:val="20"/>
                <w:color w:val="auto"/>
              </w:rPr>
            </w:pPr>
            <w:r>
              <w:rPr>
                <w:rFonts w:ascii="Arial" w:cs="Arial" w:eastAsia="Arial" w:hAnsi="Arial"/>
                <w:sz w:val="16"/>
                <w:szCs w:val="16"/>
                <w:b w:val="1"/>
                <w:bCs w:val="1"/>
                <w:color w:val="auto"/>
                <w:w w:val="93"/>
              </w:rPr>
              <w:t>Three Months Ended</w:t>
            </w:r>
          </w:p>
        </w:tc>
        <w:tc>
          <w:tcPr>
            <w:tcW w:w="620" w:type="dxa"/>
            <w:vAlign w:val="bottom"/>
          </w:tcPr>
          <w:p>
            <w:pPr>
              <w:spacing w:after="0"/>
              <w:rPr>
                <w:sz w:val="17"/>
                <w:szCs w:val="17"/>
                <w:color w:val="auto"/>
              </w:rPr>
            </w:pP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Year Ended</w:t>
            </w:r>
          </w:p>
        </w:tc>
      </w:tr>
      <w:tr>
        <w:trPr>
          <w:trHeight w:val="165"/>
        </w:trPr>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tcPr>
          <w:p>
            <w:pPr>
              <w:jc w:val="right"/>
              <w:ind w:right="701"/>
              <w:spacing w:after="0" w:line="165" w:lineRule="exact"/>
              <w:rPr>
                <w:sz w:val="20"/>
                <w:szCs w:val="20"/>
                <w:color w:val="auto"/>
              </w:rPr>
            </w:pPr>
            <w:r>
              <w:rPr>
                <w:rFonts w:ascii="Arial" w:cs="Arial" w:eastAsia="Arial" w:hAnsi="Arial"/>
                <w:sz w:val="16"/>
                <w:szCs w:val="16"/>
                <w:b w:val="1"/>
                <w:bCs w:val="1"/>
                <w:color w:val="auto"/>
              </w:rPr>
              <w:t>October 1,</w:t>
            </w:r>
          </w:p>
        </w:tc>
        <w:tc>
          <w:tcPr>
            <w:tcW w:w="620" w:type="dxa"/>
            <w:vAlign w:val="bottom"/>
          </w:tcPr>
          <w:p>
            <w:pPr>
              <w:spacing w:after="0"/>
              <w:rPr>
                <w:sz w:val="14"/>
                <w:szCs w:val="14"/>
                <w:color w:val="auto"/>
              </w:rPr>
            </w:pPr>
          </w:p>
        </w:tc>
        <w:tc>
          <w:tcPr>
            <w:tcW w:w="1440" w:type="dxa"/>
            <w:vAlign w:val="bottom"/>
          </w:tcPr>
          <w:p>
            <w:pPr>
              <w:jc w:val="right"/>
              <w:ind w:right="561"/>
              <w:spacing w:after="0" w:line="165" w:lineRule="exact"/>
              <w:rPr>
                <w:sz w:val="20"/>
                <w:szCs w:val="20"/>
                <w:color w:val="auto"/>
              </w:rPr>
            </w:pPr>
            <w:r>
              <w:rPr>
                <w:rFonts w:ascii="Arial" w:cs="Arial" w:eastAsia="Arial" w:hAnsi="Arial"/>
                <w:sz w:val="16"/>
                <w:szCs w:val="16"/>
                <w:b w:val="1"/>
                <w:bCs w:val="1"/>
                <w:color w:val="auto"/>
              </w:rPr>
              <w:t>July 2,</w:t>
            </w:r>
          </w:p>
        </w:tc>
      </w:tr>
      <w:tr>
        <w:trPr>
          <w:trHeight w:val="208"/>
        </w:trPr>
        <w:tc>
          <w:tcPr>
            <w:tcW w:w="65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2021</w:t>
            </w:r>
          </w:p>
        </w:tc>
      </w:tr>
      <w:tr>
        <w:trPr>
          <w:trHeight w:val="204"/>
        </w:trPr>
        <w:tc>
          <w:tcPr>
            <w:tcW w:w="6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gridSpan w:val="2"/>
          </w:tcPr>
          <w:p>
            <w:pPr>
              <w:jc w:val="right"/>
              <w:ind w:right="121"/>
              <w:spacing w:after="0"/>
              <w:rPr>
                <w:sz w:val="20"/>
                <w:szCs w:val="20"/>
                <w:color w:val="auto"/>
              </w:rPr>
            </w:pPr>
            <w:r>
              <w:rPr>
                <w:rFonts w:ascii="Arial" w:cs="Arial" w:eastAsia="Arial" w:hAnsi="Arial"/>
                <w:sz w:val="16"/>
                <w:szCs w:val="16"/>
                <w:i w:val="1"/>
                <w:iCs w:val="1"/>
                <w:color w:val="auto"/>
              </w:rPr>
              <w:t>(in millions)</w:t>
            </w:r>
          </w:p>
        </w:tc>
        <w:tc>
          <w:tcPr>
            <w:tcW w:w="1440" w:type="dxa"/>
            <w:vAlign w:val="bottom"/>
          </w:tcPr>
          <w:p>
            <w:pPr>
              <w:spacing w:after="0"/>
              <w:rPr>
                <w:sz w:val="17"/>
                <w:szCs w:val="17"/>
                <w:color w:val="auto"/>
              </w:rPr>
            </w:pP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sales</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2,220</w:t>
            </w:r>
          </w:p>
        </w:tc>
        <w:tc>
          <w:tcPr>
            <w:tcW w:w="6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Gross profit</w:t>
            </w:r>
          </w:p>
        </w:tc>
        <w:tc>
          <w:tcPr>
            <w:tcW w:w="500" w:type="dxa"/>
            <w:vAlign w:val="bottom"/>
          </w:tcPr>
          <w:p>
            <w:pPr>
              <w:spacing w:after="0"/>
              <w:rPr>
                <w:sz w:val="18"/>
                <w:szCs w:val="18"/>
                <w:color w:val="auto"/>
              </w:rPr>
            </w:pPr>
          </w:p>
        </w:tc>
        <w:tc>
          <w:tcPr>
            <w:tcW w:w="1920" w:type="dxa"/>
            <w:vAlign w:val="bottom"/>
          </w:tcPr>
          <w:p>
            <w:pPr>
              <w:jc w:val="right"/>
              <w:ind w:right="161"/>
              <w:spacing w:after="0"/>
              <w:rPr>
                <w:sz w:val="20"/>
                <w:szCs w:val="20"/>
                <w:color w:val="auto"/>
              </w:rPr>
            </w:pPr>
            <w:r>
              <w:rPr>
                <w:rFonts w:ascii="Arial" w:cs="Arial" w:eastAsia="Arial" w:hAnsi="Arial"/>
                <w:sz w:val="16"/>
                <w:szCs w:val="16"/>
                <w:color w:val="auto"/>
              </w:rPr>
              <w:t>572</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39</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1920" w:type="dxa"/>
            <w:vAlign w:val="bottom"/>
          </w:tcPr>
          <w:p>
            <w:pPr>
              <w:jc w:val="right"/>
              <w:ind w:right="161"/>
              <w:spacing w:after="0"/>
              <w:rPr>
                <w:sz w:val="20"/>
                <w:szCs w:val="20"/>
                <w:color w:val="auto"/>
              </w:rPr>
            </w:pPr>
            <w:r>
              <w:rPr>
                <w:rFonts w:ascii="Arial" w:cs="Arial" w:eastAsia="Arial" w:hAnsi="Arial"/>
                <w:sz w:val="16"/>
                <w:szCs w:val="16"/>
                <w:color w:val="auto"/>
              </w:rPr>
              <w:t>27</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revenue</w:t>
            </w: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626</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8"/>
        </w:trPr>
        <w:tc>
          <w:tcPr>
            <w:tcW w:w="6540" w:type="dxa"/>
            <w:vAlign w:val="bottom"/>
          </w:tcPr>
          <w:p>
            <w:pPr>
              <w:ind w:left="340"/>
              <w:spacing w:after="0"/>
              <w:rPr>
                <w:sz w:val="20"/>
                <w:szCs w:val="20"/>
                <w:color w:val="auto"/>
              </w:rPr>
            </w:pPr>
            <w:r>
              <w:rPr>
                <w:rFonts w:ascii="Arial" w:cs="Arial" w:eastAsia="Arial" w:hAnsi="Arial"/>
                <w:sz w:val="16"/>
                <w:szCs w:val="16"/>
                <w:color w:val="auto"/>
              </w:rPr>
              <w:t>Net intercompany interest expense</w:t>
            </w:r>
          </w:p>
        </w:tc>
        <w:tc>
          <w:tcPr>
            <w:tcW w:w="500" w:type="dxa"/>
            <w:vAlign w:val="bottom"/>
          </w:tcPr>
          <w:p>
            <w:pPr>
              <w:spacing w:after="0"/>
              <w:rPr>
                <w:sz w:val="18"/>
                <w:szCs w:val="18"/>
                <w:color w:val="auto"/>
              </w:rPr>
            </w:pPr>
          </w:p>
        </w:tc>
        <w:tc>
          <w:tcPr>
            <w:tcW w:w="1920" w:type="dxa"/>
            <w:vAlign w:val="bottom"/>
          </w:tcPr>
          <w:p>
            <w:pPr>
              <w:jc w:val="right"/>
              <w:ind w:right="161"/>
              <w:spacing w:after="0"/>
              <w:rPr>
                <w:sz w:val="20"/>
                <w:szCs w:val="20"/>
                <w:color w:val="auto"/>
              </w:rPr>
            </w:pPr>
            <w:r>
              <w:rPr>
                <w:rFonts w:ascii="Arial" w:cs="Arial" w:eastAsia="Arial" w:hAnsi="Arial"/>
                <w:sz w:val="16"/>
                <w:szCs w:val="16"/>
                <w:color w:val="auto"/>
              </w:rPr>
              <w:t>22</w:t>
            </w:r>
          </w:p>
        </w:tc>
        <w:tc>
          <w:tcPr>
            <w:tcW w:w="6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Intercompany dividends</w:t>
            </w:r>
          </w:p>
        </w:tc>
        <w:tc>
          <w:tcPr>
            <w:tcW w:w="50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76</w:t>
            </w: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bl>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Flash Ventures</w:t>
      </w:r>
    </w:p>
    <w:p>
      <w:pPr>
        <w:spacing w:after="0" w:line="241" w:lineRule="exact"/>
        <w:rPr>
          <w:sz w:val="20"/>
          <w:szCs w:val="20"/>
          <w:color w:val="auto"/>
        </w:rPr>
      </w:pPr>
    </w:p>
    <w:p>
      <w:pPr>
        <w:ind w:right="100" w:firstLine="316"/>
        <w:spacing w:after="0" w:line="285" w:lineRule="auto"/>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October 1, 2021, we were in compliance with all covenants under these Japanese lease facilities. See Part I, Item 1, Note 10, </w:t>
      </w:r>
      <w:r>
        <w:rPr>
          <w:rFonts w:ascii="Arial" w:cs="Arial" w:eastAsia="Arial" w:hAnsi="Arial"/>
          <w:sz w:val="16"/>
          <w:szCs w:val="16"/>
          <w:i w:val="1"/>
          <w:iCs w:val="1"/>
          <w:color w:val="auto"/>
        </w:rPr>
        <w:t>Related Parties and Related Commitments and Contingencies</w:t>
      </w:r>
      <w:r>
        <w:rPr>
          <w:rFonts w:ascii="Arial" w:cs="Arial" w:eastAsia="Arial" w:hAnsi="Arial"/>
          <w:sz w:val="16"/>
          <w:szCs w:val="16"/>
          <w:color w:val="auto"/>
        </w:rPr>
        <w:t>, of the Notes to Condensed Consolidated Financial Statements included in this Quarterly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Obligations and Other Commitments</w:t>
      </w:r>
    </w:p>
    <w:p>
      <w:pPr>
        <w:spacing w:after="0" w:line="241" w:lineRule="exact"/>
        <w:rPr>
          <w:sz w:val="20"/>
          <w:szCs w:val="20"/>
          <w:color w:val="auto"/>
        </w:rPr>
      </w:pPr>
    </w:p>
    <w:p>
      <w:pPr>
        <w:ind w:right="280" w:firstLine="316"/>
        <w:spacing w:after="0" w:line="287"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Deemed Repatriation Tax</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323"/>
              <w:spacing w:after="0"/>
              <w:rPr>
                <w:sz w:val="20"/>
                <w:szCs w:val="20"/>
                <w:color w:val="auto"/>
              </w:rPr>
            </w:pPr>
            <w:r>
              <w:rPr>
                <w:rFonts w:ascii="Arial" w:cs="Arial" w:eastAsia="Arial" w:hAnsi="Arial"/>
                <w:sz w:val="14"/>
                <w:szCs w:val="14"/>
                <w:b w:val="1"/>
                <w:bCs w:val="1"/>
                <w:color w:val="auto"/>
              </w:rPr>
              <w:t>October 1,</w:t>
            </w:r>
          </w:p>
        </w:tc>
      </w:tr>
      <w:tr>
        <w:trPr>
          <w:trHeight w:val="184"/>
        </w:trPr>
        <w:tc>
          <w:tcPr>
            <w:tcW w:w="95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2021</w:t>
            </w:r>
          </w:p>
        </w:tc>
      </w:tr>
      <w:tr>
        <w:trPr>
          <w:trHeight w:val="205"/>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2023</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8"/>
        </w:trPr>
        <w:tc>
          <w:tcPr>
            <w:tcW w:w="9500" w:type="dxa"/>
            <w:vAlign w:val="bottom"/>
          </w:tcPr>
          <w:p>
            <w:pPr>
              <w:jc w:val="right"/>
              <w:ind w:right="8761"/>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4"/>
        </w:trPr>
        <w:tc>
          <w:tcPr>
            <w:tcW w:w="9500" w:type="dxa"/>
            <w:vAlign w:val="bottom"/>
            <w:shd w:val="clear" w:color="auto" w:fill="CCEEFF"/>
          </w:tcPr>
          <w:p>
            <w:pPr>
              <w:jc w:val="right"/>
              <w:ind w:right="8761"/>
              <w:spacing w:after="0"/>
              <w:rPr>
                <w:sz w:val="20"/>
                <w:szCs w:val="20"/>
                <w:color w:val="auto"/>
              </w:rPr>
            </w:pPr>
            <w:r>
              <w:rPr>
                <w:rFonts w:ascii="Arial" w:cs="Arial" w:eastAsia="Arial" w:hAnsi="Arial"/>
                <w:sz w:val="16"/>
                <w:szCs w:val="16"/>
                <w:color w:val="auto"/>
              </w:rPr>
              <w:t>2025</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8"/>
        </w:trPr>
        <w:tc>
          <w:tcPr>
            <w:tcW w:w="9500" w:type="dxa"/>
            <w:vAlign w:val="bottom"/>
            <w:tcBorders>
              <w:bottom w:val="single" w:sz="8" w:color="CCEEFF"/>
            </w:tcBorders>
          </w:tcPr>
          <w:p>
            <w:pPr>
              <w:jc w:val="right"/>
              <w:ind w:right="8761"/>
              <w:spacing w:after="0"/>
              <w:rPr>
                <w:sz w:val="20"/>
                <w:szCs w:val="20"/>
                <w:color w:val="auto"/>
              </w:rPr>
            </w:pPr>
            <w:r>
              <w:rPr>
                <w:rFonts w:ascii="Arial" w:cs="Arial" w:eastAsia="Arial" w:hAnsi="Arial"/>
                <w:sz w:val="16"/>
                <w:szCs w:val="16"/>
                <w:color w:val="auto"/>
              </w:rPr>
              <w:t>2026</w:t>
            </w: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233"/>
        </w:trPr>
        <w:tc>
          <w:tcPr>
            <w:tcW w:w="9500" w:type="dxa"/>
            <w:vAlign w:val="bottom"/>
            <w:tcBorders>
              <w:bottom w:val="single" w:sz="8" w:color="CCEEFF"/>
            </w:tcBorders>
            <w:shd w:val="clear" w:color="auto" w:fill="CCEEFF"/>
          </w:tcPr>
          <w:p>
            <w:pPr>
              <w:jc w:val="right"/>
              <w:ind w:right="8641"/>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60" w:firstLine="316"/>
        <w:spacing w:after="0" w:line="325" w:lineRule="auto"/>
        <w:rPr>
          <w:sz w:val="20"/>
          <w:szCs w:val="20"/>
          <w:color w:val="auto"/>
        </w:rPr>
      </w:pPr>
      <w:r>
        <w:rPr>
          <w:rFonts w:ascii="Arial" w:cs="Arial" w:eastAsia="Arial" w:hAnsi="Arial"/>
          <w:sz w:val="16"/>
          <w:szCs w:val="16"/>
          <w:color w:val="auto"/>
        </w:rPr>
        <w:t xml:space="preserve">For additional information regarding our estimate of the total tax liability for the mandatory deemed repatriation tax, see Part II, Item 8, Note 14,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of the Notes to Consolidated Financial Statements included in our Annual Report on Form 10-K for the fiscal year ended July 2, 2021.</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Unrecognized Tax Benefits</w:t>
      </w:r>
    </w:p>
    <w:p>
      <w:pPr>
        <w:spacing w:after="0" w:line="241" w:lineRule="exact"/>
        <w:rPr>
          <w:sz w:val="20"/>
          <w:szCs w:val="20"/>
          <w:color w:val="auto"/>
        </w:rPr>
      </w:pPr>
    </w:p>
    <w:p>
      <w:pPr>
        <w:ind w:right="380" w:firstLine="316"/>
        <w:spacing w:after="0" w:line="250" w:lineRule="auto"/>
        <w:rPr>
          <w:sz w:val="20"/>
          <w:szCs w:val="20"/>
          <w:color w:val="auto"/>
        </w:rPr>
      </w:pPr>
      <w:r>
        <w:rPr>
          <w:rFonts w:ascii="Arial" w:cs="Arial" w:eastAsia="Arial" w:hAnsi="Arial"/>
          <w:sz w:val="18"/>
          <w:szCs w:val="18"/>
          <w:color w:val="auto"/>
        </w:rPr>
        <w:t>As of October 1, 2021, the liability for unrecognized tax benefits (excluding accrued interest and penalties) was approximately $762 million. Accrued interest and penalties related to unrecognized tax benefits as of October 1, 2021 was approximately $132 million. Of these amounts, approximately $758 million could result in potential cash payments. We are not able to provide a reasonable estimate of the timing of future tax payments related to these obligations.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 Swap</w:t>
      </w:r>
    </w:p>
    <w:p>
      <w:pPr>
        <w:spacing w:after="0" w:line="241" w:lineRule="exact"/>
        <w:rPr>
          <w:sz w:val="20"/>
          <w:szCs w:val="20"/>
          <w:color w:val="auto"/>
        </w:rPr>
      </w:pPr>
    </w:p>
    <w:p>
      <w:pPr>
        <w:ind w:right="20" w:firstLine="316"/>
        <w:spacing w:after="0" w:line="287" w:lineRule="auto"/>
        <w:rPr>
          <w:sz w:val="20"/>
          <w:szCs w:val="20"/>
          <w:color w:val="auto"/>
        </w:rPr>
      </w:pPr>
      <w:r>
        <w:rPr>
          <w:rFonts w:ascii="Arial" w:cs="Arial" w:eastAsia="Arial" w:hAnsi="Arial"/>
          <w:sz w:val="16"/>
          <w:szCs w:val="16"/>
          <w:color w:val="auto"/>
        </w:rPr>
        <w:t>We have generally held a balance of fixed and variable rate debt. At October 1, 2021, we had $5.21 billion of variable rate debt, comprising 61% of the par value of our debt. To balance the portfolio and moderate our exposure to fluctuations in interest rates underlying our variable debt, we entered into pay-fixed interest rate swaps on $2.00 billion notional amount, which effectively converts a portion of our term loan to fixed rates through February 2023. After giving effect to the $2.00 billion of interest rate swaps, we effectively had $3.21 billion of Long-term debt subject to variations in interest rates and a one percent increase in the variable rate of interest would increase annual interest expense by $32 million.</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Exchange Contracts</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1, Note 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10-Q.</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Indemnifications</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200" w:firstLine="316"/>
        <w:spacing w:after="0" w:line="300" w:lineRule="auto"/>
        <w:rPr>
          <w:sz w:val="20"/>
          <w:szCs w:val="20"/>
          <w:color w:val="auto"/>
        </w:rPr>
      </w:pPr>
      <w:r>
        <w:rPr>
          <w:rFonts w:ascii="Arial" w:cs="Arial" w:eastAsia="Arial" w:hAnsi="Arial"/>
          <w:sz w:val="16"/>
          <w:szCs w:val="16"/>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Stock Repurchase Program</w:t>
      </w:r>
    </w:p>
    <w:p>
      <w:pPr>
        <w:spacing w:after="0" w:line="241" w:lineRule="exact"/>
        <w:rPr>
          <w:sz w:val="20"/>
          <w:szCs w:val="20"/>
          <w:color w:val="auto"/>
        </w:rPr>
      </w:pPr>
    </w:p>
    <w:p>
      <w:pPr>
        <w:ind w:firstLine="316"/>
        <w:spacing w:after="0" w:line="285" w:lineRule="auto"/>
        <w:rPr>
          <w:sz w:val="20"/>
          <w:szCs w:val="20"/>
          <w:color w:val="auto"/>
        </w:rPr>
      </w:pPr>
      <w:r>
        <w:rPr>
          <w:rFonts w:ascii="Arial" w:cs="Arial" w:eastAsia="Arial" w:hAnsi="Arial"/>
          <w:sz w:val="16"/>
          <w:szCs w:val="16"/>
          <w:color w:val="auto"/>
        </w:rPr>
        <w:t>Our Board of Directors has authorized a stock repurchase program for the repurchase of up to $5.0 billion of our common stock, which authorization is effective through July 25, 2023. We did not make any stock repurchases during the three months ended October 1, 2021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October 1, 2021 was $4.5 billion. Repurchases under the stock repurchase program may be made in the open market or in privately negotiated transactions and may be made under a Rule 10b5-1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3" w:lineRule="exact"/>
        <w:rPr>
          <w:sz w:val="20"/>
          <w:szCs w:val="20"/>
          <w:color w:val="auto"/>
        </w:rPr>
      </w:pPr>
    </w:p>
    <w:p>
      <w:pPr>
        <w:ind w:right="140" w:firstLine="316"/>
        <w:spacing w:after="0" w:line="215"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July 2, 2021 for a discussion of our critical accounting policies and estimates.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7" w:lineRule="exact"/>
        <w:rPr>
          <w:sz w:val="20"/>
          <w:szCs w:val="20"/>
          <w:color w:val="auto"/>
        </w:rPr>
      </w:pPr>
    </w:p>
    <w:p>
      <w:pPr>
        <w:ind w:right="20" w:firstLine="316"/>
        <w:spacing w:after="0" w:line="253" w:lineRule="auto"/>
        <w:rPr>
          <w:sz w:val="20"/>
          <w:szCs w:val="20"/>
          <w:color w:val="auto"/>
        </w:rPr>
      </w:pPr>
      <w:r>
        <w:rPr>
          <w:rFonts w:ascii="Arial" w:cs="Arial" w:eastAsia="Arial" w:hAnsi="Arial"/>
          <w:sz w:val="18"/>
          <w:szCs w:val="18"/>
          <w:color w:val="212529"/>
        </w:rPr>
        <w:t xml:space="preserve">Except as disclosed below, there have been no material changes to our market risk during the three months ended October 1, 2021. See Part II, Item 7A, </w:t>
      </w:r>
      <w:r>
        <w:rPr>
          <w:rFonts w:ascii="Arial" w:cs="Arial" w:eastAsia="Arial" w:hAnsi="Arial"/>
          <w:sz w:val="18"/>
          <w:szCs w:val="18"/>
          <w:i w:val="1"/>
          <w:iCs w:val="1"/>
          <w:color w:val="212529"/>
        </w:rPr>
        <w:t xml:space="preserve">Quantitative and Qualitative Disclosures About Market Risks </w:t>
      </w:r>
      <w:r>
        <w:rPr>
          <w:rFonts w:ascii="Arial" w:cs="Arial" w:eastAsia="Arial" w:hAnsi="Arial"/>
          <w:sz w:val="18"/>
          <w:szCs w:val="18"/>
          <w:color w:val="212529"/>
        </w:rPr>
        <w:t>in our Annual Report on Form 10-K for the fiscal year ended July 2, 2021 for further information</w:t>
      </w:r>
      <w:r>
        <w:rPr>
          <w:rFonts w:ascii="Arial" w:cs="Arial" w:eastAsia="Arial" w:hAnsi="Arial"/>
          <w:sz w:val="18"/>
          <w:szCs w:val="18"/>
          <w:i w:val="1"/>
          <w:iCs w:val="1"/>
          <w:color w:val="212529"/>
        </w:rPr>
        <w:t xml:space="preserve"> </w:t>
      </w:r>
      <w:r>
        <w:rPr>
          <w:rFonts w:ascii="Arial" w:cs="Arial" w:eastAsia="Arial" w:hAnsi="Arial"/>
          <w:sz w:val="18"/>
          <w:szCs w:val="18"/>
          <w:color w:val="212529"/>
        </w:rPr>
        <w:t>about our exposure to market risk.</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Foreign Currency Risk</w:t>
      </w:r>
    </w:p>
    <w:p>
      <w:pPr>
        <w:spacing w:after="0" w:line="241" w:lineRule="exact"/>
        <w:rPr>
          <w:sz w:val="20"/>
          <w:szCs w:val="20"/>
          <w:color w:val="auto"/>
        </w:rPr>
      </w:pPr>
    </w:p>
    <w:p>
      <w:pPr>
        <w:ind w:right="200" w:firstLine="316"/>
        <w:spacing w:after="0" w:line="285" w:lineRule="auto"/>
        <w:rPr>
          <w:sz w:val="20"/>
          <w:szCs w:val="20"/>
          <w:color w:val="auto"/>
        </w:rPr>
      </w:pPr>
      <w:r>
        <w:rPr>
          <w:rFonts w:ascii="Arial" w:cs="Arial" w:eastAsia="Arial" w:hAnsi="Arial"/>
          <w:sz w:val="16"/>
          <w:szCs w:val="16"/>
          <w:color w:val="212529"/>
        </w:rPr>
        <w:t>We performed sensitivity analyses as of October 1, 2021 and July 2, 2021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October 1, 2021 and July 2, 2021. The sensitivity analyses indicated that a hypothetical 10% adverse movement in foreign currency exchange rates relative to the U.S. dollar would result in a foreign exchange fair value loss of $296 million and $183 million at October 1, 2021 and July 2, 2021, respectively.</w:t>
      </w:r>
    </w:p>
    <w:p>
      <w:pPr>
        <w:spacing w:after="0" w:line="200" w:lineRule="exact"/>
        <w:rPr>
          <w:sz w:val="20"/>
          <w:szCs w:val="20"/>
          <w:color w:val="auto"/>
        </w:rPr>
      </w:pP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1" w:lineRule="exact"/>
        <w:rPr>
          <w:sz w:val="20"/>
          <w:szCs w:val="20"/>
          <w:color w:val="auto"/>
        </w:rPr>
      </w:pPr>
    </w:p>
    <w:p>
      <w:pPr>
        <w:ind w:firstLine="316"/>
        <w:spacing w:after="0" w:line="248"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1" w:lineRule="exact"/>
        <w:rPr>
          <w:sz w:val="20"/>
          <w:szCs w:val="20"/>
          <w:color w:val="auto"/>
        </w:rPr>
      </w:pPr>
    </w:p>
    <w:p>
      <w:pPr>
        <w:ind w:right="60" w:firstLine="316"/>
        <w:spacing w:after="0" w:line="250" w:lineRule="auto"/>
        <w:rPr>
          <w:sz w:val="20"/>
          <w:szCs w:val="20"/>
          <w:color w:val="auto"/>
        </w:rPr>
      </w:pPr>
      <w:r>
        <w:rPr>
          <w:rFonts w:ascii="Arial" w:cs="Arial" w:eastAsia="Arial" w:hAnsi="Arial"/>
          <w:sz w:val="18"/>
          <w:szCs w:val="18"/>
          <w:color w:val="auto"/>
        </w:rPr>
        <w:t>In the first quarter of fiscal 2022, we implemented new reporting modules and processes to provide more discrete information to support our new business unit organizational structure. After considering these changes, our management has determined that there has been no change in our internal control over financial reporting during the first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II. OTHER INFORMATION</w:t>
      </w:r>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47" w:lineRule="exact"/>
        <w:rPr>
          <w:sz w:val="20"/>
          <w:szCs w:val="20"/>
          <w:color w:val="auto"/>
        </w:rPr>
      </w:pPr>
    </w:p>
    <w:p>
      <w:pPr>
        <w:ind w:right="80" w:firstLine="316"/>
        <w:spacing w:after="0" w:line="250"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10-Q for disclosures regarding statutory notices of deficiency issued by the IRS on June 28, 2018 and December 10, 2018, petitions filed by the Company with the U.S. Tax Court in September 2018 and March 2019, additional penalties asserted by the IRS in March 2021 and a tentative resolution with respect to certain matters.</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47" w:lineRule="exact"/>
        <w:rPr>
          <w:sz w:val="20"/>
          <w:szCs w:val="20"/>
          <w:color w:val="auto"/>
        </w:rPr>
      </w:pPr>
    </w:p>
    <w:p>
      <w:pPr>
        <w:ind w:firstLine="316"/>
        <w:spacing w:after="0" w:line="287" w:lineRule="auto"/>
        <w:rPr>
          <w:sz w:val="20"/>
          <w:szCs w:val="20"/>
          <w:color w:val="auto"/>
        </w:rPr>
      </w:pPr>
      <w:r>
        <w:rPr>
          <w:rFonts w:ascii="Arial" w:cs="Arial" w:eastAsia="Arial" w:hAnsi="Arial"/>
          <w:sz w:val="16"/>
          <w:szCs w:val="16"/>
          <w:color w:val="auto"/>
        </w:rPr>
        <w:t>We have described under the heading “Risk Factors” in Part I, Item 1A of our Annual Report on Form 10-K for the fiscal year ended July 2, 2021 risks and uncertainties that could cause our actual results of operations and financial condition to vary materially from past, or from anticipated future, results of operations and financial condition. There have been no material changes from these risk factors previously described in our Annual Report on Form 10-K for the fiscal year ended July 2, 2021.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47" w:lineRule="exact"/>
        <w:rPr>
          <w:sz w:val="20"/>
          <w:szCs w:val="20"/>
          <w:color w:val="auto"/>
        </w:rPr>
      </w:pPr>
    </w:p>
    <w:p>
      <w:pPr>
        <w:ind w:firstLine="316"/>
        <w:spacing w:after="0" w:line="282"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tcPr>
          <w:p>
            <w:pPr>
              <w:ind w:left="3640"/>
              <w:spacing w:after="0"/>
              <w:rPr>
                <w:sz w:val="20"/>
                <w:szCs w:val="20"/>
                <w:color w:val="auto"/>
              </w:rPr>
            </w:pPr>
            <w:r>
              <w:rPr>
                <w:rFonts w:ascii="Arial" w:cs="Arial" w:eastAsia="Arial" w:hAnsi="Arial"/>
                <w:sz w:val="19"/>
                <w:szCs w:val="19"/>
                <w:b w:val="1"/>
                <w:bCs w:val="1"/>
                <w:color w:val="auto"/>
              </w:rPr>
              <w:t>EXHIBIT INDEX</w:t>
            </w:r>
          </w:p>
        </w:tc>
        <w:tc>
          <w:tcPr>
            <w:tcW w:w="0" w:type="dxa"/>
            <w:vAlign w:val="bottom"/>
          </w:tcPr>
          <w:p>
            <w:pPr>
              <w:spacing w:after="0"/>
              <w:rPr>
                <w:sz w:val="1"/>
                <w:szCs w:val="1"/>
                <w:color w:val="auto"/>
              </w:rPr>
            </w:pPr>
          </w:p>
        </w:tc>
      </w:tr>
      <w:tr>
        <w:trPr>
          <w:trHeight w:val="193"/>
        </w:trPr>
        <w:tc>
          <w:tcPr>
            <w:tcW w:w="1240" w:type="dxa"/>
            <w:vAlign w:val="bottom"/>
            <w:gridSpan w:val="4"/>
          </w:tcPr>
          <w:p>
            <w:pPr>
              <w:jc w:val="center"/>
              <w:ind w:right="120"/>
              <w:spacing w:after="0" w:line="194" w:lineRule="exact"/>
              <w:rPr>
                <w:sz w:val="20"/>
                <w:szCs w:val="20"/>
                <w:color w:val="auto"/>
              </w:rPr>
            </w:pPr>
            <w:r>
              <w:rPr>
                <w:rFonts w:ascii="Arial" w:cs="Arial" w:eastAsia="Arial" w:hAnsi="Arial"/>
                <w:sz w:val="18"/>
                <w:szCs w:val="18"/>
                <w:color w:val="auto"/>
                <w:w w:val="96"/>
              </w:rPr>
              <w:t>Exhibit</w:t>
            </w:r>
          </w:p>
        </w:tc>
        <w:tc>
          <w:tcPr>
            <w:tcW w:w="10000" w:type="dxa"/>
            <w:vAlign w:val="bottom"/>
            <w:vMerge w:val="restart"/>
          </w:tcPr>
          <w:p>
            <w:pPr>
              <w:ind w:left="4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3"/>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Number</w:t>
            </w: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Arial" w:cs="Arial" w:eastAsia="Arial" w:hAnsi="Arial"/>
                <w:sz w:val="18"/>
                <w:szCs w:val="18"/>
                <w:color w:val="0000FF"/>
                <w:w w:val="87"/>
              </w:rPr>
            </w:pPr>
            <w:hyperlink r:id="rId6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color w:val="auto"/>
                <w:w w:val="96"/>
              </w:rPr>
              <w:t>Amended and Restated Certificate of Incorporation of Western Digital Corporation, as amended to date (Filed as Exhibit 3.1 to the</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w w:val="95"/>
              </w:rPr>
              <w:t>Company’s Quarterly Report on Form 10-Q (File No. 1-08703) with the Securities and Exchange Commission on February 8, 2006)</w:t>
            </w:r>
          </w:p>
        </w:tc>
        <w:tc>
          <w:tcPr>
            <w:tcW w:w="0" w:type="dxa"/>
            <w:vAlign w:val="bottom"/>
          </w:tcPr>
          <w:p>
            <w:pPr>
              <w:spacing w:after="0"/>
              <w:rPr>
                <w:sz w:val="1"/>
                <w:szCs w:val="1"/>
                <w:color w:val="auto"/>
              </w:rPr>
            </w:pPr>
          </w:p>
        </w:tc>
      </w:tr>
      <w:tr>
        <w:trPr>
          <w:trHeight w:val="185"/>
        </w:trPr>
        <w:tc>
          <w:tcPr>
            <w:tcW w:w="720" w:type="dxa"/>
            <w:vAlign w:val="bottom"/>
            <w:gridSpan w:val="2"/>
          </w:tcPr>
          <w:p>
            <w:pPr>
              <w:jc w:val="center"/>
              <w:ind w:left="332"/>
              <w:spacing w:after="0" w:line="185" w:lineRule="exact"/>
              <w:rPr>
                <w:rFonts w:ascii="Arial" w:cs="Arial" w:eastAsia="Arial" w:hAnsi="Arial"/>
                <w:sz w:val="18"/>
                <w:szCs w:val="18"/>
                <w:color w:val="0000FF"/>
                <w:w w:val="87"/>
              </w:rPr>
            </w:pPr>
            <w:hyperlink r:id="rId6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Amended and Restated By-Laws of Western Digital Corporation, as amended effective as of February 10, 2021 (Filed as Exhibit 3.1 to the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w w:val="97"/>
              </w:rPr>
              <w:t>Company’s Current Report on Form 8-K (File No. 1-08703) with the Securities and Exchange Commission on February 12, 2021)</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5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95"/>
              </w:rPr>
              <w:t>Form of Notice and Grant of Performance Stock Units and Performance Stock Unit Award Agreement- Financial Measure, under the</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Amended and Restated Western Digital Corporation 2017 Performance Incentive Plan†*</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6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1"/>
              </w:rPr>
              <w:t>Form of Notice and Grant of Performance Stock Units and Performance Stock Unit Award Agreement- TSR Measure, under the Amended</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and Restated Western Digital Corporation 2017 Performance Incentive Plan†*</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8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w w:val="94"/>
              </w:rPr>
              <w:t>Form of Notice of Grant of Restricted Stock Units and Restricted Stock Unit Award Agreement- Vice President and Above, under the</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Amended and Restated Western Digital Corporation 2017 Performance Incentive Plan†*</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9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90"/>
              </w:rPr>
              <w:t>Western Digital Corporation Amended and Restated 2017 Performance Incentive Plan Non-Employee Director Restricted Stock Unit Grant</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Program, amended and restated as of August 16, 2021†*</w:t>
            </w:r>
          </w:p>
        </w:tc>
        <w:tc>
          <w:tcPr>
            <w:tcW w:w="0" w:type="dxa"/>
            <w:vAlign w:val="bottom"/>
          </w:tcPr>
          <w:p>
            <w:pPr>
              <w:spacing w:after="0"/>
              <w:rPr>
                <w:sz w:val="1"/>
                <w:szCs w:val="1"/>
                <w:color w:val="auto"/>
              </w:rPr>
            </w:pPr>
          </w:p>
        </w:tc>
      </w:tr>
      <w:tr>
        <w:trPr>
          <w:trHeight w:val="185"/>
        </w:trPr>
        <w:tc>
          <w:tcPr>
            <w:tcW w:w="1120" w:type="dxa"/>
            <w:vAlign w:val="bottom"/>
            <w:gridSpan w:val="3"/>
            <w:shd w:val="clear" w:color="auto" w:fill="CCEEFF"/>
          </w:tcPr>
          <w:p>
            <w:pPr>
              <w:jc w:val="center"/>
              <w:spacing w:after="0" w:line="185" w:lineRule="exact"/>
              <w:rPr>
                <w:rFonts w:ascii="Arial" w:cs="Arial" w:eastAsia="Arial" w:hAnsi="Arial"/>
                <w:sz w:val="18"/>
                <w:szCs w:val="18"/>
                <w:color w:val="0000FF"/>
                <w:w w:val="85"/>
              </w:rPr>
            </w:pPr>
            <w:hyperlink w:anchor="page10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10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3"/>
            <w:shd w:val="clear" w:color="auto" w:fill="CCEEFF"/>
          </w:tcPr>
          <w:p>
            <w:pPr>
              <w:jc w:val="center"/>
              <w:spacing w:after="0" w:line="195" w:lineRule="exact"/>
              <w:rPr>
                <w:rFonts w:ascii="Arial" w:cs="Arial" w:eastAsia="Arial" w:hAnsi="Arial"/>
                <w:sz w:val="18"/>
                <w:szCs w:val="18"/>
                <w:color w:val="0000FF"/>
                <w:w w:val="85"/>
              </w:rPr>
            </w:pPr>
            <w:hyperlink w:anchor="page10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1"/>
        </w:trPr>
        <w:tc>
          <w:tcPr>
            <w:tcW w:w="46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185"/>
        </w:trPr>
        <w:tc>
          <w:tcPr>
            <w:tcW w:w="1120" w:type="dxa"/>
            <w:vAlign w:val="bottom"/>
            <w:gridSpan w:val="3"/>
          </w:tcPr>
          <w:p>
            <w:pPr>
              <w:jc w:val="center"/>
              <w:spacing w:after="0" w:line="185" w:lineRule="exact"/>
              <w:rPr>
                <w:rFonts w:ascii="Arial" w:cs="Arial" w:eastAsia="Arial" w:hAnsi="Arial"/>
                <w:sz w:val="18"/>
                <w:szCs w:val="18"/>
                <w:color w:val="0000FF"/>
                <w:w w:val="85"/>
              </w:rPr>
            </w:pPr>
            <w:hyperlink w:anchor="page10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72"/>
        </w:trPr>
        <w:tc>
          <w:tcPr>
            <w:tcW w:w="1240" w:type="dxa"/>
            <w:vAlign w:val="bottom"/>
            <w:gridSpan w:val="4"/>
            <w:shd w:val="clear" w:color="auto" w:fill="CCEEFF"/>
          </w:tcPr>
          <w:p>
            <w:pPr>
              <w:jc w:val="center"/>
              <w:ind w:right="100"/>
              <w:spacing w:after="0" w:line="172" w:lineRule="exact"/>
              <w:rPr>
                <w:sz w:val="20"/>
                <w:szCs w:val="20"/>
                <w:color w:val="auto"/>
              </w:rPr>
            </w:pPr>
            <w:r>
              <w:rPr>
                <w:rFonts w:ascii="Arial" w:cs="Arial" w:eastAsia="Arial" w:hAnsi="Arial"/>
                <w:sz w:val="18"/>
                <w:szCs w:val="18"/>
                <w:color w:val="auto"/>
                <w:w w:val="89"/>
              </w:rPr>
              <w:t>101.INS</w:t>
            </w:r>
          </w:p>
        </w:tc>
        <w:tc>
          <w:tcPr>
            <w:tcW w:w="1000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3"/>
        </w:trPr>
        <w:tc>
          <w:tcPr>
            <w:tcW w:w="4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4"/>
              </w:rPr>
              <w:t>101.CAL</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4"/>
        </w:trPr>
        <w:tc>
          <w:tcPr>
            <w:tcW w:w="124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5"/>
        </w:trPr>
        <w:tc>
          <w:tcPr>
            <w:tcW w:w="12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5"/>
              </w:rPr>
              <w:t>101.PRE</w:t>
            </w: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3"/>
        </w:trPr>
        <w:tc>
          <w:tcPr>
            <w:tcW w:w="124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101.DEF</w:t>
            </w:r>
          </w:p>
        </w:tc>
        <w:tc>
          <w:tcPr>
            <w:tcW w:w="100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5495"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40" w:hanging="806"/>
        <w:spacing w:after="0"/>
        <w:tabs>
          <w:tab w:leader="none" w:pos="1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 formatted in Inline XBRL and contained in Exhibit 101</w:t>
      </w:r>
    </w:p>
    <w:p>
      <w:pPr>
        <w:spacing w:after="0" w:line="254" w:lineRule="exact"/>
        <w:rPr>
          <w:rFonts w:ascii="Arial" w:cs="Arial" w:eastAsia="Arial" w:hAnsi="Arial"/>
          <w:sz w:val="18"/>
          <w:szCs w:val="18"/>
          <w:color w:val="auto"/>
        </w:rPr>
      </w:pPr>
    </w:p>
    <w:p>
      <w:pPr>
        <w:ind w:left="260" w:hanging="254"/>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9715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320" w:right="240" w:hanging="314"/>
        <w:spacing w:after="0" w:line="244" w:lineRule="auto"/>
        <w:tabs>
          <w:tab w:leader="none" w:pos="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54" w:lineRule="exact"/>
        <w:rPr>
          <w:sz w:val="20"/>
          <w:szCs w:val="20"/>
          <w:color w:val="auto"/>
        </w:rPr>
      </w:pPr>
    </w:p>
    <w:p>
      <w:pPr>
        <w:ind w:right="620" w:firstLine="31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WESTERN DIGITAL CORPORATION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00" w:type="dxa"/>
            <w:vAlign w:val="bottom"/>
          </w:tcPr>
          <w:p>
            <w:pPr>
              <w:jc w:val="right"/>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 Gene Zamiska</w:t>
            </w:r>
          </w:p>
        </w:tc>
      </w:tr>
      <w:tr>
        <w:trPr>
          <w:trHeight w:val="217"/>
        </w:trPr>
        <w:tc>
          <w:tcPr>
            <w:tcW w:w="6900" w:type="dxa"/>
            <w:vAlign w:val="bottom"/>
          </w:tcPr>
          <w:p>
            <w:pPr>
              <w:spacing w:after="0"/>
              <w:rPr>
                <w:sz w:val="18"/>
                <w:szCs w:val="18"/>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Gene Zamiska</w:t>
            </w:r>
          </w:p>
        </w:tc>
      </w:tr>
      <w:tr>
        <w:trPr>
          <w:trHeight w:val="173"/>
        </w:trPr>
        <w:tc>
          <w:tcPr>
            <w:tcW w:w="6900" w:type="dxa"/>
            <w:vAlign w:val="bottom"/>
          </w:tcPr>
          <w:p>
            <w:pPr>
              <w:spacing w:after="0"/>
              <w:rPr>
                <w:sz w:val="15"/>
                <w:szCs w:val="15"/>
                <w:color w:val="auto"/>
              </w:rPr>
            </w:pPr>
          </w:p>
        </w:tc>
        <w:tc>
          <w:tcPr>
            <w:tcW w:w="4440" w:type="dxa"/>
            <w:vAlign w:val="bottom"/>
          </w:tcPr>
          <w:p>
            <w:pPr>
              <w:ind w:left="400"/>
              <w:spacing w:after="0" w:line="173" w:lineRule="exact"/>
              <w:rPr>
                <w:sz w:val="20"/>
                <w:szCs w:val="20"/>
                <w:color w:val="auto"/>
              </w:rPr>
            </w:pPr>
            <w:r>
              <w:rPr>
                <w:rFonts w:ascii="Arial" w:cs="Arial" w:eastAsia="Arial" w:hAnsi="Arial"/>
                <w:sz w:val="18"/>
                <w:szCs w:val="18"/>
                <w:i w:val="1"/>
                <w:iCs w:val="1"/>
                <w:color w:val="auto"/>
                <w:w w:val="97"/>
              </w:rPr>
              <w:t>Senior Vice President, Global Accounting and Chief</w:t>
            </w:r>
          </w:p>
        </w:tc>
      </w:tr>
      <w:tr>
        <w:trPr>
          <w:trHeight w:val="223"/>
        </w:trPr>
        <w:tc>
          <w:tcPr>
            <w:tcW w:w="69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Accounting Officer</w:t>
            </w:r>
          </w:p>
        </w:tc>
      </w:tr>
      <w:tr>
        <w:trPr>
          <w:trHeight w:val="224"/>
        </w:trPr>
        <w:tc>
          <w:tcPr>
            <w:tcW w:w="6900" w:type="dxa"/>
            <w:vAlign w:val="bottom"/>
          </w:tcPr>
          <w:p>
            <w:pPr>
              <w:spacing w:after="0"/>
              <w:rPr>
                <w:sz w:val="19"/>
                <w:szCs w:val="19"/>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(Principal Accounting Officer)</w:t>
            </w:r>
          </w:p>
        </w:tc>
      </w:tr>
      <w:tr>
        <w:trPr>
          <w:trHeight w:val="303"/>
        </w:trPr>
        <w:tc>
          <w:tcPr>
            <w:tcW w:w="6900" w:type="dxa"/>
            <w:vAlign w:val="bottom"/>
          </w:tcPr>
          <w:p>
            <w:pPr>
              <w:jc w:val="right"/>
              <w:ind w:right="4972"/>
              <w:spacing w:after="0"/>
              <w:rPr>
                <w:sz w:val="20"/>
                <w:szCs w:val="20"/>
                <w:color w:val="auto"/>
              </w:rPr>
            </w:pPr>
            <w:r>
              <w:rPr>
                <w:rFonts w:ascii="Arial" w:cs="Arial" w:eastAsia="Arial" w:hAnsi="Arial"/>
                <w:sz w:val="18"/>
                <w:szCs w:val="18"/>
                <w:color w:val="auto"/>
                <w:w w:val="88"/>
              </w:rPr>
              <w:t>Dated: November 4, 2021</w:t>
            </w:r>
          </w:p>
        </w:tc>
        <w:tc>
          <w:tcPr>
            <w:tcW w:w="4440" w:type="dxa"/>
            <w:vAlign w:val="bottom"/>
          </w:tcPr>
          <w:p>
            <w:pPr>
              <w:spacing w:after="0"/>
              <w:rPr>
                <w:sz w:val="24"/>
                <w:szCs w:val="24"/>
                <w:color w:val="auto"/>
              </w:rPr>
            </w:pPr>
          </w:p>
        </w:tc>
      </w:tr>
      <w:tr>
        <w:trPr>
          <w:trHeight w:val="752"/>
        </w:trPr>
        <w:tc>
          <w:tcPr>
            <w:tcW w:w="6900" w:type="dxa"/>
            <w:vAlign w:val="bottom"/>
          </w:tcPr>
          <w:p>
            <w:pPr>
              <w:jc w:val="right"/>
              <w:ind w:right="1092"/>
              <w:spacing w:after="0"/>
              <w:rPr>
                <w:sz w:val="20"/>
                <w:szCs w:val="20"/>
                <w:color w:val="auto"/>
              </w:rPr>
            </w:pPr>
            <w:r>
              <w:rPr>
                <w:rFonts w:ascii="Arial" w:cs="Arial" w:eastAsia="Arial" w:hAnsi="Arial"/>
                <w:sz w:val="18"/>
                <w:szCs w:val="18"/>
                <w:color w:val="auto"/>
              </w:rPr>
              <w:t>53</w:t>
            </w:r>
          </w:p>
        </w:tc>
        <w:tc>
          <w:tcPr>
            <w:tcW w:w="4440" w:type="dxa"/>
            <w:vAlign w:val="bottom"/>
          </w:tcPr>
          <w:p>
            <w:pPr>
              <w:spacing w:after="0"/>
              <w:rPr>
                <w:sz w:val="24"/>
                <w:szCs w:val="24"/>
                <w:color w:val="auto"/>
              </w:rPr>
            </w:pPr>
          </w:p>
        </w:tc>
      </w:tr>
    </w:tbl>
    <w:p>
      <w:pPr>
        <w:sectPr>
          <w:pgSz w:w="11900" w:h="16838" w:orient="portrait"/>
          <w:cols w:equalWidth="0" w:num="1">
            <w:col w:w="11340"/>
          </w:cols>
          <w:pgMar w:left="320" w:top="127" w:right="239" w:bottom="1440" w:gutter="0" w:footer="0" w:header="0"/>
        </w:sectPr>
      </w:pPr>
    </w:p>
    <w:bookmarkStart w:id="53" w:name="page54"/>
    <w:bookmarkEnd w:id="53"/>
    <w:p>
      <w:pPr>
        <w:ind w:left="10340"/>
        <w:spacing w:after="0"/>
        <w:rPr>
          <w:sz w:val="20"/>
          <w:szCs w:val="20"/>
          <w:color w:val="auto"/>
        </w:rPr>
      </w:pPr>
      <w:r>
        <w:rPr>
          <w:rFonts w:ascii="Arial" w:cs="Arial" w:eastAsia="Arial" w:hAnsi="Arial"/>
          <w:sz w:val="16"/>
          <w:szCs w:val="16"/>
          <w:b w:val="1"/>
          <w:bCs w:val="1"/>
          <w:color w:val="auto"/>
        </w:rPr>
        <w:t>Exhibit 10.1</w:t>
      </w:r>
    </w:p>
    <w:p>
      <w:pPr>
        <w:spacing w:after="0" w:line="1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2780"/>
        <w:spacing w:after="0" w:line="198" w:lineRule="auto"/>
        <w:rPr>
          <w:sz w:val="20"/>
          <w:szCs w:val="20"/>
          <w:color w:val="auto"/>
        </w:rPr>
      </w:pPr>
      <w:r>
        <w:rPr>
          <w:rFonts w:ascii="Arial" w:cs="Arial" w:eastAsia="Arial" w:hAnsi="Arial"/>
          <w:sz w:val="18"/>
          <w:szCs w:val="18"/>
          <w:b w:val="1"/>
          <w:bCs w:val="1"/>
          <w:color w:val="auto"/>
        </w:rPr>
        <w:t>AMENDED AND RESTATED 2017 PERFORMANCE INCENTIVE PLAN</w:t>
      </w:r>
    </w:p>
    <w:p>
      <w:pPr>
        <w:jc w:val="center"/>
        <w:ind w:right="20"/>
        <w:spacing w:after="0" w:line="199"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line="199" w:lineRule="auto"/>
        <w:rPr>
          <w:sz w:val="20"/>
          <w:szCs w:val="20"/>
          <w:color w:val="auto"/>
        </w:rPr>
      </w:pPr>
      <w:r>
        <w:rPr>
          <w:rFonts w:ascii="Arial" w:cs="Arial" w:eastAsia="Arial" w:hAnsi="Arial"/>
          <w:sz w:val="18"/>
          <w:szCs w:val="18"/>
          <w:b w:val="1"/>
          <w:bCs w:val="1"/>
          <w:color w:val="auto"/>
        </w:rPr>
        <w:t>PERFORMANCE STOCK UNIT AWARD</w:t>
      </w:r>
    </w:p>
    <w:p>
      <w:pPr>
        <w:jc w:val="center"/>
        <w:ind w:right="20"/>
        <w:spacing w:after="0"/>
        <w:rPr>
          <w:sz w:val="20"/>
          <w:szCs w:val="20"/>
          <w:color w:val="auto"/>
        </w:rPr>
      </w:pPr>
      <w:r>
        <w:rPr>
          <w:rFonts w:ascii="Arial" w:cs="Arial" w:eastAsia="Arial" w:hAnsi="Arial"/>
          <w:sz w:val="18"/>
          <w:szCs w:val="18"/>
          <w:b w:val="1"/>
          <w:bCs w:val="1"/>
          <w:color w:val="auto"/>
        </w:rPr>
        <w:t>(FINANCIAL MEASURES)</w:t>
      </w:r>
    </w:p>
    <w:p>
      <w:pPr>
        <w:spacing w:after="0" w:line="21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grants to the Participant named below the number 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Amended and Restated 2017 Performance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 otherwise defined here shall have the meaning set forth in the Plan.</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6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 Number of PSUs:</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1"/>
                <w:szCs w:val="21"/>
                <w:color w:val="auto"/>
                <w:w w:val="98"/>
              </w:rPr>
              <w:t>The vesting date of the PSUs is [________] (the “</w:t>
            </w:r>
            <w:r>
              <w:rPr>
                <w:rFonts w:ascii="Arial" w:cs="Arial" w:eastAsia="Arial" w:hAnsi="Arial"/>
                <w:sz w:val="21"/>
                <w:szCs w:val="21"/>
                <w:b w:val="1"/>
                <w:bCs w:val="1"/>
                <w:i w:val="1"/>
                <w:iCs w:val="1"/>
                <w:color w:val="auto"/>
                <w:w w:val="98"/>
              </w:rPr>
              <w:t>Vesting Date</w:t>
            </w:r>
            <w:r>
              <w:rPr>
                <w:rFonts w:ascii="Arial" w:cs="Arial" w:eastAsia="Arial" w:hAnsi="Arial"/>
                <w:sz w:val="21"/>
                <w:szCs w:val="21"/>
                <w:color w:val="auto"/>
                <w:w w:val="98"/>
              </w:rPr>
              <w:t>”). Vesting shall be subject to</w:t>
            </w:r>
          </w:p>
        </w:tc>
        <w:tc>
          <w:tcPr>
            <w:tcW w:w="0" w:type="dxa"/>
            <w:vAlign w:val="bottom"/>
          </w:tcPr>
          <w:p>
            <w:pPr>
              <w:spacing w:after="0"/>
              <w:rPr>
                <w:sz w:val="1"/>
                <w:szCs w:val="1"/>
                <w:color w:val="auto"/>
              </w:rPr>
            </w:pPr>
          </w:p>
        </w:tc>
      </w:tr>
      <w:tr>
        <w:trPr>
          <w:trHeight w:val="138"/>
        </w:trPr>
        <w:tc>
          <w:tcPr>
            <w:tcW w:w="2680" w:type="dxa"/>
            <w:vAlign w:val="bottom"/>
            <w:tcBorders>
              <w:left w:val="single" w:sz="8" w:color="auto"/>
              <w:right w:val="single" w:sz="8" w:color="auto"/>
            </w:tcBorders>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8"/>
              </w:rPr>
              <w:t>Participant’s Continuous Service (as defined in the Standard Terms and Conditions) from the</w:t>
            </w: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4"/>
              </w:rPr>
              <w:t>Grant Date through the Vesting Date, unless provided otherwise under Section 2 of the Standard</w:t>
            </w:r>
          </w:p>
        </w:tc>
        <w:tc>
          <w:tcPr>
            <w:tcW w:w="0" w:type="dxa"/>
            <w:vAlign w:val="bottom"/>
          </w:tcPr>
          <w:p>
            <w:pPr>
              <w:spacing w:after="0"/>
              <w:rPr>
                <w:sz w:val="1"/>
                <w:szCs w:val="1"/>
                <w:color w:val="auto"/>
              </w:rPr>
            </w:pPr>
          </w:p>
        </w:tc>
      </w:tr>
      <w:tr>
        <w:trPr>
          <w:trHeight w:val="268"/>
        </w:trPr>
        <w:tc>
          <w:tcPr>
            <w:tcW w:w="2680" w:type="dxa"/>
            <w:vAlign w:val="bottom"/>
            <w:tcBorders>
              <w:left w:val="single" w:sz="8" w:color="auto"/>
              <w:right w:val="single" w:sz="8" w:color="auto"/>
            </w:tcBorders>
          </w:tcPr>
          <w:p>
            <w:pPr>
              <w:spacing w:after="0"/>
              <w:rPr>
                <w:sz w:val="23"/>
                <w:szCs w:val="23"/>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Terms and Conditions.</w:t>
            </w: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bottom w:val="single" w:sz="8" w:color="auto"/>
              <w:right w:val="single" w:sz="8" w:color="auto"/>
            </w:tcBorders>
          </w:tcPr>
          <w:p>
            <w:pPr>
              <w:spacing w:after="0"/>
              <w:rPr>
                <w:sz w:val="10"/>
                <w:szCs w:val="10"/>
                <w:color w:val="auto"/>
              </w:rPr>
            </w:pPr>
          </w:p>
        </w:tc>
        <w:tc>
          <w:tcPr>
            <w:tcW w:w="8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Measurement Period:</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The Measurement Period begins [____________] and ends [__________]. The actual number of PSUs that may</w:t>
            </w:r>
          </w:p>
        </w:tc>
        <w:tc>
          <w:tcPr>
            <w:tcW w:w="0" w:type="dxa"/>
            <w:vAlign w:val="bottom"/>
          </w:tcPr>
          <w:p>
            <w:pPr>
              <w:spacing w:after="0"/>
              <w:rPr>
                <w:sz w:val="1"/>
                <w:szCs w:val="1"/>
                <w:color w:val="auto"/>
              </w:rPr>
            </w:pPr>
          </w:p>
        </w:tc>
      </w:tr>
      <w:tr>
        <w:trPr>
          <w:trHeight w:val="94"/>
        </w:trPr>
        <w:tc>
          <w:tcPr>
            <w:tcW w:w="2680" w:type="dxa"/>
            <w:vAlign w:val="bottom"/>
            <w:tcBorders>
              <w:left w:val="single" w:sz="8" w:color="auto"/>
              <w:right w:val="single" w:sz="8" w:color="auto"/>
            </w:tcBorders>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become eligible to vest on the Vesting Date based on performance during a Measurement Period may range from</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[0%] to [200%] of the Target Number of PSUs corresponding to that Measurement Period, subject to forfeiture as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provided in the Standard Terms and 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AGREEMENT. FAILURE TO REJECT THIS AWARD WITHIN SUCH 5-DAY PERIOD SHALL BE DEEMED ACCEPTANCE OF THIS AWARD AND THE TERMS AND CONDITIONS OF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374" w:right="31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2017 PERFORMANCE INCENTIVE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STOCK UNITS</w:t>
      </w:r>
    </w:p>
    <w:p>
      <w:pPr>
        <w:spacing w:after="0" w:line="243"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These Standard Terms and Conditions apply to this Award of Performance Stock Units granted under the Western Digital Corporation Amended and Restated 2017 Performance Incentive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05"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95" w:lineRule="exact"/>
        <w:rPr>
          <w:sz w:val="20"/>
          <w:szCs w:val="20"/>
          <w:color w:val="auto"/>
        </w:rPr>
      </w:pPr>
    </w:p>
    <w:p>
      <w:pPr>
        <w:jc w:val="both"/>
        <w:ind w:right="80"/>
        <w:spacing w:after="0" w:line="300"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has granted to the Participant named in the attached Grant Notice an award of Performance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Corporation shall include a reference to any Subsidiary.</w:t>
      </w:r>
    </w:p>
    <w:p>
      <w:pPr>
        <w:spacing w:after="0" w:line="122"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94" w:lineRule="exact"/>
        <w:rPr>
          <w:rFonts w:ascii="Arial" w:cs="Arial" w:eastAsia="Arial" w:hAnsi="Arial"/>
          <w:sz w:val="18"/>
          <w:szCs w:val="18"/>
          <w:b w:val="1"/>
          <w:bCs w:val="1"/>
          <w:color w:val="auto"/>
        </w:rPr>
      </w:pPr>
    </w:p>
    <w:p>
      <w:pPr>
        <w:jc w:val="both"/>
        <w:ind w:right="60" w:firstLine="639"/>
        <w:spacing w:after="0" w:line="285" w:lineRule="auto"/>
        <w:tabs>
          <w:tab w:leader="none" w:pos="12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Corporation.</w:t>
      </w:r>
    </w:p>
    <w:p>
      <w:pPr>
        <w:spacing w:after="0" w:line="166" w:lineRule="exact"/>
        <w:rPr>
          <w:rFonts w:ascii="Arial" w:cs="Arial" w:eastAsia="Arial" w:hAnsi="Arial"/>
          <w:sz w:val="16"/>
          <w:szCs w:val="16"/>
          <w:color w:val="auto"/>
        </w:rPr>
      </w:pPr>
    </w:p>
    <w:p>
      <w:pPr>
        <w:jc w:val="both"/>
        <w:ind w:right="60" w:firstLine="639"/>
        <w:spacing w:after="0" w:line="282"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Following the end of the Measurement Period, the Administrator shall determine the extent to which the applicable performance goals have been achieved and the number of PSUs eligible to vest. Any PSUs (including any related credited dividend equivalents) corresponding to the Measurement Period that do not become eligible to vest shall terminate as of the end of the Measurement Period. The PSUs that become eligible to vest based on performance during the Measurement Period shall vest on the Vesting Date set forth in the Grant Notice, subject to Continuous Service (as defined below) through such date, except as expressly provided in Section 2(c) or Section 2(d) below. The Corporation shall deliver to the Participant on the Settlement Date (as defined below) a number of shares of Common Stock equal to the number of Vested PSUs. The Corporation may, in its sole discretion, settle any PSUs accrued as dividend equivalents by a cash payment equal to the Fair Market Value of a share of Common Stock on the date of payment (as opposed to payment in the form of shares of Common Stock).</w:t>
      </w:r>
    </w:p>
    <w:p>
      <w:pPr>
        <w:spacing w:after="0" w:line="170"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Participant’s service with the Corporation or a Subsidiary, whether as an employee, director, or consultant or advisor, is not interrupted or terminated. Unless the express policy of the Corporation or any Subsidiary, or the Administrator, otherwise provides, or except as otherwise required by applicable law, a Participant will not be deemed to have terminated Continuous Service in the case of (i) sick leave, (ii) military leave, (iii) transfer from one Affiliate (as defined below) to another Affiliate, or (iv) any other leave of absence authorized by the Corporation (or Subsidiary) or the Administrator, provided that such leave is for a period of not more than three months (unless the Administrator otherwise provides or reemployment or continued service is guaranteed by contract or law upon the expiration of such leave). In the case of any Participant of the Corporation or one of its Subsidiaries on an approved leave of absence, continued vesting of an Award while on leave from the service of the Corporation or one of its Subsidiaries may be suspended until the Participant returns to service, unless the Administrator otherwise provides or applicable law otherwise requires.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87" w:right="339" w:bottom="1440" w:gutter="0" w:footer="0" w:header="0"/>
        </w:sectPr>
      </w:pPr>
    </w:p>
    <w:bookmarkStart w:id="55" w:name="page56"/>
    <w:bookmarkEnd w:id="55"/>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and any Award, if an entity ceases to be a Subsidiary, a termination of Continuous Service shall be deemed to have occurred with respect to each Participant in respect of such Subsidiary who does not continue as an employee, director or consultant or advisor in respect of the Corporation or another Subsidiary that continues as such after giving effect to the transaction or other event giving rise to the change in status.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For purposes of this definition,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Corporation, as such terms are defined in Rule 405 of the Securities Act. The Administrator will have the authority to determine the time or times at which “parent” or “subsidiary” status is determined within the foregoing definition.</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PSUs on the Vesting Date but in no event later than December 31 of the calendar year in which the Vesting Date occurs.</w:t>
      </w:r>
    </w:p>
    <w:p>
      <w:pPr>
        <w:spacing w:after="0" w:line="181" w:lineRule="exact"/>
        <w:rPr>
          <w:sz w:val="20"/>
          <w:szCs w:val="20"/>
          <w:color w:val="auto"/>
        </w:rPr>
      </w:pPr>
    </w:p>
    <w:p>
      <w:pPr>
        <w:jc w:val="both"/>
        <w:ind w:firstLine="639"/>
        <w:spacing w:after="0" w:line="283" w:lineRule="auto"/>
        <w:tabs>
          <w:tab w:leader="none" w:pos="126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due to a Qualifying Retirement; Termination without Cause under the Executive Severance Plan</w:t>
      </w:r>
      <w:r>
        <w:rPr>
          <w:rFonts w:ascii="Arial" w:cs="Arial" w:eastAsia="Arial" w:hAnsi="Arial"/>
          <w:sz w:val="16"/>
          <w:szCs w:val="16"/>
          <w:color w:val="auto"/>
        </w:rPr>
        <w:t>. (1)</w:t>
      </w:r>
      <w:r>
        <w:rPr>
          <w:rFonts w:ascii="Arial" w:cs="Arial" w:eastAsia="Arial" w:hAnsi="Arial"/>
          <w:sz w:val="16"/>
          <w:szCs w:val="16"/>
          <w:i w:val="1"/>
          <w:iCs w:val="1"/>
          <w:color w:val="auto"/>
        </w:rPr>
        <w:t xml:space="preserve"> </w:t>
      </w:r>
      <w:r>
        <w:rPr>
          <w:rFonts w:ascii="Arial" w:cs="Arial" w:eastAsia="Arial" w:hAnsi="Arial"/>
          <w:sz w:val="16"/>
          <w:szCs w:val="16"/>
          <w:color w:val="auto"/>
        </w:rPr>
        <w:t>Upon Participant’s termination of Continuous Service due to death, (2) upon Participant’s termination of employment due to a Qualifying Retirement (as defined below), or (3)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Corporation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70" w:lineRule="exact"/>
        <w:rPr>
          <w:sz w:val="20"/>
          <w:szCs w:val="20"/>
          <w:color w:val="auto"/>
        </w:rPr>
      </w:pPr>
    </w:p>
    <w:p>
      <w:pPr>
        <w:jc w:val="both"/>
        <w:ind w:left="640" w:hanging="1"/>
        <w:spacing w:after="0" w:line="248" w:lineRule="auto"/>
        <w:tabs>
          <w:tab w:leader="none" w:pos="10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PSUs (and any credited dividend equivalent rights) will remain outstanding and a pro-rated portion will vest, if at all, based on the actual achievement of the applicable performance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Measurement Period through and including the Participant’s termination of Continuous Service and a denominator equal to the total number of calendar days in the Measurement Period.</w:t>
      </w:r>
    </w:p>
    <w:p>
      <w:pPr>
        <w:spacing w:after="0" w:line="193" w:lineRule="exact"/>
        <w:rPr>
          <w:rFonts w:ascii="Arial" w:cs="Arial" w:eastAsia="Arial" w:hAnsi="Arial"/>
          <w:sz w:val="18"/>
          <w:szCs w:val="18"/>
          <w:color w:val="auto"/>
        </w:rPr>
      </w:pPr>
    </w:p>
    <w:p>
      <w:pPr>
        <w:ind w:left="640" w:right="20" w:hanging="1"/>
        <w:spacing w:after="0" w:line="262" w:lineRule="auto"/>
        <w:tabs>
          <w:tab w:leader="none" w:pos="10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Measurement Period has ended as of the date of termination of Continuous Service, the PSUs (and any credited dividend equivalents) will remain outstanding and will vest, if at all, based on the actual achievement of the applicable performance goal(s).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Corporation and its Subsidiaries in a capacity other than as an employee. Such continued vesting is subject to the Participant’s Continuous Services through each applicable vesting date.</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means the termination of the Participant’s employment with the Corporation and its Subsidiaries due to his or her retirement from employment with the Corporation or one of its Subsidiaries after satisfying all of the following requirements at the time of such termination: (i) the Participant is at least 55 years of age, (ii) the Participant has five or more whole years of credited service with the Corporation and/or any of its Subsidiaries; and (iii) the Participant’s age plus years of credited service with the Corporation and/or any of its Subsidiaries (including only whole years in the case of both age and credited service for purposes of this requirement) totals at least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65" w:lineRule="exact"/>
        <w:rPr>
          <w:sz w:val="20"/>
          <w:szCs w:val="20"/>
          <w:color w:val="auto"/>
        </w:rPr>
      </w:pPr>
    </w:p>
    <w:p>
      <w:pPr>
        <w:jc w:val="both"/>
        <w:ind w:left="-6" w:firstLine="639"/>
        <w:spacing w:after="0" w:line="285" w:lineRule="auto"/>
        <w:tabs>
          <w:tab w:leader="none" w:pos="125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Corporation without Cause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6" w:lineRule="exact"/>
        <w:rPr>
          <w:sz w:val="20"/>
          <w:szCs w:val="20"/>
          <w:color w:val="auto"/>
        </w:rPr>
      </w:pPr>
    </w:p>
    <w:p>
      <w:pPr>
        <w:jc w:val="both"/>
        <w:ind w:left="1274" w:hanging="641"/>
        <w:spacing w:after="0" w:line="292" w:lineRule="auto"/>
        <w:tabs>
          <w:tab w:leader="none" w:pos="1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Measurement Period has not ended as of the date of termination of Continuous Service, the number of shares of Common Stock that will vest shall be equal to the greater of (x) the target number of PSUs corresponding to the Measurement Period or (y) the number of shares of Common Stock subject to the PSUs corresponding to the Measurement Period that would vest based on the treatment set forth in the definitive agreement providing for the Change in Control Event.</w:t>
      </w:r>
    </w:p>
    <w:p>
      <w:pPr>
        <w:spacing w:after="0" w:line="159" w:lineRule="exact"/>
        <w:rPr>
          <w:rFonts w:ascii="Arial" w:cs="Arial" w:eastAsia="Arial" w:hAnsi="Arial"/>
          <w:sz w:val="16"/>
          <w:szCs w:val="16"/>
          <w:color w:val="auto"/>
        </w:rPr>
      </w:pPr>
    </w:p>
    <w:p>
      <w:pPr>
        <w:ind w:left="1274" w:hanging="641"/>
        <w:spacing w:after="0" w:line="325" w:lineRule="auto"/>
        <w:tabs>
          <w:tab w:leader="none" w:pos="12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Measurement Period has ended as of the date of termination of Continuous Service, the PSUs corresponding to such Measurement Period will remain outstanding and will vest, if at all, based on the actual achievement of the applicable performance goal(s).</w:t>
      </w:r>
    </w:p>
    <w:p>
      <w:pPr>
        <w:spacing w:after="0" w:line="135" w:lineRule="exact"/>
        <w:rPr>
          <w:sz w:val="20"/>
          <w:szCs w:val="20"/>
          <w:color w:val="auto"/>
        </w:rPr>
      </w:pPr>
    </w:p>
    <w:p>
      <w:pPr>
        <w:jc w:val="both"/>
        <w:ind w:left="-6" w:firstLine="639"/>
        <w:spacing w:after="0" w:line="250" w:lineRule="auto"/>
        <w:tabs>
          <w:tab w:leader="none" w:pos="1258"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Corporation due to a resignation by Participant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192" w:lineRule="exact"/>
        <w:rPr>
          <w:rFonts w:ascii="Arial" w:cs="Arial" w:eastAsia="Arial" w:hAnsi="Arial"/>
          <w:sz w:val="18"/>
          <w:szCs w:val="18"/>
          <w:color w:val="auto"/>
        </w:rPr>
      </w:pPr>
    </w:p>
    <w:p>
      <w:pPr>
        <w:ind w:left="-6" w:firstLine="639"/>
        <w:spacing w:after="0" w:line="262" w:lineRule="auto"/>
        <w:tabs>
          <w:tab w:leader="none" w:pos="12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Corporation for Cause, the entire Award held by the Participant shall be forfeited as of the date of the Participant’s termination of Continuous Service.</w:t>
      </w:r>
    </w:p>
    <w:p>
      <w:pPr>
        <w:spacing w:after="0" w:line="220" w:lineRule="exact"/>
        <w:rPr>
          <w:rFonts w:ascii="Arial" w:cs="Arial" w:eastAsia="Arial" w:hAnsi="Arial"/>
          <w:sz w:val="18"/>
          <w:szCs w:val="18"/>
          <w:color w:val="auto"/>
        </w:rPr>
      </w:pPr>
    </w:p>
    <w:p>
      <w:pPr>
        <w:jc w:val="both"/>
        <w:ind w:left="-6" w:firstLine="639"/>
        <w:spacing w:after="0" w:line="281" w:lineRule="auto"/>
        <w:tabs>
          <w:tab w:leader="none" w:pos="1254"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 For the avoidance of doubt, a Participant who is retirement-eligible and receives Local Severance Benefits shall also receive the vesting treatment described in Section 2(c) as though the Participant had experienced a Qualifying Retirement.</w:t>
      </w:r>
    </w:p>
    <w:p>
      <w:pPr>
        <w:spacing w:after="0" w:line="139" w:lineRule="exact"/>
        <w:rPr>
          <w:rFonts w:ascii="Arial" w:cs="Arial" w:eastAsia="Arial" w:hAnsi="Arial"/>
          <w:sz w:val="16"/>
          <w:szCs w:val="16"/>
          <w:color w:val="auto"/>
        </w:rPr>
      </w:pPr>
    </w:p>
    <w:p>
      <w:pPr>
        <w:ind w:left="634" w:hanging="634"/>
        <w:spacing w:after="0"/>
        <w:tabs>
          <w:tab w:leader="none" w:pos="63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194" w:lineRule="exact"/>
        <w:rPr>
          <w:rFonts w:ascii="Arial" w:cs="Arial" w:eastAsia="Arial" w:hAnsi="Arial"/>
          <w:sz w:val="18"/>
          <w:szCs w:val="18"/>
          <w:b w:val="1"/>
          <w:bCs w:val="1"/>
          <w:color w:val="auto"/>
        </w:rPr>
      </w:pPr>
    </w:p>
    <w:p>
      <w:pPr>
        <w:ind w:left="-6" w:firstLine="639"/>
        <w:spacing w:after="0" w:line="262" w:lineRule="auto"/>
        <w:tabs>
          <w:tab w:leader="none" w:pos="12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Corporation in respect of any PSUs unless and until shares of Common Stock settled for such PSUs shall have been issued by the Corporation to Participant.</w:t>
      </w:r>
    </w:p>
    <w:p>
      <w:pPr>
        <w:spacing w:after="0" w:line="181" w:lineRule="exact"/>
        <w:rPr>
          <w:rFonts w:ascii="Arial" w:cs="Arial" w:eastAsia="Arial" w:hAnsi="Arial"/>
          <w:sz w:val="18"/>
          <w:szCs w:val="18"/>
          <w:color w:val="auto"/>
        </w:rPr>
      </w:pPr>
    </w:p>
    <w:p>
      <w:pPr>
        <w:jc w:val="both"/>
        <w:ind w:left="-6" w:firstLine="639"/>
        <w:spacing w:after="0" w:line="292" w:lineRule="auto"/>
        <w:tabs>
          <w:tab w:leader="none" w:pos="1254"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Corporation pays a cash dividend (if any) to Common Stock holders generally. Such dividend equivalent shall be determined by dividing (i) the product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3"/>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74"/>
          </w:cols>
          <w:pgMar w:left="326" w:top="1440" w:right="399" w:bottom="1440" w:gutter="0" w:footer="0" w:header="0"/>
        </w:sectPr>
      </w:pPr>
    </w:p>
    <w:bookmarkStart w:id="57" w:name="page58"/>
    <w:bookmarkEnd w:id="57"/>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Corporation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37" w:lineRule="exact"/>
        <w:rPr>
          <w:sz w:val="20"/>
          <w:szCs w:val="20"/>
          <w:color w:val="auto"/>
        </w:rPr>
      </w:pPr>
    </w:p>
    <w:p>
      <w:pPr>
        <w:ind w:left="640" w:hanging="634"/>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Corporation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60" w:lineRule="exact"/>
        <w:rPr>
          <w:sz w:val="20"/>
          <w:szCs w:val="20"/>
          <w:color w:val="auto"/>
        </w:rPr>
      </w:pPr>
    </w:p>
    <w:p>
      <w:pPr>
        <w:ind w:left="640" w:hanging="634"/>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Corporation deduction from any amounts payable to Participant; (iii) Corporation withholding of shares from the Common Stock issuable to the Participant in connection with the PSUs (only up to the amount permitted that will not cause an adverse accounting consequence); or (iv) Corporation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34"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9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35" w:lineRule="exact"/>
        <w:rPr>
          <w:sz w:val="20"/>
          <w:szCs w:val="20"/>
          <w:color w:val="auto"/>
        </w:rPr>
      </w:pPr>
    </w:p>
    <w:p>
      <w:pPr>
        <w:ind w:left="640" w:hanging="63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Corporation regarding this Award. Any prior agreements, commitments or negotiations concerning this Award are superseded.</w:t>
      </w:r>
    </w:p>
    <w:p>
      <w:pPr>
        <w:spacing w:after="0" w:line="149"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Corporation or an Affiliate in any capacity and will not affect the right of the Corporation or an Affiliate to terminate the service of the Participant.</w:t>
      </w:r>
    </w:p>
    <w:p>
      <w:pPr>
        <w:spacing w:after="0" w:line="149"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4" w:lineRule="exact"/>
        <w:rPr>
          <w:rFonts w:ascii="Arial" w:cs="Arial" w:eastAsia="Arial" w:hAnsi="Arial"/>
          <w:sz w:val="18"/>
          <w:szCs w:val="18"/>
          <w:b w:val="1"/>
          <w:bCs w:val="1"/>
          <w:color w:val="auto"/>
        </w:rPr>
      </w:pPr>
    </w:p>
    <w:p>
      <w:pPr>
        <w:ind w:firstLine="639"/>
        <w:spacing w:after="0" w:line="232" w:lineRule="auto"/>
        <w:tabs>
          <w:tab w:leader="none" w:pos="1263" w:val="left"/>
        </w:tabs>
        <w:numPr>
          <w:ilvl w:val="1"/>
          <w:numId w:val="22"/>
        </w:numPr>
        <w:rPr>
          <w:rFonts w:ascii="Arial" w:cs="Arial" w:eastAsia="Arial" w:hAnsi="Arial"/>
          <w:sz w:val="21"/>
          <w:szCs w:val="21"/>
          <w:color w:val="auto"/>
        </w:rPr>
      </w:pPr>
      <w:r>
        <w:rPr>
          <w:rFonts w:ascii="Arial" w:cs="Arial" w:eastAsia="Arial" w:hAnsi="Arial"/>
          <w:sz w:val="18"/>
          <w:szCs w:val="18"/>
          <w:color w:val="auto"/>
        </w:rPr>
        <w:t>In the event that any provision of these Standard Terms and Conditions (including, for the avoidance of doubt, the Plan, which is incorporated here by this reference) is declared to be unenforceable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58" w:name="page59"/>
    <w:bookmarkEnd w:id="58"/>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Agreement and/or the Plan should modify the stricken terms as narrowly as possible to give as much effect as possible to the intentions of the parties hereunder.</w:t>
      </w:r>
    </w:p>
    <w:p>
      <w:pPr>
        <w:spacing w:after="0" w:line="232" w:lineRule="exact"/>
        <w:rPr>
          <w:sz w:val="20"/>
          <w:szCs w:val="20"/>
          <w:color w:val="auto"/>
        </w:rPr>
      </w:pPr>
    </w:p>
    <w:p>
      <w:pPr>
        <w:jc w:val="both"/>
        <w:ind w:firstLine="639"/>
        <w:spacing w:after="0" w:line="255" w:lineRule="auto"/>
        <w:tabs>
          <w:tab w:leader="none" w:pos="1262"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27" w:lineRule="exact"/>
        <w:rPr>
          <w:rFonts w:ascii="Arial" w:cs="Arial" w:eastAsia="Arial" w:hAnsi="Arial"/>
          <w:sz w:val="20"/>
          <w:szCs w:val="20"/>
          <w:color w:val="auto"/>
        </w:rPr>
      </w:pPr>
    </w:p>
    <w:p>
      <w:pPr>
        <w:ind w:firstLine="639"/>
        <w:spacing w:after="0" w:line="232" w:lineRule="auto"/>
        <w:tabs>
          <w:tab w:leader="none" w:pos="1263" w:val="left"/>
        </w:tabs>
        <w:numPr>
          <w:ilvl w:val="0"/>
          <w:numId w:val="23"/>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239" w:lineRule="exact"/>
        <w:rPr>
          <w:rFonts w:ascii="Arial" w:cs="Arial" w:eastAsia="Arial" w:hAnsi="Arial"/>
          <w:sz w:val="21"/>
          <w:szCs w:val="21"/>
          <w:color w:val="auto"/>
        </w:rPr>
      </w:pPr>
    </w:p>
    <w:p>
      <w:pPr>
        <w:ind w:right="20" w:firstLine="639"/>
        <w:spacing w:after="0" w:line="232" w:lineRule="auto"/>
        <w:tabs>
          <w:tab w:leader="none" w:pos="1262" w:val="left"/>
        </w:tabs>
        <w:numPr>
          <w:ilvl w:val="0"/>
          <w:numId w:val="23"/>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239" w:lineRule="exact"/>
        <w:rPr>
          <w:rFonts w:ascii="Arial" w:cs="Arial" w:eastAsia="Arial" w:hAnsi="Arial"/>
          <w:sz w:val="21"/>
          <w:szCs w:val="21"/>
          <w:color w:val="auto"/>
        </w:rPr>
      </w:pPr>
    </w:p>
    <w:p>
      <w:pPr>
        <w:jc w:val="both"/>
        <w:ind w:firstLine="639"/>
        <w:spacing w:after="0" w:line="236" w:lineRule="auto"/>
        <w:tabs>
          <w:tab w:leader="none" w:pos="1263" w:val="left"/>
        </w:tabs>
        <w:numPr>
          <w:ilvl w:val="0"/>
          <w:numId w:val="23"/>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39" w:lineRule="exact"/>
        <w:rPr>
          <w:rFonts w:ascii="Arial" w:cs="Arial" w:eastAsia="Arial" w:hAnsi="Arial"/>
          <w:sz w:val="21"/>
          <w:szCs w:val="21"/>
          <w:color w:val="auto"/>
        </w:rPr>
      </w:pPr>
    </w:p>
    <w:p>
      <w:pPr>
        <w:jc w:val="both"/>
        <w:ind w:firstLine="639"/>
        <w:spacing w:after="0" w:line="239" w:lineRule="auto"/>
        <w:tabs>
          <w:tab w:leader="none" w:pos="1266" w:val="left"/>
        </w:tabs>
        <w:numPr>
          <w:ilvl w:val="0"/>
          <w:numId w:val="23"/>
        </w:numPr>
        <w:rPr>
          <w:rFonts w:ascii="Arial" w:cs="Arial" w:eastAsia="Arial" w:hAnsi="Arial"/>
          <w:sz w:val="21"/>
          <w:szCs w:val="21"/>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Participant’s employer or any Subsidiary.</w:t>
      </w:r>
    </w:p>
    <w:p>
      <w:pPr>
        <w:spacing w:after="0" w:line="201" w:lineRule="exact"/>
        <w:rPr>
          <w:rFonts w:ascii="Arial" w:cs="Arial" w:eastAsia="Arial" w:hAnsi="Arial"/>
          <w:sz w:val="21"/>
          <w:szCs w:val="21"/>
          <w:color w:val="auto"/>
        </w:rPr>
      </w:pPr>
    </w:p>
    <w:p>
      <w:pPr>
        <w:ind w:left="1260" w:hanging="621"/>
        <w:spacing w:after="0"/>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203" w:lineRule="exact"/>
        <w:rPr>
          <w:rFonts w:ascii="Arial" w:cs="Arial" w:eastAsia="Arial" w:hAnsi="Arial"/>
          <w:sz w:val="16"/>
          <w:szCs w:val="16"/>
          <w:color w:val="auto"/>
        </w:rPr>
      </w:pPr>
    </w:p>
    <w:p>
      <w:pPr>
        <w:jc w:val="both"/>
        <w:ind w:firstLine="639"/>
        <w:spacing w:after="0" w:line="253"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Corporation’s compensation recovery (clawback) policy or policies then in effect. No recovery of compensation under any such policy will be an event giving rise to a right to resign for “good reason” or “constructive termination” (or similar term) under any agreement with the Corporation or a Subsidiary.</w:t>
      </w:r>
    </w:p>
    <w:p>
      <w:pPr>
        <w:spacing w:after="0" w:line="157" w:lineRule="exact"/>
        <w:rPr>
          <w:sz w:val="20"/>
          <w:szCs w:val="20"/>
          <w:color w:val="auto"/>
        </w:rPr>
      </w:pPr>
    </w:p>
    <w:p>
      <w:pPr>
        <w:ind w:left="640" w:hanging="634"/>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Corporation and the Subsidiaries, the Plan, and the PSUs via Corporation web site or other electronic delivery.</w:t>
      </w:r>
    </w:p>
    <w:p>
      <w:pPr>
        <w:spacing w:after="0" w:line="157" w:lineRule="exact"/>
        <w:rPr>
          <w:sz w:val="20"/>
          <w:szCs w:val="20"/>
          <w:color w:val="auto"/>
        </w:rPr>
      </w:pPr>
    </w:p>
    <w:p>
      <w:pPr>
        <w:ind w:left="620" w:hanging="614"/>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Any controversy arising out of or relating to the Grant Notice, these Standard Terms and Conditions, and/or the Plan (“</w:t>
      </w:r>
      <w:r>
        <w:rPr>
          <w:rFonts w:ascii="Arial" w:cs="Arial" w:eastAsia="Arial" w:hAnsi="Arial"/>
          <w:sz w:val="18"/>
          <w:szCs w:val="18"/>
          <w:b w:val="1"/>
          <w:bCs w:val="1"/>
          <w:i w:val="1"/>
          <w:iCs w:val="1"/>
          <w:color w:val="auto"/>
        </w:rPr>
        <w:t>Covered Claims</w:t>
      </w:r>
      <w:r>
        <w:rPr>
          <w:rFonts w:ascii="Arial" w:cs="Arial" w:eastAsia="Arial" w:hAnsi="Arial"/>
          <w:sz w:val="18"/>
          <w:szCs w:val="18"/>
          <w:color w:val="auto"/>
        </w:rPr>
        <w:t>”), shall be resolved in accordance with the terms and conditions of the Western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40" w:right="399" w:bottom="1440" w:gutter="0" w:footer="0" w:header="0"/>
        </w:sectPr>
      </w:pPr>
    </w:p>
    <w:bookmarkStart w:id="59" w:name="page60"/>
    <w:bookmarkEnd w:id="59"/>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Technologies, Inc. Dispute Resolution Agreement (the “</w:t>
      </w:r>
      <w:r>
        <w:rPr>
          <w:rFonts w:ascii="Arial" w:cs="Arial" w:eastAsia="Arial" w:hAnsi="Arial"/>
          <w:sz w:val="16"/>
          <w:szCs w:val="16"/>
          <w:b w:val="1"/>
          <w:bCs w:val="1"/>
          <w:i w:val="1"/>
          <w:iCs w:val="1"/>
          <w:color w:val="auto"/>
        </w:rPr>
        <w:t>DRA</w:t>
      </w:r>
      <w:r>
        <w:rPr>
          <w:rFonts w:ascii="Arial" w:cs="Arial" w:eastAsia="Arial" w:hAnsi="Arial"/>
          <w:sz w:val="16"/>
          <w:szCs w:val="16"/>
          <w:color w:val="auto"/>
        </w:rPr>
        <w:t>”), except with respect to any specific performance provided for in Section 13(f) below.</w:t>
      </w:r>
    </w:p>
    <w:p>
      <w:pPr>
        <w:spacing w:after="0" w:line="238" w:lineRule="exact"/>
        <w:rPr>
          <w:sz w:val="20"/>
          <w:szCs w:val="20"/>
          <w:color w:val="auto"/>
        </w:rPr>
      </w:pPr>
    </w:p>
    <w:p>
      <w:pPr>
        <w:jc w:val="both"/>
        <w:ind w:right="60"/>
        <w:spacing w:after="0" w:line="279"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Corporation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Corporation and the Participant and may be enforced by any court of competent jurisdiction.</w:t>
      </w:r>
    </w:p>
    <w:p>
      <w:pPr>
        <w:spacing w:after="0" w:line="177"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60" w:lineRule="exact"/>
        <w:rPr>
          <w:sz w:val="20"/>
          <w:szCs w:val="20"/>
          <w:color w:val="auto"/>
        </w:rPr>
      </w:pPr>
    </w:p>
    <w:p>
      <w:pPr>
        <w:ind w:left="640" w:hanging="634"/>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2"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xml:space="preserve">”) and any terms and 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Corporation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27" w:lineRule="exact"/>
        <w:rPr>
          <w:sz w:val="20"/>
          <w:szCs w:val="20"/>
          <w:color w:val="auto"/>
        </w:rPr>
      </w:pPr>
    </w:p>
    <w:p>
      <w:pPr>
        <w:ind w:left="640" w:hanging="634"/>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21" w:lineRule="exact"/>
        <w:rPr>
          <w:sz w:val="20"/>
          <w:szCs w:val="20"/>
          <w:color w:val="auto"/>
        </w:rPr>
      </w:pPr>
    </w:p>
    <w:p>
      <w:pPr>
        <w:ind w:firstLine="6"/>
        <w:spacing w:after="0" w:line="262" w:lineRule="auto"/>
        <w:tabs>
          <w:tab w:leader="none" w:pos="4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Agreement generally, and (ii) specifically (and without limiting the generality of clause (i)) agrees to the provisions of this Section 13.</w:t>
      </w:r>
    </w:p>
    <w:p>
      <w:pPr>
        <w:spacing w:after="0" w:line="181" w:lineRule="exact"/>
        <w:rPr>
          <w:rFonts w:ascii="Arial" w:cs="Arial" w:eastAsia="Arial" w:hAnsi="Arial"/>
          <w:sz w:val="18"/>
          <w:szCs w:val="18"/>
          <w:color w:val="auto"/>
        </w:rPr>
      </w:pPr>
    </w:p>
    <w:p>
      <w:pPr>
        <w:jc w:val="both"/>
        <w:ind w:firstLine="6"/>
        <w:spacing w:after="0" w:line="288" w:lineRule="auto"/>
        <w:tabs>
          <w:tab w:leader="none" w:pos="4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Corporation or any of its Subsidiaries to leave the employ or service, as applicable, of the Corporation or any such Subsidiary, or become employed or engaged by any third party, or in any way interfere with the relationship between the Corporation or any such Subsidiary, on the one hand, and any employee or independent contractor thereof, on the other hand. This Section 13(b) does not</w:t>
      </w:r>
    </w:p>
    <w:p>
      <w:pPr>
        <w:spacing w:after="0" w:line="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limit any general advertising or job posting not directed at any individual or group of employees of the Corporation or any of its Subsidiaries. For purposes of this Award Agreement,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means the period of time the Participant is employed by or provides services to the Corporation or one of its Subsidiaries and the period of twenty-four (24) months after the date on which the Participant’s Continuous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60" w:name="page61"/>
    <w:bookmarkEnd w:id="60"/>
    <w:p>
      <w:pPr>
        <w:jc w:val="both"/>
        <w:ind w:firstLine="6"/>
        <w:spacing w:after="0" w:line="279" w:lineRule="auto"/>
        <w:tabs>
          <w:tab w:leader="none" w:pos="3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Participant agrees that if the Participant were to become employed by, or substantially involved in, the business of a competitor of the Corporation or any of its Subsidiaries, it would be very difficult for the Participant not to rely on or use the Corporation’s and its Subsidiaries’ trade secrets and confidential information. Thus, to avoid the inevitable disclosure of the Corporation’s and its Subsidiaries’ trade secrets and confidential information, and to protect such trade secrets and confidential information and the Corporation’s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(as defined below).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w:t>
      </w:r>
      <w:r>
        <w:rPr>
          <w:rFonts w:ascii="Arial" w:cs="Arial" w:eastAsia="Arial" w:hAnsi="Arial"/>
          <w:sz w:val="16"/>
          <w:szCs w:val="16"/>
          <w:b w:val="1"/>
          <w:bCs w:val="1"/>
          <w:i w:val="1"/>
          <w:iCs w:val="1"/>
          <w:color w:val="auto"/>
        </w:rPr>
        <w:t>Competing Business</w:t>
      </w:r>
      <w:r>
        <w:rPr>
          <w:rFonts w:ascii="Arial" w:cs="Arial" w:eastAsia="Arial" w:hAnsi="Arial"/>
          <w:sz w:val="16"/>
          <w:szCs w:val="16"/>
          <w:color w:val="auto"/>
        </w:rPr>
        <w:t>” means a person anywhere in the continental United States and elsewhere in the world where the Corporation or any of its Subsidiaries engages in business, or reasonably anticipates engaging in business, (the “</w:t>
      </w:r>
      <w:r>
        <w:rPr>
          <w:rFonts w:ascii="Arial" w:cs="Arial" w:eastAsia="Arial" w:hAnsi="Arial"/>
          <w:sz w:val="16"/>
          <w:szCs w:val="16"/>
          <w:b w:val="1"/>
          <w:bCs w:val="1"/>
          <w:i w:val="1"/>
          <w:iCs w:val="1"/>
          <w:color w:val="auto"/>
        </w:rPr>
        <w:t>Restricted Area</w:t>
      </w:r>
      <w:r>
        <w:rPr>
          <w:rFonts w:ascii="Arial" w:cs="Arial" w:eastAsia="Arial" w:hAnsi="Arial"/>
          <w:sz w:val="16"/>
          <w:szCs w:val="16"/>
          <w:color w:val="auto"/>
        </w:rPr>
        <w:t xml:space="preserve">”) that is engaged in design, development, manufacture, maintenance, offering, production or sales of hard disk drives or flash-based memory or other data storage devices or solutions. However, nothing in this Section 13(c) shall prohibit the Participant from being a passive owner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70" w:lineRule="exact"/>
        <w:rPr>
          <w:rFonts w:ascii="Arial" w:cs="Arial" w:eastAsia="Arial" w:hAnsi="Arial"/>
          <w:sz w:val="16"/>
          <w:szCs w:val="16"/>
          <w:color w:val="auto"/>
        </w:rPr>
      </w:pPr>
    </w:p>
    <w:p>
      <w:pPr>
        <w:jc w:val="both"/>
        <w:ind w:firstLine="6"/>
        <w:spacing w:after="0" w:line="285" w:lineRule="auto"/>
        <w:tabs>
          <w:tab w:leader="none" w:pos="43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Corporation and/or its Subsidiaries and their predecessors, the Participant has become familiar, or will become familiar, with the Corporation’s and its Subsidiaries’ and their predecessors’ trade secrets and with other confidential and proprietary information concerning the Corporation, its Subsidiaries and their respective predecessors and that the Participant’s services have been and will be of special, unique and extraordinary value to the Corporation and its Subsidiaries. The Participant agrees that the covenants set forth in Sections 13(b) and (c) (together, the “</w:t>
      </w:r>
      <w:r>
        <w:rPr>
          <w:rFonts w:ascii="Arial" w:cs="Arial" w:eastAsia="Arial" w:hAnsi="Arial"/>
          <w:sz w:val="16"/>
          <w:szCs w:val="16"/>
          <w:b w:val="1"/>
          <w:bCs w:val="1"/>
          <w:i w:val="1"/>
          <w:iCs w:val="1"/>
          <w:color w:val="auto"/>
        </w:rPr>
        <w:t>Restrictive Covenants</w:t>
      </w:r>
      <w:r>
        <w:rPr>
          <w:rFonts w:ascii="Arial" w:cs="Arial" w:eastAsia="Arial" w:hAnsi="Arial"/>
          <w:sz w:val="16"/>
          <w:szCs w:val="16"/>
          <w:color w:val="auto"/>
        </w:rPr>
        <w:t>”) are reasonable and necessary to protect the Corporation’s and its Subsidiaries’ trade secrets and other confidential and proprietary information, good will, stable workforce, and customer relations.</w:t>
      </w:r>
    </w:p>
    <w:p>
      <w:pPr>
        <w:spacing w:after="0" w:line="166" w:lineRule="exact"/>
        <w:rPr>
          <w:rFonts w:ascii="Arial" w:cs="Arial" w:eastAsia="Arial" w:hAnsi="Arial"/>
          <w:sz w:val="16"/>
          <w:szCs w:val="16"/>
          <w:color w:val="auto"/>
        </w:rPr>
      </w:pPr>
    </w:p>
    <w:p>
      <w:pPr>
        <w:jc w:val="both"/>
        <w:ind w:firstLine="6"/>
        <w:spacing w:after="0" w:line="280" w:lineRule="auto"/>
        <w:tabs>
          <w:tab w:leader="none" w:pos="4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Corporation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Corporation or any of its Subsidiaries. The Participant understands that the Restrictive Covenants may limit the Participant’s ability to earn a livelihood in a business similar to the business of the Corporation or any of its Subsidiaries, but the Participant nevertheless believes that the Participant has received and will receive sufficient consideration and other benefits as an employee of the Corporation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Corporation and its Subsidiaries that is disproportionate to the detriment of the Participant.</w:t>
      </w:r>
    </w:p>
    <w:p>
      <w:pPr>
        <w:spacing w:after="0" w:line="171" w:lineRule="exact"/>
        <w:rPr>
          <w:rFonts w:ascii="Arial" w:cs="Arial" w:eastAsia="Arial" w:hAnsi="Arial"/>
          <w:sz w:val="16"/>
          <w:szCs w:val="16"/>
          <w:color w:val="auto"/>
        </w:rPr>
      </w:pPr>
    </w:p>
    <w:p>
      <w:pPr>
        <w:jc w:val="both"/>
        <w:ind w:right="60" w:firstLine="6"/>
        <w:spacing w:after="0" w:line="285" w:lineRule="auto"/>
        <w:tabs>
          <w:tab w:leader="none" w:pos="4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Participant agrees that a breach by the Participant of any of the covenants in this Section 13 would cause immediate and irreparable harm to the Corporation that would be difficult or impossible to measure, and that damages to the Corporation for any such injury would therefore be an inadequate remedy for any such breach. Therefore, the Participant agrees that in the event of any breach or threatened breach of any provision of this Section 13, the Corporation (or its applicable Subsidiary, as the case may be) shall be entitled, in addition to and without limitation upon all other remedies the Corporation (or any of its Subsidiaries) may have under this Award Agreement, at law or otherwise, to obtain specific performance, injunctive relief and/or other appropriate relief (without posting any bond or deposit) in order to enforce or prevent any violations of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93" w:right="339" w:bottom="1440" w:gutter="0" w:footer="0" w:header="0"/>
        </w:sectPr>
      </w:pPr>
    </w:p>
    <w:bookmarkStart w:id="61" w:name="page62"/>
    <w:bookmarkEnd w:id="61"/>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13, or require the Participant to account for and pay over to the Corporation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Corporation (or any of its Subsidiaries) may have under this Award Agreement,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0"/>
          </w:cols>
          <w:pgMar w:left="320" w:top="1440" w:right="3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STOCK UNIT AWARD – FINANCIAL MEASURES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Measures and Goals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Performance Measures and Goals</w:t>
      </w:r>
    </w:p>
    <w:p>
      <w:pPr>
        <w:sectPr>
          <w:pgSz w:w="11900" w:h="16838" w:orient="portrait"/>
          <w:cols w:equalWidth="0" w:num="1">
            <w:col w:w="9019"/>
          </w:cols>
          <w:pgMar w:left="1440" w:top="1387" w:right="1440" w:bottom="1440" w:gutter="0" w:footer="0" w:header="0"/>
        </w:sectPr>
      </w:pPr>
    </w:p>
    <w:bookmarkStart w:id="63" w:name="page64"/>
    <w:bookmarkEnd w:id="63"/>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ADDITIONAL TERMS AND CONDITIONS OF PERFORMANCE STOCK UNIT AWARD AGREEMENT</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Agreement.</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4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71" w:lineRule="exact"/>
        <w:rPr>
          <w:sz w:val="20"/>
          <w:szCs w:val="20"/>
          <w:color w:val="auto"/>
        </w:rPr>
      </w:pPr>
    </w:p>
    <w:p>
      <w:pPr>
        <w:jc w:val="both"/>
        <w:ind w:firstLine="633"/>
        <w:spacing w:after="0" w:line="277"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to satisfy the obligations with regard to all Tax-Related Items by one or a combination of the methods set forth in Section 8.5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5 of the Standard Terms and Conditions, and the withholding methodology approved by the Administrator for officers subject to Section 16 of the Exchange Act.</w:t>
      </w:r>
    </w:p>
    <w:p>
      <w:pPr>
        <w:spacing w:after="0" w:line="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Corporation or the Employer; otherwise, the Participant may be able to seek a refund from the local tax authorities. In the event of under-withholding, the Participant may be required to pay any additional Tax-Related Items directly to the applicable tax authority or to the Corporation and/or the Employer. If the Tax-Related Items are satisfied by withholding in shares of Common Stock, for tax purposes, the Participant is deemed to have been issued the full number of shares subject to the vested PSUs, notwithstanding that a number of the Shares are held back solely for the purpose of paying the Tax-Related Items.</w:t>
      </w:r>
    </w:p>
    <w:p>
      <w:pPr>
        <w:spacing w:after="0" w:line="195"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62" w:lineRule="auto"/>
        <w:rPr>
          <w:sz w:val="20"/>
          <w:szCs w:val="20"/>
          <w:color w:val="auto"/>
        </w:rPr>
      </w:pPr>
      <w:r>
        <w:rPr>
          <w:rFonts w:ascii="Arial" w:cs="Arial" w:eastAsia="Arial" w:hAnsi="Arial"/>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pacing w:after="0" w:line="215" w:lineRule="exact"/>
        <w:rPr>
          <w:sz w:val="20"/>
          <w:szCs w:val="20"/>
          <w:color w:val="auto"/>
        </w:rPr>
      </w:pPr>
    </w:p>
    <w:p>
      <w:pPr>
        <w:ind w:firstLine="1272"/>
        <w:spacing w:after="0" w:line="262" w:lineRule="auto"/>
        <w:tabs>
          <w:tab w:leader="none" w:pos="18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81" w:lineRule="exact"/>
        <w:rPr>
          <w:rFonts w:ascii="Arial" w:cs="Arial" w:eastAsia="Arial" w:hAnsi="Arial"/>
          <w:sz w:val="18"/>
          <w:szCs w:val="18"/>
          <w:color w:val="auto"/>
        </w:rPr>
      </w:pPr>
    </w:p>
    <w:p>
      <w:pPr>
        <w:ind w:firstLine="1272"/>
        <w:spacing w:after="0" w:line="262" w:lineRule="auto"/>
        <w:tabs>
          <w:tab w:leader="none" w:pos="18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81" w:lineRule="exact"/>
        <w:rPr>
          <w:rFonts w:ascii="Arial" w:cs="Arial" w:eastAsia="Arial" w:hAnsi="Arial"/>
          <w:sz w:val="18"/>
          <w:szCs w:val="18"/>
          <w:color w:val="auto"/>
        </w:rPr>
      </w:pPr>
    </w:p>
    <w:p>
      <w:pPr>
        <w:ind w:left="1900" w:hanging="628"/>
        <w:spacing w:after="0"/>
        <w:tabs>
          <w:tab w:leader="none" w:pos="1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Corporation;</w:t>
      </w:r>
    </w:p>
    <w:p>
      <w:pPr>
        <w:spacing w:after="0" w:line="215" w:lineRule="exact"/>
        <w:rPr>
          <w:rFonts w:ascii="Arial" w:cs="Arial" w:eastAsia="Arial" w:hAnsi="Arial"/>
          <w:sz w:val="18"/>
          <w:szCs w:val="18"/>
          <w:color w:val="auto"/>
        </w:rPr>
      </w:pPr>
    </w:p>
    <w:p>
      <w:pPr>
        <w:ind w:left="1900" w:hanging="628"/>
        <w:spacing w:after="0"/>
        <w:tabs>
          <w:tab w:leader="none" w:pos="1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15" w:lineRule="exact"/>
        <w:rPr>
          <w:rFonts w:ascii="Arial" w:cs="Arial" w:eastAsia="Arial" w:hAnsi="Arial"/>
          <w:sz w:val="18"/>
          <w:szCs w:val="18"/>
          <w:color w:val="auto"/>
        </w:rPr>
      </w:pPr>
    </w:p>
    <w:p>
      <w:pPr>
        <w:ind w:firstLine="1272"/>
        <w:spacing w:after="0" w:line="262" w:lineRule="auto"/>
        <w:tabs>
          <w:tab w:leader="none" w:pos="18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181" w:lineRule="exact"/>
        <w:rPr>
          <w:rFonts w:ascii="Arial" w:cs="Arial" w:eastAsia="Arial" w:hAnsi="Arial"/>
          <w:sz w:val="18"/>
          <w:szCs w:val="18"/>
          <w:color w:val="auto"/>
        </w:rPr>
      </w:pPr>
    </w:p>
    <w:p>
      <w:pPr>
        <w:jc w:val="both"/>
        <w:ind w:firstLine="1272"/>
        <w:spacing w:after="0" w:line="249" w:lineRule="auto"/>
        <w:tabs>
          <w:tab w:leader="none" w:pos="18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8" w:lineRule="exact"/>
        <w:rPr>
          <w:rFonts w:ascii="Arial" w:cs="Arial" w:eastAsia="Arial" w:hAnsi="Arial"/>
          <w:sz w:val="18"/>
          <w:szCs w:val="18"/>
          <w:color w:val="auto"/>
        </w:rPr>
      </w:pPr>
    </w:p>
    <w:p>
      <w:pPr>
        <w:ind w:left="1900" w:hanging="628"/>
        <w:spacing w:after="0"/>
        <w:tabs>
          <w:tab w:leader="none" w:pos="1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03" w:lineRule="exact"/>
        <w:rPr>
          <w:rFonts w:ascii="Arial" w:cs="Arial" w:eastAsia="Arial" w:hAnsi="Arial"/>
          <w:sz w:val="16"/>
          <w:szCs w:val="16"/>
          <w:color w:val="auto"/>
        </w:rPr>
      </w:pPr>
    </w:p>
    <w:p>
      <w:pPr>
        <w:ind w:firstLine="1272"/>
        <w:spacing w:after="0" w:line="325" w:lineRule="auto"/>
        <w:tabs>
          <w:tab w:leader="none" w:pos="1893" w:val="left"/>
        </w:tabs>
        <w:numPr>
          <w:ilvl w:val="1"/>
          <w:numId w:val="30"/>
        </w:numPr>
        <w:rPr>
          <w:rFonts w:ascii="Arial" w:cs="Arial" w:eastAsia="Arial" w:hAnsi="Arial"/>
          <w:sz w:val="16"/>
          <w:szCs w:val="16"/>
          <w:color w:val="auto"/>
        </w:rPr>
      </w:pPr>
      <w:r>
        <w:rPr>
          <w:rFonts w:ascii="Arial" w:cs="Arial" w:eastAsia="Arial" w:hAnsi="Arial"/>
          <w:sz w:val="16"/>
          <w:szCs w:val="16"/>
          <w:color w:val="auto"/>
        </w:rPr>
        <w:t>unless otherwise agreed with the Corporation, the PSUs and the shares of Common Stock acquired under the Plan, and the income and value of same, are not granted as consideration for, or in connection with, the service the Participant may provide as a director of any Subsidiary;</w:t>
      </w:r>
    </w:p>
    <w:p>
      <w:pPr>
        <w:spacing w:after="0" w:line="134" w:lineRule="exact"/>
        <w:rPr>
          <w:rFonts w:ascii="Arial" w:cs="Arial" w:eastAsia="Arial" w:hAnsi="Arial"/>
          <w:sz w:val="16"/>
          <w:szCs w:val="16"/>
          <w:color w:val="auto"/>
        </w:rPr>
      </w:pPr>
    </w:p>
    <w:p>
      <w:pPr>
        <w:jc w:val="both"/>
        <w:ind w:firstLine="1272"/>
        <w:spacing w:after="0" w:line="300" w:lineRule="auto"/>
        <w:tabs>
          <w:tab w:leader="none" w:pos="1894"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4" w:lineRule="exact"/>
        <w:rPr>
          <w:rFonts w:ascii="Arial" w:cs="Arial" w:eastAsia="Arial" w:hAnsi="Arial"/>
          <w:sz w:val="16"/>
          <w:szCs w:val="16"/>
          <w:color w:val="auto"/>
        </w:rPr>
      </w:pPr>
    </w:p>
    <w:p>
      <w:pPr>
        <w:jc w:val="both"/>
        <w:ind w:firstLine="1272"/>
        <w:spacing w:after="0" w:line="253" w:lineRule="auto"/>
        <w:tabs>
          <w:tab w:leader="none" w:pos="18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PSUs and the benefits evidenced by the Award Agreement do not create any entitlement to have the PSUs or any such benefits transferred to, or assumed by, another Corporation nor to be exchanged, cashed out or substituted for, in connection with any corporate transaction affecting the shares; and</w:t>
      </w:r>
    </w:p>
    <w:p>
      <w:pPr>
        <w:spacing w:after="0" w:line="189" w:lineRule="exact"/>
        <w:rPr>
          <w:rFonts w:ascii="Arial" w:cs="Arial" w:eastAsia="Arial" w:hAnsi="Arial"/>
          <w:sz w:val="18"/>
          <w:szCs w:val="18"/>
          <w:color w:val="auto"/>
        </w:rPr>
      </w:pPr>
    </w:p>
    <w:p>
      <w:pPr>
        <w:jc w:val="both"/>
        <w:ind w:firstLine="1272"/>
        <w:spacing w:after="0" w:line="253" w:lineRule="auto"/>
        <w:tabs>
          <w:tab w:leader="none" w:pos="18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83" w:lineRule="exact"/>
        <w:rPr>
          <w:rFonts w:ascii="Arial" w:cs="Arial" w:eastAsia="Arial" w:hAnsi="Arial"/>
          <w:sz w:val="18"/>
          <w:szCs w:val="18"/>
          <w:color w:val="auto"/>
        </w:rPr>
      </w:pPr>
    </w:p>
    <w:p>
      <w:pPr>
        <w:ind w:left="1280" w:hanging="167"/>
        <w:spacing w:after="0"/>
        <w:tabs>
          <w:tab w:leader="none" w:pos="1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21"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b w:val="1"/>
          <w:bCs w:val="1"/>
          <w:i w:val="1"/>
          <w:iCs w:val="1"/>
          <w:color w:val="auto"/>
        </w:rPr>
        <w:t>By accepting the PSUs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of protection from a European (or other non-U.S.) data protection law perspective, for the purposes described herein.</w:t>
      </w:r>
    </w:p>
    <w:p>
      <w:pPr>
        <w:spacing w:after="0" w:line="215" w:lineRule="exact"/>
        <w:rPr>
          <w:sz w:val="20"/>
          <w:szCs w:val="20"/>
          <w:color w:val="auto"/>
        </w:rPr>
      </w:pPr>
    </w:p>
    <w:p>
      <w:pPr>
        <w:jc w:val="both"/>
        <w:ind w:firstLine="1272"/>
        <w:spacing w:after="0" w:line="316" w:lineRule="auto"/>
        <w:tabs>
          <w:tab w:leader="none" w:pos="1893"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PSU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PSUs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69" w:lineRule="exact"/>
        <w:rPr>
          <w:rFonts w:ascii="Arial" w:cs="Arial" w:eastAsia="Arial" w:hAnsi="Arial"/>
          <w:sz w:val="16"/>
          <w:szCs w:val="16"/>
          <w:b w:val="1"/>
          <w:bCs w:val="1"/>
          <w:color w:val="auto"/>
        </w:rPr>
      </w:pPr>
    </w:p>
    <w:p>
      <w:pPr>
        <w:jc w:val="both"/>
        <w:ind w:firstLine="1272"/>
        <w:spacing w:after="0" w:line="305" w:lineRule="auto"/>
        <w:tabs>
          <w:tab w:leader="none" w:pos="1896"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301" w:lineRule="auto"/>
        <w:tabs>
          <w:tab w:leader="none" w:pos="189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58" w:lineRule="exact"/>
        <w:rPr>
          <w:rFonts w:ascii="Arial" w:cs="Arial" w:eastAsia="Arial" w:hAnsi="Arial"/>
          <w:sz w:val="15"/>
          <w:szCs w:val="15"/>
          <w:b w:val="1"/>
          <w:bCs w:val="1"/>
          <w:color w:val="auto"/>
        </w:rPr>
      </w:pPr>
    </w:p>
    <w:p>
      <w:pPr>
        <w:jc w:val="both"/>
        <w:ind w:firstLine="1272"/>
        <w:spacing w:after="0" w:line="328" w:lineRule="auto"/>
        <w:tabs>
          <w:tab w:leader="none" w:pos="1896"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Corporation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316" w:lineRule="auto"/>
        <w:tabs>
          <w:tab w:leader="none" w:pos="189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Corporation would not be able to grant PSUs or other equity awards to the Participant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7" w:right="339" w:bottom="1440" w:gutter="0" w:footer="0" w:header="0"/>
        </w:sectPr>
      </w:pPr>
    </w:p>
    <w:bookmarkStart w:id="66" w:name="page67"/>
    <w:bookmarkEnd w:id="66"/>
    <w:p>
      <w:pPr>
        <w:jc w:val="both"/>
        <w:ind w:firstLine="1272"/>
        <w:spacing w:after="0" w:line="298" w:lineRule="auto"/>
        <w:tabs>
          <w:tab w:leader="none" w:pos="1893" w:val="left"/>
        </w:tabs>
        <w:numPr>
          <w:ilvl w:val="1"/>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7"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163" w:lineRule="exact"/>
        <w:rPr>
          <w:rFonts w:ascii="Arial" w:cs="Arial" w:eastAsia="Arial" w:hAnsi="Arial"/>
          <w:sz w:val="16"/>
          <w:szCs w:val="16"/>
          <w:b w:val="1"/>
          <w:bCs w:val="1"/>
          <w:color w:val="auto"/>
        </w:rPr>
      </w:pPr>
    </w:p>
    <w:p>
      <w:pPr>
        <w:ind w:left="1280" w:hanging="167"/>
        <w:spacing w:after="0"/>
        <w:tabs>
          <w:tab w:leader="none" w:pos="1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PSUs. Further, the Participant agrees to participate in the Plan through an on-line or electronic system established and maintained by the Corporation or by a third party designated by the Corporation.</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7" w:right="339" w:bottom="1440" w:gutter="0" w:footer="0" w:header="0"/>
        </w:sectPr>
      </w:pPr>
    </w:p>
    <w:bookmarkStart w:id="67" w:name="page68"/>
    <w:bookmarkEnd w:id="67"/>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1" w:right="339" w:bottom="1440" w:gutter="0" w:footer="0" w:header="0"/>
        </w:sectPr>
      </w:pPr>
    </w:p>
    <w:bookmarkStart w:id="68" w:name="page69"/>
    <w:bookmarkEnd w:id="68"/>
    <w:p>
      <w:pPr>
        <w:ind w:left="10340"/>
        <w:spacing w:after="0"/>
        <w:rPr>
          <w:sz w:val="20"/>
          <w:szCs w:val="20"/>
          <w:color w:val="auto"/>
        </w:rPr>
      </w:pPr>
      <w:r>
        <w:rPr>
          <w:rFonts w:ascii="Arial" w:cs="Arial" w:eastAsia="Arial" w:hAnsi="Arial"/>
          <w:sz w:val="16"/>
          <w:szCs w:val="16"/>
          <w:b w:val="1"/>
          <w:bCs w:val="1"/>
          <w:color w:val="auto"/>
        </w:rPr>
        <w:t>Exhibit 10.2</w:t>
      </w:r>
    </w:p>
    <w:p>
      <w:pPr>
        <w:spacing w:after="0" w:line="1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WESTERN DIGITAL CORPORATION</w:t>
      </w:r>
    </w:p>
    <w:p>
      <w:pPr>
        <w:ind w:left="2780"/>
        <w:spacing w:after="0" w:line="198" w:lineRule="auto"/>
        <w:rPr>
          <w:sz w:val="20"/>
          <w:szCs w:val="20"/>
          <w:color w:val="auto"/>
        </w:rPr>
      </w:pPr>
      <w:r>
        <w:rPr>
          <w:rFonts w:ascii="Arial" w:cs="Arial" w:eastAsia="Arial" w:hAnsi="Arial"/>
          <w:sz w:val="18"/>
          <w:szCs w:val="18"/>
          <w:b w:val="1"/>
          <w:bCs w:val="1"/>
          <w:color w:val="auto"/>
        </w:rPr>
        <w:t>AMENDED AND RESTATED 2017 PERFORMANCE INCENTIVE PLAN</w:t>
      </w:r>
    </w:p>
    <w:p>
      <w:pPr>
        <w:jc w:val="center"/>
        <w:ind w:right="20"/>
        <w:spacing w:after="0" w:line="199" w:lineRule="auto"/>
        <w:rPr>
          <w:sz w:val="20"/>
          <w:szCs w:val="20"/>
          <w:color w:val="auto"/>
        </w:rPr>
      </w:pPr>
      <w:r>
        <w:rPr>
          <w:rFonts w:ascii="Arial" w:cs="Arial" w:eastAsia="Arial" w:hAnsi="Arial"/>
          <w:sz w:val="18"/>
          <w:szCs w:val="18"/>
          <w:b w:val="1"/>
          <w:bCs w:val="1"/>
          <w:color w:val="auto"/>
        </w:rPr>
        <w:t>GRANT NOTICE FOR</w:t>
      </w:r>
    </w:p>
    <w:p>
      <w:pPr>
        <w:jc w:val="center"/>
        <w:ind w:right="20"/>
        <w:spacing w:after="0" w:line="199" w:lineRule="auto"/>
        <w:rPr>
          <w:sz w:val="20"/>
          <w:szCs w:val="20"/>
          <w:color w:val="auto"/>
        </w:rPr>
      </w:pPr>
      <w:r>
        <w:rPr>
          <w:rFonts w:ascii="Arial" w:cs="Arial" w:eastAsia="Arial" w:hAnsi="Arial"/>
          <w:sz w:val="18"/>
          <w:szCs w:val="18"/>
          <w:b w:val="1"/>
          <w:bCs w:val="1"/>
          <w:color w:val="auto"/>
        </w:rPr>
        <w:t>PERFORMANCE STOCK UNIT AWARD</w:t>
      </w:r>
    </w:p>
    <w:p>
      <w:pPr>
        <w:jc w:val="center"/>
        <w:ind w:right="20"/>
        <w:spacing w:after="0"/>
        <w:rPr>
          <w:sz w:val="20"/>
          <w:szCs w:val="20"/>
          <w:color w:val="auto"/>
        </w:rPr>
      </w:pPr>
      <w:r>
        <w:rPr>
          <w:rFonts w:ascii="Arial" w:cs="Arial" w:eastAsia="Arial" w:hAnsi="Arial"/>
          <w:sz w:val="18"/>
          <w:szCs w:val="18"/>
          <w:b w:val="1"/>
          <w:bCs w:val="1"/>
          <w:color w:val="auto"/>
        </w:rPr>
        <w:t>(TSR MEASURE)</w:t>
      </w:r>
    </w:p>
    <w:p>
      <w:pPr>
        <w:spacing w:after="0" w:line="21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grants to the Participant named below the number of Performance Stock Units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Amended and Restated 2017 Performance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PSU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 otherwise defined here shall have the meaning set forth in the Plan.</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6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Target Number of PSUs:</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21"/>
                <w:szCs w:val="21"/>
                <w:color w:val="auto"/>
                <w:w w:val="98"/>
              </w:rPr>
              <w:t>The vesting date of the PSUs is [________] (the “</w:t>
            </w:r>
            <w:r>
              <w:rPr>
                <w:rFonts w:ascii="Arial" w:cs="Arial" w:eastAsia="Arial" w:hAnsi="Arial"/>
                <w:sz w:val="21"/>
                <w:szCs w:val="21"/>
                <w:b w:val="1"/>
                <w:bCs w:val="1"/>
                <w:i w:val="1"/>
                <w:iCs w:val="1"/>
                <w:color w:val="auto"/>
                <w:w w:val="98"/>
              </w:rPr>
              <w:t>Vesting Date</w:t>
            </w:r>
            <w:r>
              <w:rPr>
                <w:rFonts w:ascii="Arial" w:cs="Arial" w:eastAsia="Arial" w:hAnsi="Arial"/>
                <w:sz w:val="21"/>
                <w:szCs w:val="21"/>
                <w:color w:val="auto"/>
                <w:w w:val="98"/>
              </w:rPr>
              <w:t>”). Vesting shall be subject to</w:t>
            </w:r>
          </w:p>
        </w:tc>
        <w:tc>
          <w:tcPr>
            <w:tcW w:w="0" w:type="dxa"/>
            <w:vAlign w:val="bottom"/>
          </w:tcPr>
          <w:p>
            <w:pPr>
              <w:spacing w:after="0"/>
              <w:rPr>
                <w:sz w:val="1"/>
                <w:szCs w:val="1"/>
                <w:color w:val="auto"/>
              </w:rPr>
            </w:pPr>
          </w:p>
        </w:tc>
      </w:tr>
      <w:tr>
        <w:trPr>
          <w:trHeight w:val="138"/>
        </w:trPr>
        <w:tc>
          <w:tcPr>
            <w:tcW w:w="2680" w:type="dxa"/>
            <w:vAlign w:val="bottom"/>
            <w:tcBorders>
              <w:left w:val="single" w:sz="8" w:color="auto"/>
              <w:right w:val="single" w:sz="8" w:color="auto"/>
            </w:tcBorders>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8"/>
              </w:rPr>
              <w:t>Participant’s Continuous Service (as defined in the Standard Terms and Conditions) from the</w:t>
            </w:r>
          </w:p>
        </w:tc>
        <w:tc>
          <w:tcPr>
            <w:tcW w:w="0" w:type="dxa"/>
            <w:vAlign w:val="bottom"/>
          </w:tcPr>
          <w:p>
            <w:pPr>
              <w:spacing w:after="0"/>
              <w:rPr>
                <w:sz w:val="1"/>
                <w:szCs w:val="1"/>
                <w:color w:val="auto"/>
              </w:rPr>
            </w:pPr>
          </w:p>
        </w:tc>
      </w:tr>
      <w:tr>
        <w:trPr>
          <w:trHeight w:val="251"/>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4"/>
              </w:rPr>
              <w:t>Grant Date through the Vesting Date, unless provided otherwise under Section 2 of the Standard</w:t>
            </w:r>
          </w:p>
        </w:tc>
        <w:tc>
          <w:tcPr>
            <w:tcW w:w="0" w:type="dxa"/>
            <w:vAlign w:val="bottom"/>
          </w:tcPr>
          <w:p>
            <w:pPr>
              <w:spacing w:after="0"/>
              <w:rPr>
                <w:sz w:val="1"/>
                <w:szCs w:val="1"/>
                <w:color w:val="auto"/>
              </w:rPr>
            </w:pPr>
          </w:p>
        </w:tc>
      </w:tr>
      <w:tr>
        <w:trPr>
          <w:trHeight w:val="268"/>
        </w:trPr>
        <w:tc>
          <w:tcPr>
            <w:tcW w:w="2680" w:type="dxa"/>
            <w:vAlign w:val="bottom"/>
            <w:tcBorders>
              <w:left w:val="single" w:sz="8" w:color="auto"/>
              <w:right w:val="single" w:sz="8" w:color="auto"/>
            </w:tcBorders>
          </w:tcPr>
          <w:p>
            <w:pPr>
              <w:spacing w:after="0"/>
              <w:rPr>
                <w:sz w:val="23"/>
                <w:szCs w:val="23"/>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Terms and Conditions.</w:t>
            </w: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bottom w:val="single" w:sz="8" w:color="auto"/>
              <w:right w:val="single" w:sz="8" w:color="auto"/>
            </w:tcBorders>
          </w:tcPr>
          <w:p>
            <w:pPr>
              <w:spacing w:after="0"/>
              <w:rPr>
                <w:sz w:val="10"/>
                <w:szCs w:val="10"/>
                <w:color w:val="auto"/>
              </w:rPr>
            </w:pPr>
          </w:p>
        </w:tc>
        <w:tc>
          <w:tcPr>
            <w:tcW w:w="8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Measurement Period:</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The Measurement Period begins [____________] and ends [__________]. The actual number of PSUs that may</w:t>
            </w:r>
          </w:p>
        </w:tc>
        <w:tc>
          <w:tcPr>
            <w:tcW w:w="0" w:type="dxa"/>
            <w:vAlign w:val="bottom"/>
          </w:tcPr>
          <w:p>
            <w:pPr>
              <w:spacing w:after="0"/>
              <w:rPr>
                <w:sz w:val="1"/>
                <w:szCs w:val="1"/>
                <w:color w:val="auto"/>
              </w:rPr>
            </w:pPr>
          </w:p>
        </w:tc>
      </w:tr>
      <w:tr>
        <w:trPr>
          <w:trHeight w:val="94"/>
        </w:trPr>
        <w:tc>
          <w:tcPr>
            <w:tcW w:w="2680" w:type="dxa"/>
            <w:vAlign w:val="bottom"/>
            <w:tcBorders>
              <w:left w:val="single" w:sz="8" w:color="auto"/>
              <w:right w:val="single" w:sz="8" w:color="auto"/>
            </w:tcBorders>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become eligible to vest on the Vesting Date based on performance during a Measurement Period may range from</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[0%] to [200%] of the Target Number of PSUs corresponding to that Measurement Period, subject to forfeiture as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provided in the Standard Terms and 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AGREEMENT. FAILURE TO REJECT THIS AWARD WITHIN SUCH 5-DAY PERIOD SHALL BE DEEMED ACCEPTANCE OF THIS AWARD AND THE TERMS AND CONDITIONS OF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Performance Stock Unit Award</w:t>
      </w:r>
    </w:p>
    <w:p>
      <w:pPr>
        <w:sectPr>
          <w:pgSz w:w="11900" w:h="16838" w:orient="portrait"/>
          <w:cols w:equalWidth="0" w:num="1">
            <w:col w:w="11260"/>
          </w:cols>
          <w:pgMar w:left="320" w:top="1374" w:right="31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2017 PERFORMANCE INCENTIVE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 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STOCK UNITS</w:t>
      </w:r>
    </w:p>
    <w:p>
      <w:pPr>
        <w:spacing w:after="0" w:line="243"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These Standard Terms and Conditions apply to this Award of Performance Stock Units granted under the Western Digital Corporation Amended and Restated 2017 Performance Incentive Plan (as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The Performance Stock Units are also subject to the terms of the Plan and the attached Grant Notice, which are incorporated here by this reference. Capitalized terms not otherwise defined here shall have the meaning set forth in the Plan.</w:t>
      </w:r>
    </w:p>
    <w:p>
      <w:pPr>
        <w:spacing w:after="0" w:line="105" w:lineRule="exact"/>
        <w:rPr>
          <w:sz w:val="20"/>
          <w:szCs w:val="20"/>
          <w:color w:val="auto"/>
        </w:rPr>
      </w:pPr>
    </w:p>
    <w:p>
      <w:pPr>
        <w:ind w:left="640" w:hanging="634"/>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TERMS OF PERFORMANCE STOCK UNITS</w:t>
      </w:r>
    </w:p>
    <w:p>
      <w:pPr>
        <w:spacing w:after="0" w:line="195" w:lineRule="exact"/>
        <w:rPr>
          <w:sz w:val="20"/>
          <w:szCs w:val="20"/>
          <w:color w:val="auto"/>
        </w:rPr>
      </w:pPr>
    </w:p>
    <w:p>
      <w:pPr>
        <w:jc w:val="both"/>
        <w:ind w:right="80"/>
        <w:spacing w:after="0" w:line="300"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has granted to the Participant named in the attached Grant Notice an award of Performance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described in the Grant Notice, with each PSU representing the right to receive one share of Common Stock. For purposes of these Standard Terms and Conditions and the Grant Notice, any reference to the Corporation shall include a reference to any Subsidiary.</w:t>
      </w:r>
    </w:p>
    <w:p>
      <w:pPr>
        <w:spacing w:after="0" w:line="122" w:lineRule="exact"/>
        <w:rPr>
          <w:sz w:val="20"/>
          <w:szCs w:val="20"/>
          <w:color w:val="auto"/>
        </w:rPr>
      </w:pPr>
    </w:p>
    <w:p>
      <w:pPr>
        <w:ind w:left="640" w:hanging="634"/>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PERFORMANCE STOCK UNITS</w:t>
      </w:r>
    </w:p>
    <w:p>
      <w:pPr>
        <w:spacing w:after="0" w:line="194" w:lineRule="exact"/>
        <w:rPr>
          <w:rFonts w:ascii="Arial" w:cs="Arial" w:eastAsia="Arial" w:hAnsi="Arial"/>
          <w:sz w:val="18"/>
          <w:szCs w:val="18"/>
          <w:b w:val="1"/>
          <w:bCs w:val="1"/>
          <w:color w:val="auto"/>
        </w:rPr>
      </w:pPr>
    </w:p>
    <w:p>
      <w:pPr>
        <w:jc w:val="both"/>
        <w:ind w:right="60" w:firstLine="639"/>
        <w:spacing w:after="0" w:line="285" w:lineRule="auto"/>
        <w:tabs>
          <w:tab w:leader="none" w:pos="1263"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PSUs that have vested and are no longer subject to forfeiture are referred to as “</w:t>
      </w:r>
      <w:r>
        <w:rPr>
          <w:rFonts w:ascii="Arial" w:cs="Arial" w:eastAsia="Arial" w:hAnsi="Arial"/>
          <w:sz w:val="16"/>
          <w:szCs w:val="16"/>
          <w:b w:val="1"/>
          <w:bCs w:val="1"/>
          <w:i w:val="1"/>
          <w:iCs w:val="1"/>
          <w:color w:val="auto"/>
        </w:rPr>
        <w:t>Vested PSUs</w:t>
      </w:r>
      <w:r>
        <w:rPr>
          <w:rFonts w:ascii="Arial" w:cs="Arial" w:eastAsia="Arial" w:hAnsi="Arial"/>
          <w:sz w:val="16"/>
          <w:szCs w:val="16"/>
          <w:color w:val="auto"/>
        </w:rPr>
        <w:t>.” PSUs that are not vested and remain subject to forfeiture are referred to as “</w:t>
      </w:r>
      <w:r>
        <w:rPr>
          <w:rFonts w:ascii="Arial" w:cs="Arial" w:eastAsia="Arial" w:hAnsi="Arial"/>
          <w:sz w:val="16"/>
          <w:szCs w:val="16"/>
          <w:b w:val="1"/>
          <w:bCs w:val="1"/>
          <w:i w:val="1"/>
          <w:iCs w:val="1"/>
          <w:color w:val="auto"/>
        </w:rPr>
        <w:t>Unvested PSUs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Corporation.</w:t>
      </w:r>
    </w:p>
    <w:p>
      <w:pPr>
        <w:spacing w:after="0" w:line="166" w:lineRule="exact"/>
        <w:rPr>
          <w:rFonts w:ascii="Arial" w:cs="Arial" w:eastAsia="Arial" w:hAnsi="Arial"/>
          <w:sz w:val="16"/>
          <w:szCs w:val="16"/>
          <w:color w:val="auto"/>
        </w:rPr>
      </w:pPr>
    </w:p>
    <w:p>
      <w:pPr>
        <w:jc w:val="both"/>
        <w:ind w:right="60" w:firstLine="639"/>
        <w:spacing w:after="0" w:line="282" w:lineRule="auto"/>
        <w:tabs>
          <w:tab w:leader="none" w:pos="12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Following the end of the Measurement Period, the Administrator shall determine the extent to which the applicable performance goals have been achieved and the number of PSUs eligible to vest. Any PSUs (including any related credited dividend equivalents) corresponding to the Measurement Period that do not become eligible to vest shall terminate as of the end of the Measurement Period. The PSUs that become eligible to vest based on performance during the Measurement Period shall vest on the Vesting Date set forth in the Grant Notice, subject to Continuous Service (as defined below) through such date, except as expressly provided in Section 2(c) or Section 2(d) below. The Corporation shall deliver to the Participant on the Settlement Date (as defined below) a number of shares of Common Stock equal to the number of Vested PSUs. The Corporation may, in its sole discretion, settle any PSUs accrued as dividend equivalents by a cash payment equal to the Fair Market Value of a share of Common Stock on the date of payment (as opposed to payment in the form of shares of Common Stock).</w:t>
      </w:r>
    </w:p>
    <w:p>
      <w:pPr>
        <w:spacing w:after="0" w:line="170"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Participant’s service with the Corporation or a Subsidiary, whether as an employee, director, or consultant or advisor, is not interrupted or terminated. Unless the express policy of the Corporation or any Subsidiary, or the Administrator, otherwise provides, or except as otherwise required by applicable law, a Participant will not be deemed to have terminated Continuous Service in the case of (i) sick leave, (ii) military leave, (iii) transfer from one Affiliate (as defined below) to another Affiliate, or (iv) any other leave of absence authorized by the Corporation (or Subsidiary) or the Administrator, provided that such leave is for a period of not more than three months (unless the Administrator otherwise provides or reemployment or continued service is guaranteed by contract or law upon the expiration of such leave). In the case of any Participant of the Corporation or one of its Subsidiaries on an approved leave of absence, continued vesting of an Award while on leave from the service of the Corporation or one of its Subsidiaries may be suspended until the Participant returns to service, unless the Administrator otherwise provides or applicable law otherwise requires.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87" w:right="339" w:bottom="1440" w:gutter="0" w:footer="0" w:header="0"/>
        </w:sectPr>
      </w:pPr>
    </w:p>
    <w:bookmarkStart w:id="70" w:name="page71"/>
    <w:bookmarkEnd w:id="70"/>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and any Award, if an entity ceases to be a Subsidiary, a termination of Continuous Service shall be deemed to have occurred with respect to each Participant in respect of such Subsidiary who does not continue as an employee, director or consultant or advisor in respect of the Corporation or another Subsidiary that continues as such after giving effect to the transaction or other event giving rise to the change in status.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For purposes of this definition,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Corporation, as such terms are defined in Rule 405 of the Securities Act. The Administrator will have the authority to determine the time or times at which “parent” or “subsidiary” status is determined within the foregoing definition.</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PSUs on the Vesting Date but in no event later than December 31 of the calendar year in which the Vesting Date occurs.</w:t>
      </w:r>
    </w:p>
    <w:p>
      <w:pPr>
        <w:spacing w:after="0" w:line="181" w:lineRule="exact"/>
        <w:rPr>
          <w:sz w:val="20"/>
          <w:szCs w:val="20"/>
          <w:color w:val="auto"/>
        </w:rPr>
      </w:pPr>
    </w:p>
    <w:p>
      <w:pPr>
        <w:jc w:val="both"/>
        <w:ind w:firstLine="639"/>
        <w:spacing w:after="0" w:line="283" w:lineRule="auto"/>
        <w:tabs>
          <w:tab w:leader="none" w:pos="126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Termination due to Death; Termination due to a Qualifying Retirement; Termination without Cause under the Executive Severance Plan</w:t>
      </w:r>
      <w:r>
        <w:rPr>
          <w:rFonts w:ascii="Arial" w:cs="Arial" w:eastAsia="Arial" w:hAnsi="Arial"/>
          <w:sz w:val="16"/>
          <w:szCs w:val="16"/>
          <w:color w:val="auto"/>
        </w:rPr>
        <w:t>. (1)</w:t>
      </w:r>
      <w:r>
        <w:rPr>
          <w:rFonts w:ascii="Arial" w:cs="Arial" w:eastAsia="Arial" w:hAnsi="Arial"/>
          <w:sz w:val="16"/>
          <w:szCs w:val="16"/>
          <w:i w:val="1"/>
          <w:iCs w:val="1"/>
          <w:color w:val="auto"/>
        </w:rPr>
        <w:t xml:space="preserve"> </w:t>
      </w:r>
      <w:r>
        <w:rPr>
          <w:rFonts w:ascii="Arial" w:cs="Arial" w:eastAsia="Arial" w:hAnsi="Arial"/>
          <w:sz w:val="16"/>
          <w:szCs w:val="16"/>
          <w:color w:val="auto"/>
        </w:rPr>
        <w:t>Upon Participant’s termination of Continuous Service due to death, (2) upon Participant’s termination of employment due to a Qualifying Retirement (as defined below), or (3) for a Participant who is subject to the terms of the Western Digital Corporation Amended and Restated Executive Severance Plan, as applicable (or any applicable successor plan) (the “</w:t>
      </w:r>
      <w:r>
        <w:rPr>
          <w:rFonts w:ascii="Arial" w:cs="Arial" w:eastAsia="Arial" w:hAnsi="Arial"/>
          <w:sz w:val="16"/>
          <w:szCs w:val="16"/>
          <w:b w:val="1"/>
          <w:bCs w:val="1"/>
          <w:i w:val="1"/>
          <w:iCs w:val="1"/>
          <w:color w:val="auto"/>
        </w:rPr>
        <w:t>Executive Severance Plan</w:t>
      </w:r>
      <w:r>
        <w:rPr>
          <w:rFonts w:ascii="Arial" w:cs="Arial" w:eastAsia="Arial" w:hAnsi="Arial"/>
          <w:sz w:val="16"/>
          <w:szCs w:val="16"/>
          <w:color w:val="auto"/>
        </w:rPr>
        <w:t>”) at the time of termination of Continuous Service, then upon Participant’s termination of employment by the Corporation without Cause (as defined in the Executive Severance Plan) under circumstances that would entitle the Participant to severance benefits under the Executive Severance Plan, subject to compliance with the terms of the Executive Severance Plan, then the PSUs will be payable in accordance with the Vesting Schedule set forth in the Grant Notice above, with no acceleration, and vest as follows:</w:t>
      </w:r>
    </w:p>
    <w:p>
      <w:pPr>
        <w:spacing w:after="0" w:line="170" w:lineRule="exact"/>
        <w:rPr>
          <w:sz w:val="20"/>
          <w:szCs w:val="20"/>
          <w:color w:val="auto"/>
        </w:rPr>
      </w:pPr>
    </w:p>
    <w:p>
      <w:pPr>
        <w:jc w:val="both"/>
        <w:ind w:left="640" w:hanging="1"/>
        <w:spacing w:after="0" w:line="248" w:lineRule="auto"/>
        <w:tabs>
          <w:tab w:leader="none" w:pos="10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Measurement Period has not ended as of the date of termination of Continuous Service, the PSUs (and any credited dividend equivalent rights) will remain outstanding and a pro-rated portion will vest, if at all, based on the actual achievement of the applicable performance goal(s) (with the number of shares vesting determined before taking the crediting of (if applicable) dividend equivalent rights into account) with such pro-rated portion equal to a fraction with a numerator equal to the total number of calendar days in the period beginning with the first day of the Measurement Period through and including the Participant’s termination of Continuous Service and a denominator equal to the total number of calendar days in the Measurement Period.</w:t>
      </w:r>
    </w:p>
    <w:p>
      <w:pPr>
        <w:spacing w:after="0" w:line="193" w:lineRule="exact"/>
        <w:rPr>
          <w:rFonts w:ascii="Arial" w:cs="Arial" w:eastAsia="Arial" w:hAnsi="Arial"/>
          <w:sz w:val="18"/>
          <w:szCs w:val="18"/>
          <w:color w:val="auto"/>
        </w:rPr>
      </w:pPr>
    </w:p>
    <w:p>
      <w:pPr>
        <w:ind w:left="640" w:right="20" w:hanging="1"/>
        <w:spacing w:after="0" w:line="262" w:lineRule="auto"/>
        <w:tabs>
          <w:tab w:leader="none" w:pos="10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Measurement Period has ended as of the date of termination of Continuous Service, the PSUs (and any credited dividend equivalents) will remain outstanding and will vest, if at all, based on the actual achievement of the applicable performance goal(s).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Any Unvested PSUs that do not vest as described above shall be forfeited as of the date of the Participant’s termination of Continuous Service; provided, that the Unvested PSUs shall remain eligible to vest in accordance with the Grant Notice and these Standard Terms and Conditions in the event the Participant terminates employment due to a Qualifying Retirement yet continues to provide services to the Corporation and its Subsidiaries in a capacity other than as an employee. Such continued vesting is subject to the Participant’s Continuous Services through each applicable vesting date.</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means the termination of the Participant’s employment with the Corporation and its Subsidiaries due to his or her retirement from employment with the Corporation or one of its Subsidiaries after satisfying all of the following requirements at the time of such termination: (i) the Participant is at least 55 years of age, (ii) the Participant has five or more whole years of credited service with the Corporation and/or any of its Subsidiaries; and (iii) the Participant’s age plus years of credited service with the Corporation and/or any of its Subsidiaries (including only whole years in the case of both age and credited service for purposes of this requirement) totals at least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440" w:right="399" w:bottom="1440" w:gutter="0" w:footer="0" w:header="0"/>
        </w:sectPr>
      </w:pPr>
    </w:p>
    <w:bookmarkStart w:id="71" w:name="page72"/>
    <w:bookmarkEnd w:id="71"/>
    <w:p>
      <w:pPr>
        <w:spacing w:after="0" w:line="165" w:lineRule="exact"/>
        <w:rPr>
          <w:sz w:val="20"/>
          <w:szCs w:val="20"/>
          <w:color w:val="auto"/>
        </w:rPr>
      </w:pPr>
    </w:p>
    <w:p>
      <w:pPr>
        <w:jc w:val="both"/>
        <w:ind w:left="-6" w:firstLine="639"/>
        <w:spacing w:after="0" w:line="285" w:lineRule="auto"/>
        <w:tabs>
          <w:tab w:leader="none" w:pos="1254"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Corporation without Cause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a resignation by Participant for Good Reason (both as defined in the CIC Severance Plan) under circumstances that would entitle the Participant to severance benefits under the CIC Severance Plan, subject to compliance with the terms of the CIC Severance Plan, the PSUs (and any credited dividend equivalents) will be payable upon the Participant’s termination of Continuous Service and vest as follows:</w:t>
      </w:r>
    </w:p>
    <w:p>
      <w:pPr>
        <w:spacing w:after="0" w:line="166" w:lineRule="exact"/>
        <w:rPr>
          <w:sz w:val="20"/>
          <w:szCs w:val="20"/>
          <w:color w:val="auto"/>
        </w:rPr>
      </w:pPr>
    </w:p>
    <w:p>
      <w:pPr>
        <w:jc w:val="both"/>
        <w:ind w:left="1274" w:hanging="641"/>
        <w:spacing w:after="0" w:line="292" w:lineRule="auto"/>
        <w:tabs>
          <w:tab w:leader="none" w:pos="1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Measurement Period has not ended as of the date of termination of Continuous Service, the number of shares of Common Stock that will vest shall be equal to the greater of (x) the target number of PSUs corresponding to the Measurement Period or (y) the number of shares of Common Stock subject to the PSUs corresponding to the Measurement Period that would vest based on the treatment set forth in the definitive agreement providing for the Change in Control Event.</w:t>
      </w:r>
    </w:p>
    <w:p>
      <w:pPr>
        <w:spacing w:after="0" w:line="159" w:lineRule="exact"/>
        <w:rPr>
          <w:rFonts w:ascii="Arial" w:cs="Arial" w:eastAsia="Arial" w:hAnsi="Arial"/>
          <w:sz w:val="16"/>
          <w:szCs w:val="16"/>
          <w:color w:val="auto"/>
        </w:rPr>
      </w:pPr>
    </w:p>
    <w:p>
      <w:pPr>
        <w:ind w:left="1274" w:hanging="641"/>
        <w:spacing w:after="0" w:line="325" w:lineRule="auto"/>
        <w:tabs>
          <w:tab w:leader="none" w:pos="12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Measurement Period has ended as of the date of termination of Continuous Service, the PSUs corresponding to such Measurement Period will remain outstanding and will vest, if at all, based on the actual achievement of the applicable performance goal(s).</w:t>
      </w:r>
    </w:p>
    <w:p>
      <w:pPr>
        <w:spacing w:after="0" w:line="135" w:lineRule="exact"/>
        <w:rPr>
          <w:sz w:val="20"/>
          <w:szCs w:val="20"/>
          <w:color w:val="auto"/>
        </w:rPr>
      </w:pPr>
    </w:p>
    <w:p>
      <w:pPr>
        <w:jc w:val="both"/>
        <w:ind w:left="-6" w:firstLine="639"/>
        <w:spacing w:after="0" w:line="250" w:lineRule="auto"/>
        <w:tabs>
          <w:tab w:leader="none" w:pos="1258"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Corporation due to a resignation by Participant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Qualifying Retirement or a resignation for Good Reason under circumstances that would entitle the Participant to severance benefits under the CIC Severance Plan, subject to compliance with the terms of the CIC Severance Plan, the PSUs held by the Participant shall be forfeited as of the date of the Participant’s termination of Continuous Service.</w:t>
      </w:r>
    </w:p>
    <w:p>
      <w:pPr>
        <w:spacing w:after="0" w:line="192" w:lineRule="exact"/>
        <w:rPr>
          <w:rFonts w:ascii="Arial" w:cs="Arial" w:eastAsia="Arial" w:hAnsi="Arial"/>
          <w:sz w:val="18"/>
          <w:szCs w:val="18"/>
          <w:color w:val="auto"/>
        </w:rPr>
      </w:pPr>
    </w:p>
    <w:p>
      <w:pPr>
        <w:ind w:left="-6" w:firstLine="639"/>
        <w:spacing w:after="0" w:line="262" w:lineRule="auto"/>
        <w:tabs>
          <w:tab w:leader="none" w:pos="12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by the Corporation for Cause, the entire Award held by the Participant shall be forfeited as of the date of the Participant’s termination of Continuous Service.</w:t>
      </w:r>
    </w:p>
    <w:p>
      <w:pPr>
        <w:spacing w:after="0" w:line="220" w:lineRule="exact"/>
        <w:rPr>
          <w:rFonts w:ascii="Arial" w:cs="Arial" w:eastAsia="Arial" w:hAnsi="Arial"/>
          <w:sz w:val="18"/>
          <w:szCs w:val="18"/>
          <w:color w:val="auto"/>
        </w:rPr>
      </w:pPr>
    </w:p>
    <w:p>
      <w:pPr>
        <w:jc w:val="both"/>
        <w:ind w:left="-6" w:firstLine="639"/>
        <w:spacing w:after="0" w:line="281" w:lineRule="auto"/>
        <w:tabs>
          <w:tab w:leader="none" w:pos="1254"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Non</w:t>
      </w:r>
      <w:r>
        <w:rPr>
          <w:rFonts w:ascii="Arial" w:cs="Arial" w:eastAsia="Arial" w:hAnsi="Arial"/>
          <w:sz w:val="16"/>
          <w:szCs w:val="16"/>
          <w:color w:val="auto"/>
        </w:rPr>
        <w:t>-</w:t>
      </w:r>
      <w:r>
        <w:rPr>
          <w:rFonts w:ascii="Arial" w:cs="Arial" w:eastAsia="Arial" w:hAnsi="Arial"/>
          <w:sz w:val="16"/>
          <w:szCs w:val="16"/>
          <w:i w:val="1"/>
          <w:iCs w:val="1"/>
          <w:color w:val="auto"/>
        </w:rPr>
        <w:t>U.S. Eligible Employees Participating in the Executive Severance Plan and Change in Control Severance Plan</w:t>
      </w:r>
      <w:r>
        <w:rPr>
          <w:rFonts w:ascii="Arial" w:cs="Arial" w:eastAsia="Arial" w:hAnsi="Arial"/>
          <w:sz w:val="16"/>
          <w:szCs w:val="16"/>
          <w:color w:val="auto"/>
        </w:rPr>
        <w:t>. For avoidance of</w:t>
      </w:r>
      <w:r>
        <w:rPr>
          <w:rFonts w:ascii="Arial" w:cs="Arial" w:eastAsia="Arial" w:hAnsi="Arial"/>
          <w:sz w:val="16"/>
          <w:szCs w:val="16"/>
          <w:i w:val="1"/>
          <w:iCs w:val="1"/>
          <w:color w:val="auto"/>
        </w:rPr>
        <w:t xml:space="preserve"> </w:t>
      </w:r>
      <w:r>
        <w:rPr>
          <w:rFonts w:ascii="Arial" w:cs="Arial" w:eastAsia="Arial" w:hAnsi="Arial"/>
          <w:sz w:val="16"/>
          <w:szCs w:val="16"/>
          <w:color w:val="auto"/>
        </w:rPr>
        <w:t>doubt, if Participant is not a U.S. Eligible Employee (as defined in the 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 For the avoidance of doubt, a Participant who is retirement-eligible and receives Local Severance Benefits shall also receive the vesting treatment described in Section 2(c) as though the Participant had experienced a Qualifying Retirement.</w:t>
      </w:r>
    </w:p>
    <w:p>
      <w:pPr>
        <w:spacing w:after="0" w:line="139" w:lineRule="exact"/>
        <w:rPr>
          <w:rFonts w:ascii="Arial" w:cs="Arial" w:eastAsia="Arial" w:hAnsi="Arial"/>
          <w:sz w:val="16"/>
          <w:szCs w:val="16"/>
          <w:color w:val="auto"/>
        </w:rPr>
      </w:pPr>
    </w:p>
    <w:p>
      <w:pPr>
        <w:ind w:left="634" w:hanging="634"/>
        <w:spacing w:after="0"/>
        <w:tabs>
          <w:tab w:leader="none" w:pos="63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194" w:lineRule="exact"/>
        <w:rPr>
          <w:rFonts w:ascii="Arial" w:cs="Arial" w:eastAsia="Arial" w:hAnsi="Arial"/>
          <w:sz w:val="18"/>
          <w:szCs w:val="18"/>
          <w:b w:val="1"/>
          <w:bCs w:val="1"/>
          <w:color w:val="auto"/>
        </w:rPr>
      </w:pPr>
    </w:p>
    <w:p>
      <w:pPr>
        <w:ind w:left="-6" w:firstLine="639"/>
        <w:spacing w:after="0" w:line="262" w:lineRule="auto"/>
        <w:tabs>
          <w:tab w:leader="none" w:pos="12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Corporation in respect of any PSUs unless and until shares of Common Stock settled for such PSUs shall have been issued by the Corporation to Participant.</w:t>
      </w:r>
    </w:p>
    <w:p>
      <w:pPr>
        <w:spacing w:after="0" w:line="181" w:lineRule="exact"/>
        <w:rPr>
          <w:rFonts w:ascii="Arial" w:cs="Arial" w:eastAsia="Arial" w:hAnsi="Arial"/>
          <w:sz w:val="18"/>
          <w:szCs w:val="18"/>
          <w:color w:val="auto"/>
        </w:rPr>
      </w:pPr>
    </w:p>
    <w:p>
      <w:pPr>
        <w:jc w:val="both"/>
        <w:ind w:left="-6" w:firstLine="639"/>
        <w:spacing w:after="0" w:line="292" w:lineRule="auto"/>
        <w:tabs>
          <w:tab w:leader="none" w:pos="1254"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PSUs and (ii) the time when the Participant’s right to receive Common Stock upon settlement of the PSUs is forfeited, the Participant shall be entitled to receive as a dividend equivalent a number of additional PSUs on the date that the Corporation pays a cash dividend (if any) to Common Stock holders generally. Such dividend equivalent shall be determined by dividing (i) the product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3"/>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74"/>
          </w:cols>
          <w:pgMar w:left="326" w:top="1440" w:right="399" w:bottom="1440" w:gutter="0" w:footer="0" w:header="0"/>
        </w:sectPr>
      </w:pPr>
    </w:p>
    <w:bookmarkStart w:id="72" w:name="page73"/>
    <w:bookmarkEnd w:id="72"/>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dollar amount of the cash dividend paid per share of Common Stock on such date and (B) the total number of PSUs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PSUs to which the dividend equivalents were credited. Dividend equivalents shall be settled in whole shares of Common Stock with any dividend equivalents accrued in the form of fractional PSUs settled in cash. However, for the avoidance of doubt, the Corporation may, in its sole discretion, settle any PSUs accrued as dividend equivalents by a cash payment equal to the Fair Market Value of a share of Common Stock on the date of payment (as opposed to payment in the form of shares of Common Stock). For the avoidance of doubt, in no event will any dividend equivalents credited to PSUs be delivered to the Participant unless and until such PSUs vest and settle.</w:t>
      </w:r>
    </w:p>
    <w:p>
      <w:pPr>
        <w:spacing w:after="0" w:line="137" w:lineRule="exact"/>
        <w:rPr>
          <w:sz w:val="20"/>
          <w:szCs w:val="20"/>
          <w:color w:val="auto"/>
        </w:rPr>
      </w:pPr>
    </w:p>
    <w:p>
      <w:pPr>
        <w:ind w:left="640" w:hanging="634"/>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Corporation may impose such restrictions as it determines appropriate as to the timing and manner of any resales by the Participant or other subsequent transfers by the Participant of any shares of Common Stock issued pursuant to Vested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60" w:lineRule="exact"/>
        <w:rPr>
          <w:sz w:val="20"/>
          <w:szCs w:val="20"/>
          <w:color w:val="auto"/>
        </w:rPr>
      </w:pPr>
    </w:p>
    <w:p>
      <w:pPr>
        <w:ind w:left="640" w:hanging="634"/>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Participant may satisfy tax withholding obligations relating to the PSUs by any combination of the following: (i) a cash payment; (ii) a Corporation deduction from any amounts payable to Participant; (iii) Corporation withholding of shares from the Common Stock issuable to the Participant in connection with the PSUs (only up to the amount permitted that will not cause an adverse accounting consequence); or (iv) Corporation withholding a payment from the proceeds from the sale of shares of Common Stock issued pursuant to the PSUs. In addition, the Administrator may, in its sole discretion but only to the extent consistent with Section 409A of the Code, reduce the number of PSUs remaining subject to this Award, with each such PSU to have a value for such purpose equal to the then Fair Market Value of a share of Common Stock, to satisfy such withholding obligation at the applicable withholding rates.</w:t>
      </w:r>
    </w:p>
    <w:p>
      <w:pPr>
        <w:spacing w:after="0" w:line="134" w:lineRule="exact"/>
        <w:rPr>
          <w:sz w:val="20"/>
          <w:szCs w:val="20"/>
          <w:color w:val="auto"/>
        </w:rPr>
      </w:pPr>
    </w:p>
    <w:p>
      <w:pPr>
        <w:ind w:left="640" w:hanging="634"/>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19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35" w:lineRule="exact"/>
        <w:rPr>
          <w:sz w:val="20"/>
          <w:szCs w:val="20"/>
          <w:color w:val="auto"/>
        </w:rPr>
      </w:pPr>
    </w:p>
    <w:p>
      <w:pPr>
        <w:ind w:left="640" w:hanging="634"/>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Corporation regarding this Award. Any prior agreements, commitments or negotiations concerning this Award are superseded.</w:t>
      </w:r>
    </w:p>
    <w:p>
      <w:pPr>
        <w:spacing w:after="0" w:line="149" w:lineRule="exact"/>
        <w:rPr>
          <w:sz w:val="20"/>
          <w:szCs w:val="20"/>
          <w:color w:val="auto"/>
        </w:rPr>
      </w:pPr>
    </w:p>
    <w:p>
      <w:pPr>
        <w:ind w:left="640" w:hanging="634"/>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Participant’s receipt of the PSUs does not confer upon the Participant any right to continue to serve the Corporation or an Affiliate in any capacity and will not affect the right of the Corporation or an Affiliate to terminate the service of the Participant.</w:t>
      </w:r>
    </w:p>
    <w:p>
      <w:pPr>
        <w:spacing w:after="0" w:line="149"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4" w:lineRule="exact"/>
        <w:rPr>
          <w:rFonts w:ascii="Arial" w:cs="Arial" w:eastAsia="Arial" w:hAnsi="Arial"/>
          <w:sz w:val="18"/>
          <w:szCs w:val="18"/>
          <w:b w:val="1"/>
          <w:bCs w:val="1"/>
          <w:color w:val="auto"/>
        </w:rPr>
      </w:pPr>
    </w:p>
    <w:p>
      <w:pPr>
        <w:ind w:firstLine="639"/>
        <w:spacing w:after="0" w:line="232" w:lineRule="auto"/>
        <w:tabs>
          <w:tab w:leader="none" w:pos="1263" w:val="left"/>
        </w:tabs>
        <w:numPr>
          <w:ilvl w:val="1"/>
          <w:numId w:val="48"/>
        </w:numPr>
        <w:rPr>
          <w:rFonts w:ascii="Arial" w:cs="Arial" w:eastAsia="Arial" w:hAnsi="Arial"/>
          <w:sz w:val="21"/>
          <w:szCs w:val="21"/>
          <w:color w:val="auto"/>
        </w:rPr>
      </w:pPr>
      <w:r>
        <w:rPr>
          <w:rFonts w:ascii="Arial" w:cs="Arial" w:eastAsia="Arial" w:hAnsi="Arial"/>
          <w:sz w:val="18"/>
          <w:szCs w:val="18"/>
          <w:color w:val="auto"/>
        </w:rPr>
        <w:t>In the event that any provision of these Standard Terms and Conditions (including, for the avoidance of doubt, the Plan, which is incorporated here by this reference) is declared to be unenforceable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Agreement and/or the Plan should modify the stricken terms as narrowly as possible to give as much effect as possible to the intentions of the parties hereunder.</w:t>
      </w:r>
    </w:p>
    <w:p>
      <w:pPr>
        <w:spacing w:after="0" w:line="232" w:lineRule="exact"/>
        <w:rPr>
          <w:sz w:val="20"/>
          <w:szCs w:val="20"/>
          <w:color w:val="auto"/>
        </w:rPr>
      </w:pPr>
    </w:p>
    <w:p>
      <w:pPr>
        <w:jc w:val="both"/>
        <w:ind w:firstLine="639"/>
        <w:spacing w:after="0" w:line="255" w:lineRule="auto"/>
        <w:tabs>
          <w:tab w:leader="none" w:pos="1262" w:val="left"/>
        </w:tabs>
        <w:numPr>
          <w:ilvl w:val="0"/>
          <w:numId w:val="49"/>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27" w:lineRule="exact"/>
        <w:rPr>
          <w:rFonts w:ascii="Arial" w:cs="Arial" w:eastAsia="Arial" w:hAnsi="Arial"/>
          <w:sz w:val="20"/>
          <w:szCs w:val="20"/>
          <w:color w:val="auto"/>
        </w:rPr>
      </w:pPr>
    </w:p>
    <w:p>
      <w:pPr>
        <w:ind w:firstLine="639"/>
        <w:spacing w:after="0" w:line="232" w:lineRule="auto"/>
        <w:tabs>
          <w:tab w:leader="none" w:pos="1263" w:val="left"/>
        </w:tabs>
        <w:numPr>
          <w:ilvl w:val="0"/>
          <w:numId w:val="49"/>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239" w:lineRule="exact"/>
        <w:rPr>
          <w:rFonts w:ascii="Arial" w:cs="Arial" w:eastAsia="Arial" w:hAnsi="Arial"/>
          <w:sz w:val="21"/>
          <w:szCs w:val="21"/>
          <w:color w:val="auto"/>
        </w:rPr>
      </w:pPr>
    </w:p>
    <w:p>
      <w:pPr>
        <w:ind w:right="20" w:firstLine="639"/>
        <w:spacing w:after="0" w:line="232" w:lineRule="auto"/>
        <w:tabs>
          <w:tab w:leader="none" w:pos="1262" w:val="left"/>
        </w:tabs>
        <w:numPr>
          <w:ilvl w:val="0"/>
          <w:numId w:val="49"/>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239" w:lineRule="exact"/>
        <w:rPr>
          <w:rFonts w:ascii="Arial" w:cs="Arial" w:eastAsia="Arial" w:hAnsi="Arial"/>
          <w:sz w:val="21"/>
          <w:szCs w:val="21"/>
          <w:color w:val="auto"/>
        </w:rPr>
      </w:pPr>
    </w:p>
    <w:p>
      <w:pPr>
        <w:jc w:val="both"/>
        <w:ind w:firstLine="639"/>
        <w:spacing w:after="0" w:line="236" w:lineRule="auto"/>
        <w:tabs>
          <w:tab w:leader="none" w:pos="1263" w:val="left"/>
        </w:tabs>
        <w:numPr>
          <w:ilvl w:val="0"/>
          <w:numId w:val="49"/>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39" w:lineRule="exact"/>
        <w:rPr>
          <w:rFonts w:ascii="Arial" w:cs="Arial" w:eastAsia="Arial" w:hAnsi="Arial"/>
          <w:sz w:val="21"/>
          <w:szCs w:val="21"/>
          <w:color w:val="auto"/>
        </w:rPr>
      </w:pPr>
    </w:p>
    <w:p>
      <w:pPr>
        <w:jc w:val="both"/>
        <w:ind w:firstLine="639"/>
        <w:spacing w:after="0" w:line="239" w:lineRule="auto"/>
        <w:tabs>
          <w:tab w:leader="none" w:pos="1266" w:val="left"/>
        </w:tabs>
        <w:numPr>
          <w:ilvl w:val="0"/>
          <w:numId w:val="49"/>
        </w:numPr>
        <w:rPr>
          <w:rFonts w:ascii="Arial" w:cs="Arial" w:eastAsia="Arial" w:hAnsi="Arial"/>
          <w:sz w:val="21"/>
          <w:szCs w:val="21"/>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Participant’s employer or any Subsidiary.</w:t>
      </w:r>
    </w:p>
    <w:p>
      <w:pPr>
        <w:spacing w:after="0" w:line="201" w:lineRule="exact"/>
        <w:rPr>
          <w:rFonts w:ascii="Arial" w:cs="Arial" w:eastAsia="Arial" w:hAnsi="Arial"/>
          <w:sz w:val="21"/>
          <w:szCs w:val="21"/>
          <w:color w:val="auto"/>
        </w:rPr>
      </w:pPr>
    </w:p>
    <w:p>
      <w:pPr>
        <w:ind w:left="1260" w:hanging="621"/>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203" w:lineRule="exact"/>
        <w:rPr>
          <w:rFonts w:ascii="Arial" w:cs="Arial" w:eastAsia="Arial" w:hAnsi="Arial"/>
          <w:sz w:val="16"/>
          <w:szCs w:val="16"/>
          <w:color w:val="auto"/>
        </w:rPr>
      </w:pPr>
    </w:p>
    <w:p>
      <w:pPr>
        <w:jc w:val="both"/>
        <w:ind w:firstLine="639"/>
        <w:spacing w:after="0" w:line="253"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Corporation’s compensation recovery (clawback) policy or policies then in effect. No recovery of compensation under any such policy will be an event giving rise to a right to resign for “good reason” or “constructive termination” (or similar term) under any agreement with the Corporation or a Subsidiary.</w:t>
      </w:r>
    </w:p>
    <w:p>
      <w:pPr>
        <w:spacing w:after="0" w:line="157" w:lineRule="exact"/>
        <w:rPr>
          <w:sz w:val="20"/>
          <w:szCs w:val="20"/>
          <w:color w:val="auto"/>
        </w:rPr>
      </w:pPr>
    </w:p>
    <w:p>
      <w:pPr>
        <w:ind w:left="640" w:hanging="634"/>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Corporation and the Subsidiaries, the Plan, and the PSUs via Corporation web site or other electronic delivery.</w:t>
      </w:r>
    </w:p>
    <w:p>
      <w:pPr>
        <w:spacing w:after="0" w:line="157" w:lineRule="exact"/>
        <w:rPr>
          <w:sz w:val="20"/>
          <w:szCs w:val="20"/>
          <w:color w:val="auto"/>
        </w:rPr>
      </w:pPr>
    </w:p>
    <w:p>
      <w:pPr>
        <w:ind w:left="620" w:hanging="614"/>
        <w:spacing w:after="0"/>
        <w:tabs>
          <w:tab w:leader="none" w:pos="6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Any controversy arising out of or relating to the Grant Notice, these Standard Terms and Conditions, and/or the Plan (“</w:t>
      </w:r>
      <w:r>
        <w:rPr>
          <w:rFonts w:ascii="Arial" w:cs="Arial" w:eastAsia="Arial" w:hAnsi="Arial"/>
          <w:sz w:val="18"/>
          <w:szCs w:val="18"/>
          <w:b w:val="1"/>
          <w:bCs w:val="1"/>
          <w:i w:val="1"/>
          <w:iCs w:val="1"/>
          <w:color w:val="auto"/>
        </w:rPr>
        <w:t>Covered Claims</w:t>
      </w:r>
      <w:r>
        <w:rPr>
          <w:rFonts w:ascii="Arial" w:cs="Arial" w:eastAsia="Arial" w:hAnsi="Arial"/>
          <w:sz w:val="18"/>
          <w:szCs w:val="18"/>
          <w:color w:val="auto"/>
        </w:rPr>
        <w:t>”), shall be resolved in accordance with the terms and conditions of the Western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40" w:right="399" w:bottom="1440" w:gutter="0" w:footer="0" w:header="0"/>
        </w:sectPr>
      </w:pPr>
    </w:p>
    <w:bookmarkStart w:id="74" w:name="page75"/>
    <w:bookmarkEnd w:id="74"/>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Technologies, Inc. Dispute Resolution Agreement (the “</w:t>
      </w:r>
      <w:r>
        <w:rPr>
          <w:rFonts w:ascii="Arial" w:cs="Arial" w:eastAsia="Arial" w:hAnsi="Arial"/>
          <w:sz w:val="16"/>
          <w:szCs w:val="16"/>
          <w:b w:val="1"/>
          <w:bCs w:val="1"/>
          <w:i w:val="1"/>
          <w:iCs w:val="1"/>
          <w:color w:val="auto"/>
        </w:rPr>
        <w:t>DRA</w:t>
      </w:r>
      <w:r>
        <w:rPr>
          <w:rFonts w:ascii="Arial" w:cs="Arial" w:eastAsia="Arial" w:hAnsi="Arial"/>
          <w:sz w:val="16"/>
          <w:szCs w:val="16"/>
          <w:color w:val="auto"/>
        </w:rPr>
        <w:t>”), except with respect to any specific performance provided for in Section 13(f) below.</w:t>
      </w:r>
    </w:p>
    <w:p>
      <w:pPr>
        <w:spacing w:after="0" w:line="238" w:lineRule="exact"/>
        <w:rPr>
          <w:sz w:val="20"/>
          <w:szCs w:val="20"/>
          <w:color w:val="auto"/>
        </w:rPr>
      </w:pPr>
    </w:p>
    <w:p>
      <w:pPr>
        <w:jc w:val="both"/>
        <w:ind w:right="60"/>
        <w:spacing w:after="0" w:line="279"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Corporation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Corporation and the Participant and may be enforced by any court of competent jurisdiction.</w:t>
      </w:r>
    </w:p>
    <w:p>
      <w:pPr>
        <w:spacing w:after="0" w:line="177"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60" w:lineRule="exact"/>
        <w:rPr>
          <w:sz w:val="20"/>
          <w:szCs w:val="20"/>
          <w:color w:val="auto"/>
        </w:rPr>
      </w:pPr>
    </w:p>
    <w:p>
      <w:pPr>
        <w:ind w:left="640" w:hanging="634"/>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02"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xml:space="preserve">”) and any terms and conditions for the Participant’s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xml:space="preserve">”).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terms and conditions for such country will apply to the Participant to the extent the Corporation determines that the application of such terms and conditions is necessary or advisable for legal or administrative reasons.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 part of the Agreement.</w:t>
      </w:r>
    </w:p>
    <w:p>
      <w:pPr>
        <w:spacing w:after="0" w:line="127" w:lineRule="exact"/>
        <w:rPr>
          <w:sz w:val="20"/>
          <w:szCs w:val="20"/>
          <w:color w:val="auto"/>
        </w:rPr>
      </w:pPr>
    </w:p>
    <w:p>
      <w:pPr>
        <w:ind w:left="640" w:hanging="634"/>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 OBLIGATIONS</w:t>
      </w:r>
    </w:p>
    <w:p>
      <w:pPr>
        <w:spacing w:after="0" w:line="221" w:lineRule="exact"/>
        <w:rPr>
          <w:sz w:val="20"/>
          <w:szCs w:val="20"/>
          <w:color w:val="auto"/>
        </w:rPr>
      </w:pPr>
    </w:p>
    <w:p>
      <w:pPr>
        <w:ind w:firstLine="6"/>
        <w:spacing w:after="0" w:line="262" w:lineRule="auto"/>
        <w:tabs>
          <w:tab w:leader="none" w:pos="4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Participant, in accepting this Award, (i) agrees to the terms of this Award as set forth in this Award Agreement generally, and (ii) specifically (and without limiting the generality of clause (i)) agrees to the provisions of this Section 13.</w:t>
      </w:r>
    </w:p>
    <w:p>
      <w:pPr>
        <w:spacing w:after="0" w:line="181" w:lineRule="exact"/>
        <w:rPr>
          <w:rFonts w:ascii="Arial" w:cs="Arial" w:eastAsia="Arial" w:hAnsi="Arial"/>
          <w:sz w:val="18"/>
          <w:szCs w:val="18"/>
          <w:color w:val="auto"/>
        </w:rPr>
      </w:pPr>
    </w:p>
    <w:p>
      <w:pPr>
        <w:jc w:val="both"/>
        <w:ind w:firstLine="6"/>
        <w:spacing w:after="0" w:line="288" w:lineRule="auto"/>
        <w:tabs>
          <w:tab w:leader="none" w:pos="4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Participant agrees that during the Restricted Period (as defined below), the Participant will not directly or indirectly solicit, induce or encourage, or attempt to solicit, induce or encourage, any employee or independent contractor of the Corporation or any of its Subsidiaries to leave the employ or service, as applicable, of the Corporation or any such Subsidiary, or become employed or engaged by any third party, or in any way interfere with the relationship between the Corporation or any such Subsidiary, on the one hand, and any employee or independent contractor thereof, on the other hand. This Section 13(b) does not</w:t>
      </w:r>
    </w:p>
    <w:p>
      <w:pPr>
        <w:spacing w:after="0" w:line="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limit any general advertising or job posting not directed at any individual or group of employees of the Corporation or any of its Subsidiaries. For purposes of this Award Agreement,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means the period of time the Participant is employed by or provides services to the Corporation or one of its Subsidiaries and the period of twenty-four (24) months after the date on which the Participant’s Continuous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75" w:name="page76"/>
    <w:bookmarkEnd w:id="75"/>
    <w:p>
      <w:pPr>
        <w:jc w:val="both"/>
        <w:ind w:firstLine="6"/>
        <w:spacing w:after="0" w:line="279" w:lineRule="auto"/>
        <w:tabs>
          <w:tab w:leader="none" w:pos="3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Participant agrees that if the Participant were to become employed by, or substantially involved in, the business of a competitor of the Corporation or any of its Subsidiaries, it would be very difficult for the Participant not to rely on or use the Corporation’s and its Subsidiaries’ trade secrets and confidential information. Thus, to avoid the inevitable disclosure of the Corporation’s and its Subsidiaries’ trade secrets and confidential information, and to protect such trade secrets and confidential information and the Corporation’s and its Subsidiaries’ relationships and goodwill with customers, during the Restricted Period, the Participant will not directly or indirectly through any other person engage in, enter the employ of, render any services to, have any ownership interest in, nor participate in the financing, operation, management or control of, any Competing Business (as defined below). For purposes of this Agreement, the phrase “directly or indirectly through any other Person engage in” shall include, without limitation, any direct or indirect ownership or profit participation interest in such enterprise, whether as an owner, stockholder, member, partner, joint venturer or otherwise, and shall include any direct or indirect participation in such enterprise as an employee, consultant, director, officer, advisor, licensor of technology or otherwise. For purposes of this Agreement, “</w:t>
      </w:r>
      <w:r>
        <w:rPr>
          <w:rFonts w:ascii="Arial" w:cs="Arial" w:eastAsia="Arial" w:hAnsi="Arial"/>
          <w:sz w:val="16"/>
          <w:szCs w:val="16"/>
          <w:b w:val="1"/>
          <w:bCs w:val="1"/>
          <w:i w:val="1"/>
          <w:iCs w:val="1"/>
          <w:color w:val="auto"/>
        </w:rPr>
        <w:t>Competing Business</w:t>
      </w:r>
      <w:r>
        <w:rPr>
          <w:rFonts w:ascii="Arial" w:cs="Arial" w:eastAsia="Arial" w:hAnsi="Arial"/>
          <w:sz w:val="16"/>
          <w:szCs w:val="16"/>
          <w:color w:val="auto"/>
        </w:rPr>
        <w:t>” means a person anywhere in the continental United States and elsewhere in the world where the Corporation or any of its Subsidiaries engages in business, or reasonably anticipates engaging in business, (the “</w:t>
      </w:r>
      <w:r>
        <w:rPr>
          <w:rFonts w:ascii="Arial" w:cs="Arial" w:eastAsia="Arial" w:hAnsi="Arial"/>
          <w:sz w:val="16"/>
          <w:szCs w:val="16"/>
          <w:b w:val="1"/>
          <w:bCs w:val="1"/>
          <w:i w:val="1"/>
          <w:iCs w:val="1"/>
          <w:color w:val="auto"/>
        </w:rPr>
        <w:t>Restricted Area</w:t>
      </w:r>
      <w:r>
        <w:rPr>
          <w:rFonts w:ascii="Arial" w:cs="Arial" w:eastAsia="Arial" w:hAnsi="Arial"/>
          <w:sz w:val="16"/>
          <w:szCs w:val="16"/>
          <w:color w:val="auto"/>
        </w:rPr>
        <w:t xml:space="preserve">”) that is engaged in design, development, manufacture, maintenance, offering, production or sales of hard disk drives or flash-based memory or other data storage devices or solutions. However, nothing in this Section 13(c) shall prohibit the Participant from being a passive owner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outstanding stock of any class of a corporation which is publicly traded, so long as such ownership is indirect through a mutual fund, similar passive common investment fund, or a broadly-diversified account managed by an unaffiliated third party.</w:t>
      </w:r>
    </w:p>
    <w:p>
      <w:pPr>
        <w:spacing w:after="0" w:line="170" w:lineRule="exact"/>
        <w:rPr>
          <w:rFonts w:ascii="Arial" w:cs="Arial" w:eastAsia="Arial" w:hAnsi="Arial"/>
          <w:sz w:val="16"/>
          <w:szCs w:val="16"/>
          <w:color w:val="auto"/>
        </w:rPr>
      </w:pPr>
    </w:p>
    <w:p>
      <w:pPr>
        <w:jc w:val="both"/>
        <w:ind w:firstLine="6"/>
        <w:spacing w:after="0" w:line="285" w:lineRule="auto"/>
        <w:tabs>
          <w:tab w:leader="none" w:pos="4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Participant acknowledges that, in the course of the Participant’s employment with the Corporation and/or its Subsidiaries and their predecessors, the Participant has become familiar, or will become familiar, with the Corporation’s and its Subsidiaries’ and their predecessors’ trade secrets and with other confidential and proprietary information concerning the Corporation, its Subsidiaries and their respective predecessors and that the Participant’s services have been and will be of special, unique and extraordinary value to the Corporation and its Subsidiaries. The Participant agrees that the covenants set forth in Sections 13(b) and (c) (together, the “</w:t>
      </w:r>
      <w:r>
        <w:rPr>
          <w:rFonts w:ascii="Arial" w:cs="Arial" w:eastAsia="Arial" w:hAnsi="Arial"/>
          <w:sz w:val="16"/>
          <w:szCs w:val="16"/>
          <w:b w:val="1"/>
          <w:bCs w:val="1"/>
          <w:i w:val="1"/>
          <w:iCs w:val="1"/>
          <w:color w:val="auto"/>
        </w:rPr>
        <w:t>Restrictive Covenants</w:t>
      </w:r>
      <w:r>
        <w:rPr>
          <w:rFonts w:ascii="Arial" w:cs="Arial" w:eastAsia="Arial" w:hAnsi="Arial"/>
          <w:sz w:val="16"/>
          <w:szCs w:val="16"/>
          <w:color w:val="auto"/>
        </w:rPr>
        <w:t>”) are reasonable and necessary to protect the Corporation’s and its Subsidiaries’ trade secrets and other confidential and proprietary information, good will, stable workforce, and customer relations.</w:t>
      </w:r>
    </w:p>
    <w:p>
      <w:pPr>
        <w:spacing w:after="0" w:line="166" w:lineRule="exact"/>
        <w:rPr>
          <w:rFonts w:ascii="Arial" w:cs="Arial" w:eastAsia="Arial" w:hAnsi="Arial"/>
          <w:sz w:val="16"/>
          <w:szCs w:val="16"/>
          <w:color w:val="auto"/>
        </w:rPr>
      </w:pPr>
    </w:p>
    <w:p>
      <w:pPr>
        <w:jc w:val="both"/>
        <w:ind w:firstLine="6"/>
        <w:spacing w:after="0" w:line="280" w:lineRule="auto"/>
        <w:tabs>
          <w:tab w:leader="none" w:pos="40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Without limiting the generality of the Participant’s agreement in Section 13(d), the Participant (i) represents that the Participant is familiar with and has carefully considered the Restrictive Covenants, (ii) represents that the Participant is fully aware of the Participant’s obligations hereunder, (iii) agrees to the reasonableness of the length of time, scope and geographic coverage, as applicable, of the Restrictive Covenants, (iv) agrees that the Corporation and its Subsidiaries currently conduct business throughout the world, and (v) agrees that the Restrictive Covenants will continue in effect for the applicable periods set forth above in this Section 13 regardless of whether the Participant is then entitled to receive any form of compensation, severance pay or benefits from the Corporation or any of its Subsidiaries. The Participant understands that the Restrictive Covenants may limit the Participant’s ability to earn a livelihood in a business similar to the business of the Corporation or any of its Subsidiaries, but the Participant nevertheless believes that the Participant has received and will receive sufficient consideration and other benefits as an employee of the Corporation or one of its Subsidiaries, and as otherwise provided hereunder, to clearly justify such restrictions which, in any event (given the Participant’s education, skills and ability), the Participant does not believe would prevent the Participant from otherwise earning a living. The Participant agrees that the Restrictive Covenants do not confer a benefit upon the Corporation and its Subsidiaries that is disproportionate to the detriment of the Participant.</w:t>
      </w:r>
    </w:p>
    <w:p>
      <w:pPr>
        <w:spacing w:after="0" w:line="171" w:lineRule="exact"/>
        <w:rPr>
          <w:rFonts w:ascii="Arial" w:cs="Arial" w:eastAsia="Arial" w:hAnsi="Arial"/>
          <w:sz w:val="16"/>
          <w:szCs w:val="16"/>
          <w:color w:val="auto"/>
        </w:rPr>
      </w:pPr>
    </w:p>
    <w:p>
      <w:pPr>
        <w:jc w:val="both"/>
        <w:ind w:right="60" w:firstLine="6"/>
        <w:spacing w:after="0" w:line="285" w:lineRule="auto"/>
        <w:tabs>
          <w:tab w:leader="none" w:pos="40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Participant agrees that a breach by the Participant of any of the covenants in this Section 13 would cause immediate and irreparable harm to the Corporation that would be difficult or impossible to measure, and that damages to the Corporation for any such injury would therefore be an inadequate remedy for any such breach. Therefore, the Participant agrees that in the event of any breach or threatened breach of any provision of this Section 13, the Corporation (or its applicable Subsidiary, as the case may be) shall be entitled, in addition to and without limitation upon all other remedies the Corporation (or any of its Subsidiaries) may have under this Award Agreement, at law or otherwise, to obtain specific performance, injunctive relief and/or other appropriate relief (without posting any bond or deposit) in order to enforce or prevent any violations of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93" w:right="339" w:bottom="1440" w:gutter="0" w:footer="0" w:header="0"/>
        </w:sectPr>
      </w:pPr>
    </w:p>
    <w:bookmarkStart w:id="76" w:name="page77"/>
    <w:bookmarkEnd w:id="76"/>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13, or require the Participant to account for and pay over to the Corporation all compensation, profits, moneys, accruals, increments or other benefits derived from or received as a result of any transactions constituting a breach of this Section 13 if and when final judgment of a court of competent jurisdiction or arbitrator, as applicable, is so entered against the Participant. The Participant further agrees that the applicable period of time any Restrictive Covenant is in effect following the date of the Participant’s termination of Continuous Service shall be extended by the same amount of time that the Participant is in breach of any Restrictive Covenant following the date on which the Participant’s Continuous Service terminates. The Participant further agrees that in the event of any breach of any provision of this Section 13, in addition to and without limitation upon all other remedies the Corporation (or any of its Subsidiaries) may have under this Award Agreement, at law or otherwise, this Award (to the extent outstanding at the time of such breach) shall automatically terminate and be forfeited as of the time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0"/>
          </w:cols>
          <w:pgMar w:left="320" w:top="1440" w:right="3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STOCK UNIT AWARD – TSR MEASURE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 and Goals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Performance Measures and Goals</w:t>
      </w:r>
    </w:p>
    <w:p>
      <w:pPr>
        <w:sectPr>
          <w:pgSz w:w="11900" w:h="16838" w:orient="portrait"/>
          <w:cols w:equalWidth="0" w:num="1">
            <w:col w:w="9019"/>
          </w:cols>
          <w:pgMar w:left="1440" w:top="1387" w:right="1440" w:bottom="1440" w:gutter="0" w:footer="0" w:header="0"/>
        </w:sectPr>
      </w:pPr>
    </w:p>
    <w:bookmarkStart w:id="78" w:name="page79"/>
    <w:bookmarkEnd w:id="78"/>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1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ADDITIONAL TERMS AND CONDITIONS OF PERFORMANCE STOCK UNIT AWARD AGREEMENT</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Agreement.</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4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PSUs; and (b) are not obligated to structure the terms of the grant or any aspect of the PSUs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71" w:lineRule="exact"/>
        <w:rPr>
          <w:sz w:val="20"/>
          <w:szCs w:val="20"/>
          <w:color w:val="auto"/>
        </w:rPr>
      </w:pPr>
    </w:p>
    <w:p>
      <w:pPr>
        <w:jc w:val="both"/>
        <w:ind w:firstLine="633"/>
        <w:spacing w:after="0" w:line="277"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to satisfy the obligations with regard to all Tax-Related Items by one or a combination of the methods set forth in Section 8.5 of the Plan and Section 5 of the Standard Terms and Conditions. In addition, the Participant authorizes withholding from proceeds of the sale of shares of Common Stock acquired upon settlement of the PSUs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5 of the Standard Terms and Conditions, and the withholding methodology approved by the Administrator for officers subject to Section 16 of the Exchange Act.</w:t>
      </w:r>
    </w:p>
    <w:p>
      <w:pPr>
        <w:spacing w:after="0" w:line="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Corporation or the Employer; otherwise, the Participant may be able to seek a refund from the local tax authorities. In the event of under-withholding, the Participant may be required to pay any additional Tax-Related Items directly to the applicable tax authority or to the Corporation and/or the Employer. If the Tax-Related Items are satisfied by withholding in shares of Common Stock, for tax purposes, the Participant is deemed to have been issued the full number of shares subject to the vested PSUs, notwithstanding that a number of the Shares are held back solely for the purpose of paying the Tax-Related Items.</w:t>
      </w:r>
    </w:p>
    <w:p>
      <w:pPr>
        <w:spacing w:after="0" w:line="195"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62" w:lineRule="auto"/>
        <w:rPr>
          <w:sz w:val="20"/>
          <w:szCs w:val="20"/>
          <w:color w:val="auto"/>
        </w:rPr>
      </w:pPr>
      <w:r>
        <w:rPr>
          <w:rFonts w:ascii="Arial" w:cs="Arial" w:eastAsia="Arial" w:hAnsi="Arial"/>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and any shares of Common Stock, the Participant agrees that:</w:t>
      </w:r>
    </w:p>
    <w:p>
      <w:pPr>
        <w:spacing w:after="0" w:line="215" w:lineRule="exact"/>
        <w:rPr>
          <w:sz w:val="20"/>
          <w:szCs w:val="20"/>
          <w:color w:val="auto"/>
        </w:rPr>
      </w:pPr>
    </w:p>
    <w:p>
      <w:pPr>
        <w:ind w:firstLine="1272"/>
        <w:spacing w:after="0" w:line="262" w:lineRule="auto"/>
        <w:tabs>
          <w:tab w:leader="none" w:pos="18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81" w:lineRule="exact"/>
        <w:rPr>
          <w:rFonts w:ascii="Arial" w:cs="Arial" w:eastAsia="Arial" w:hAnsi="Arial"/>
          <w:sz w:val="18"/>
          <w:szCs w:val="18"/>
          <w:color w:val="auto"/>
        </w:rPr>
      </w:pPr>
    </w:p>
    <w:p>
      <w:pPr>
        <w:ind w:firstLine="1272"/>
        <w:spacing w:after="0" w:line="262" w:lineRule="auto"/>
        <w:tabs>
          <w:tab w:leader="none" w:pos="18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81" w:lineRule="exact"/>
        <w:rPr>
          <w:rFonts w:ascii="Arial" w:cs="Arial" w:eastAsia="Arial" w:hAnsi="Arial"/>
          <w:sz w:val="18"/>
          <w:szCs w:val="18"/>
          <w:color w:val="auto"/>
        </w:rPr>
      </w:pPr>
    </w:p>
    <w:p>
      <w:pPr>
        <w:ind w:left="1900" w:hanging="628"/>
        <w:spacing w:after="0"/>
        <w:tabs>
          <w:tab w:leader="none" w:pos="1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Corporation;</w:t>
      </w:r>
    </w:p>
    <w:p>
      <w:pPr>
        <w:spacing w:after="0" w:line="215" w:lineRule="exact"/>
        <w:rPr>
          <w:rFonts w:ascii="Arial" w:cs="Arial" w:eastAsia="Arial" w:hAnsi="Arial"/>
          <w:sz w:val="18"/>
          <w:szCs w:val="18"/>
          <w:color w:val="auto"/>
        </w:rPr>
      </w:pPr>
    </w:p>
    <w:p>
      <w:pPr>
        <w:ind w:left="1900" w:hanging="628"/>
        <w:spacing w:after="0"/>
        <w:tabs>
          <w:tab w:leader="none" w:pos="1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15" w:lineRule="exact"/>
        <w:rPr>
          <w:rFonts w:ascii="Arial" w:cs="Arial" w:eastAsia="Arial" w:hAnsi="Arial"/>
          <w:sz w:val="18"/>
          <w:szCs w:val="18"/>
          <w:color w:val="auto"/>
        </w:rPr>
      </w:pPr>
    </w:p>
    <w:p>
      <w:pPr>
        <w:ind w:firstLine="1272"/>
        <w:spacing w:after="0" w:line="262" w:lineRule="auto"/>
        <w:tabs>
          <w:tab w:leader="none" w:pos="18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intended to replace any pension rights or compensation;</w:t>
      </w:r>
    </w:p>
    <w:p>
      <w:pPr>
        <w:spacing w:after="0" w:line="181" w:lineRule="exact"/>
        <w:rPr>
          <w:rFonts w:ascii="Arial" w:cs="Arial" w:eastAsia="Arial" w:hAnsi="Arial"/>
          <w:sz w:val="18"/>
          <w:szCs w:val="18"/>
          <w:color w:val="auto"/>
        </w:rPr>
      </w:pPr>
    </w:p>
    <w:p>
      <w:pPr>
        <w:jc w:val="both"/>
        <w:ind w:firstLine="1272"/>
        <w:spacing w:after="0" w:line="249" w:lineRule="auto"/>
        <w:tabs>
          <w:tab w:leader="none" w:pos="18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8" w:lineRule="exact"/>
        <w:rPr>
          <w:rFonts w:ascii="Arial" w:cs="Arial" w:eastAsia="Arial" w:hAnsi="Arial"/>
          <w:sz w:val="18"/>
          <w:szCs w:val="18"/>
          <w:color w:val="auto"/>
        </w:rPr>
      </w:pPr>
    </w:p>
    <w:p>
      <w:pPr>
        <w:ind w:left="1900" w:hanging="628"/>
        <w:spacing w:after="0"/>
        <w:tabs>
          <w:tab w:leader="none" w:pos="1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PSUs is unknown, indeterminable, and cannot be predicted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03" w:lineRule="exact"/>
        <w:rPr>
          <w:rFonts w:ascii="Arial" w:cs="Arial" w:eastAsia="Arial" w:hAnsi="Arial"/>
          <w:sz w:val="16"/>
          <w:szCs w:val="16"/>
          <w:color w:val="auto"/>
        </w:rPr>
      </w:pPr>
    </w:p>
    <w:p>
      <w:pPr>
        <w:ind w:firstLine="1272"/>
        <w:spacing w:after="0" w:line="325" w:lineRule="auto"/>
        <w:tabs>
          <w:tab w:leader="none" w:pos="18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unless otherwise agreed with the Corporation, the PSUs and the shares of Common Stock acquired under the Plan, and the income and value of same, are not granted as consideration for, or in connection with, the service the Participant may provide as a director of any Subsidiary;</w:t>
      </w:r>
    </w:p>
    <w:p>
      <w:pPr>
        <w:spacing w:after="0" w:line="134" w:lineRule="exact"/>
        <w:rPr>
          <w:rFonts w:ascii="Arial" w:cs="Arial" w:eastAsia="Arial" w:hAnsi="Arial"/>
          <w:sz w:val="16"/>
          <w:szCs w:val="16"/>
          <w:color w:val="auto"/>
        </w:rPr>
      </w:pPr>
    </w:p>
    <w:p>
      <w:pPr>
        <w:jc w:val="both"/>
        <w:ind w:firstLine="1272"/>
        <w:spacing w:after="0" w:line="300" w:lineRule="auto"/>
        <w:tabs>
          <w:tab w:leader="none" w:pos="189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PSUs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4" w:lineRule="exact"/>
        <w:rPr>
          <w:rFonts w:ascii="Arial" w:cs="Arial" w:eastAsia="Arial" w:hAnsi="Arial"/>
          <w:sz w:val="16"/>
          <w:szCs w:val="16"/>
          <w:color w:val="auto"/>
        </w:rPr>
      </w:pPr>
    </w:p>
    <w:p>
      <w:pPr>
        <w:jc w:val="both"/>
        <w:ind w:firstLine="1272"/>
        <w:spacing w:after="0" w:line="253" w:lineRule="auto"/>
        <w:tabs>
          <w:tab w:leader="none" w:pos="18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PSUs and the benefits evidenced by the Award Agreement do not create any entitlement to have the PSUs or any such benefits transferred to, or assumed by, another Corporation nor to be exchanged, cashed out or substituted for, in connection with any corporate transaction affecting the shares; and</w:t>
      </w:r>
    </w:p>
    <w:p>
      <w:pPr>
        <w:spacing w:after="0" w:line="189" w:lineRule="exact"/>
        <w:rPr>
          <w:rFonts w:ascii="Arial" w:cs="Arial" w:eastAsia="Arial" w:hAnsi="Arial"/>
          <w:sz w:val="18"/>
          <w:szCs w:val="18"/>
          <w:color w:val="auto"/>
        </w:rPr>
      </w:pPr>
    </w:p>
    <w:p>
      <w:pPr>
        <w:jc w:val="both"/>
        <w:ind w:firstLine="1272"/>
        <w:spacing w:after="0" w:line="253" w:lineRule="auto"/>
        <w:tabs>
          <w:tab w:leader="none" w:pos="18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PSUs or of any amounts due to the Participant pursuant to the vesting of the PSUs or the subsequent sale of any shares of Common Stock acquired upon vesting.</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4. Data Privacy</w:t>
      </w:r>
    </w:p>
    <w:p>
      <w:pPr>
        <w:spacing w:after="0" w:line="221"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b w:val="1"/>
          <w:bCs w:val="1"/>
          <w:i w:val="1"/>
          <w:iCs w:val="1"/>
          <w:color w:val="auto"/>
        </w:rPr>
        <w:t>By accepting the PSUs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of protection from a European (or other non-U.S.) data protection law perspective, for the purposes described herein.</w:t>
      </w:r>
    </w:p>
    <w:p>
      <w:pPr>
        <w:spacing w:after="0" w:line="215" w:lineRule="exact"/>
        <w:rPr>
          <w:sz w:val="20"/>
          <w:szCs w:val="20"/>
          <w:color w:val="auto"/>
        </w:rPr>
      </w:pPr>
    </w:p>
    <w:p>
      <w:pPr>
        <w:jc w:val="both"/>
        <w:ind w:firstLine="1272"/>
        <w:spacing w:after="0" w:line="316" w:lineRule="auto"/>
        <w:tabs>
          <w:tab w:leader="none" w:pos="1893"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PSU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PSUs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69" w:lineRule="exact"/>
        <w:rPr>
          <w:rFonts w:ascii="Arial" w:cs="Arial" w:eastAsia="Arial" w:hAnsi="Arial"/>
          <w:sz w:val="16"/>
          <w:szCs w:val="16"/>
          <w:b w:val="1"/>
          <w:bCs w:val="1"/>
          <w:color w:val="auto"/>
        </w:rPr>
      </w:pPr>
    </w:p>
    <w:p>
      <w:pPr>
        <w:jc w:val="both"/>
        <w:ind w:firstLine="1272"/>
        <w:spacing w:after="0" w:line="305" w:lineRule="auto"/>
        <w:tabs>
          <w:tab w:leader="none" w:pos="1896"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301" w:lineRule="auto"/>
        <w:tabs>
          <w:tab w:leader="none" w:pos="189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58" w:lineRule="exact"/>
        <w:rPr>
          <w:rFonts w:ascii="Arial" w:cs="Arial" w:eastAsia="Arial" w:hAnsi="Arial"/>
          <w:sz w:val="15"/>
          <w:szCs w:val="15"/>
          <w:b w:val="1"/>
          <w:bCs w:val="1"/>
          <w:color w:val="auto"/>
        </w:rPr>
      </w:pPr>
    </w:p>
    <w:p>
      <w:pPr>
        <w:jc w:val="both"/>
        <w:ind w:firstLine="1272"/>
        <w:spacing w:after="0" w:line="328" w:lineRule="auto"/>
        <w:tabs>
          <w:tab w:leader="none" w:pos="1896"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Corporation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316" w:lineRule="auto"/>
        <w:tabs>
          <w:tab w:leader="none" w:pos="189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Corporation would not be able to grant PSUs or other equity awards to the Participant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7" w:right="339" w:bottom="1440" w:gutter="0" w:footer="0" w:header="0"/>
        </w:sectPr>
      </w:pPr>
    </w:p>
    <w:bookmarkStart w:id="81" w:name="page82"/>
    <w:bookmarkEnd w:id="81"/>
    <w:p>
      <w:pPr>
        <w:jc w:val="both"/>
        <w:ind w:firstLine="1272"/>
        <w:spacing w:after="0" w:line="298" w:lineRule="auto"/>
        <w:tabs>
          <w:tab w:leader="none" w:pos="1893" w:val="left"/>
        </w:tabs>
        <w:numPr>
          <w:ilvl w:val="1"/>
          <w:numId w:val="58"/>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7"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163" w:lineRule="exact"/>
        <w:rPr>
          <w:rFonts w:ascii="Arial" w:cs="Arial" w:eastAsia="Arial" w:hAnsi="Arial"/>
          <w:sz w:val="16"/>
          <w:szCs w:val="16"/>
          <w:b w:val="1"/>
          <w:bCs w:val="1"/>
          <w:color w:val="auto"/>
        </w:rPr>
      </w:pPr>
    </w:p>
    <w:p>
      <w:pPr>
        <w:ind w:left="1280" w:hanging="167"/>
        <w:spacing w:after="0"/>
        <w:tabs>
          <w:tab w:leader="none" w:pos="1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PSUs. Further, the Participant agrees to participate in the Plan through an on-line or electronic system established and maintained by the Corporation or by a third party designated by the Corporation.</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PSUs)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7" w:right="339" w:bottom="1440" w:gutter="0" w:footer="0" w:header="0"/>
        </w:sectPr>
      </w:pPr>
    </w:p>
    <w:bookmarkStart w:id="82" w:name="page83"/>
    <w:bookmarkEnd w:id="82"/>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PSUs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1" w:right="339" w:bottom="1440" w:gutter="0" w:footer="0" w:header="0"/>
        </w:sectPr>
      </w:pPr>
    </w:p>
    <w:bookmarkStart w:id="83" w:name="page84"/>
    <w:bookmarkEnd w:id="83"/>
    <w:p>
      <w:pPr>
        <w:ind w:left="10340"/>
        <w:spacing w:after="0"/>
        <w:rPr>
          <w:sz w:val="20"/>
          <w:szCs w:val="20"/>
          <w:color w:val="auto"/>
        </w:rPr>
      </w:pPr>
      <w:r>
        <w:rPr>
          <w:rFonts w:ascii="Arial" w:cs="Arial" w:eastAsia="Arial" w:hAnsi="Arial"/>
          <w:sz w:val="16"/>
          <w:szCs w:val="16"/>
          <w:b w:val="1"/>
          <w:bCs w:val="1"/>
          <w:color w:val="auto"/>
        </w:rPr>
        <w:t>Exhibit 10.3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WESTERN DIGITAL CORPORATION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2017 PERFORMANCE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 NOTICE FOR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AWARD – VICE PRESIDENT AND ABOVE</w:t>
      </w: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FOR GOOD AND VALUABLE CONSIDERATION, 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grants to the Participant named below the number of Restricted Stock Units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listed below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under the Western Digital Corporation Amended and Restated 2017 Performance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Each RSU represents the right to receive one share of Common Stock, subject to the terms and conditions in this Grant Notice, the Plan and the Standard Terms and Conditions (the “</w:t>
      </w:r>
      <w:r>
        <w:rPr>
          <w:rFonts w:ascii="Arial" w:cs="Arial" w:eastAsia="Arial" w:hAnsi="Arial"/>
          <w:sz w:val="16"/>
          <w:szCs w:val="16"/>
          <w:b w:val="1"/>
          <w:bCs w:val="1"/>
          <w:i w:val="1"/>
          <w:iCs w:val="1"/>
          <w:color w:val="auto"/>
        </w:rPr>
        <w:t>Standard Terms and Conditions</w:t>
      </w:r>
      <w:r>
        <w:rPr>
          <w:rFonts w:ascii="Arial" w:cs="Arial" w:eastAsia="Arial" w:hAnsi="Arial"/>
          <w:sz w:val="16"/>
          <w:szCs w:val="16"/>
          <w:color w:val="auto"/>
        </w:rPr>
        <w:t xml:space="preserve">”) of such Plan,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Capitalized terms not otherwise defined here shall have the meaning set forth in the Plan.</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6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Participant:</w:t>
            </w:r>
          </w:p>
        </w:tc>
        <w:tc>
          <w:tcPr>
            <w:tcW w:w="85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 ID</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Date:</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Grant Number</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RSUs:</w:t>
            </w:r>
          </w:p>
        </w:tc>
        <w:tc>
          <w:tcPr>
            <w:tcW w:w="85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8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Schedule:</w:t>
            </w:r>
          </w:p>
        </w:tc>
        <w:tc>
          <w:tcPr>
            <w:tcW w:w="8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RSUs shall vest in accordance with the following schedule:</w:t>
            </w:r>
          </w:p>
        </w:tc>
        <w:tc>
          <w:tcPr>
            <w:tcW w:w="0" w:type="dxa"/>
            <w:vAlign w:val="bottom"/>
          </w:tcPr>
          <w:p>
            <w:pPr>
              <w:spacing w:after="0"/>
              <w:rPr>
                <w:sz w:val="1"/>
                <w:szCs w:val="1"/>
                <w:color w:val="auto"/>
              </w:rPr>
            </w:pPr>
          </w:p>
        </w:tc>
      </w:tr>
      <w:tr>
        <w:trPr>
          <w:trHeight w:val="106"/>
        </w:trPr>
        <w:tc>
          <w:tcPr>
            <w:tcW w:w="2680" w:type="dxa"/>
            <w:vAlign w:val="bottom"/>
            <w:tcBorders>
              <w:left w:val="single" w:sz="8" w:color="auto"/>
              <w:right w:val="single" w:sz="8" w:color="auto"/>
            </w:tcBorders>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   25% of the RSUs shall vest on the one-year anniversary of the Grant Date (the “</w:t>
            </w:r>
            <w:r>
              <w:rPr>
                <w:rFonts w:ascii="Arial" w:cs="Arial" w:eastAsia="Arial" w:hAnsi="Arial"/>
                <w:sz w:val="18"/>
                <w:szCs w:val="18"/>
                <w:b w:val="1"/>
                <w:bCs w:val="1"/>
                <w:i w:val="1"/>
                <w:iCs w:val="1"/>
                <w:color w:val="auto"/>
              </w:rPr>
              <w:t>first vesting date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680" w:type="dxa"/>
            <w:vAlign w:val="bottom"/>
            <w:tcBorders>
              <w:left w:val="single" w:sz="8" w:color="auto"/>
              <w:right w:val="single" w:sz="8" w:color="auto"/>
            </w:tcBorders>
          </w:tcPr>
          <w:p>
            <w:pPr>
              <w:spacing w:after="0"/>
              <w:rPr>
                <w:sz w:val="21"/>
                <w:szCs w:val="21"/>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w w:val="96"/>
              </w:rPr>
              <w:t xml:space="preserve">•  </w:t>
            </w:r>
            <w:r>
              <w:rPr>
                <w:rFonts w:ascii="Arial" w:cs="Arial" w:eastAsia="Arial" w:hAnsi="Arial"/>
                <w:sz w:val="17"/>
                <w:szCs w:val="17"/>
                <w:color w:val="auto"/>
                <w:w w:val="96"/>
              </w:rPr>
              <w:t>The remaining RSUs shall vest thereafter in twelve (12) equal installments of 6.25% every three months thereafter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following the first vesting date.</w:t>
            </w:r>
          </w:p>
        </w:tc>
        <w:tc>
          <w:tcPr>
            <w:tcW w:w="0" w:type="dxa"/>
            <w:vAlign w:val="bottom"/>
          </w:tcPr>
          <w:p>
            <w:pPr>
              <w:spacing w:after="0"/>
              <w:rPr>
                <w:sz w:val="1"/>
                <w:szCs w:val="1"/>
                <w:color w:val="auto"/>
              </w:rPr>
            </w:pPr>
          </w:p>
        </w:tc>
      </w:tr>
      <w:tr>
        <w:trPr>
          <w:trHeight w:val="305"/>
        </w:trPr>
        <w:tc>
          <w:tcPr>
            <w:tcW w:w="2680" w:type="dxa"/>
            <w:vAlign w:val="bottom"/>
            <w:tcBorders>
              <w:left w:val="single" w:sz="8" w:color="auto"/>
              <w:right w:val="single" w:sz="8" w:color="auto"/>
            </w:tcBorders>
          </w:tcPr>
          <w:p>
            <w:pPr>
              <w:spacing w:after="0"/>
              <w:rPr>
                <w:sz w:val="24"/>
                <w:szCs w:val="24"/>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Vesting shall be subject to Participant’s Continuous Service (as defined in the Standard Terms and Conditions) from</w:t>
            </w:r>
          </w:p>
        </w:tc>
        <w:tc>
          <w:tcPr>
            <w:tcW w:w="0" w:type="dxa"/>
            <w:vAlign w:val="bottom"/>
          </w:tcPr>
          <w:p>
            <w:pPr>
              <w:spacing w:after="0"/>
              <w:rPr>
                <w:sz w:val="1"/>
                <w:szCs w:val="1"/>
                <w:color w:val="auto"/>
              </w:rPr>
            </w:pPr>
          </w:p>
        </w:tc>
      </w:tr>
      <w:tr>
        <w:trPr>
          <w:trHeight w:val="211"/>
        </w:trPr>
        <w:tc>
          <w:tcPr>
            <w:tcW w:w="2680" w:type="dxa"/>
            <w:vAlign w:val="bottom"/>
            <w:tcBorders>
              <w:left w:val="single" w:sz="8" w:color="auto"/>
              <w:right w:val="single" w:sz="8" w:color="auto"/>
            </w:tcBorders>
          </w:tcPr>
          <w:p>
            <w:pPr>
              <w:spacing w:after="0"/>
              <w:rPr>
                <w:sz w:val="18"/>
                <w:szCs w:val="18"/>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Grant Date through each applicable vesting date, unless provided otherwise under Section 2 of the Standard</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right w:val="single" w:sz="8" w:color="auto"/>
            </w:tcBorders>
          </w:tcPr>
          <w:p>
            <w:pPr>
              <w:spacing w:after="0"/>
              <w:rPr>
                <w:sz w:val="19"/>
                <w:szCs w:val="19"/>
                <w:color w:val="auto"/>
              </w:rPr>
            </w:pPr>
          </w:p>
        </w:tc>
        <w:tc>
          <w:tcPr>
            <w:tcW w:w="8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Terms and Conditions.</w:t>
            </w:r>
          </w:p>
        </w:tc>
        <w:tc>
          <w:tcPr>
            <w:tcW w:w="0" w:type="dxa"/>
            <w:vAlign w:val="bottom"/>
          </w:tcPr>
          <w:p>
            <w:pPr>
              <w:spacing w:after="0"/>
              <w:rPr>
                <w:sz w:val="1"/>
                <w:szCs w:val="1"/>
                <w:color w:val="auto"/>
              </w:rPr>
            </w:pPr>
          </w:p>
        </w:tc>
      </w:tr>
      <w:tr>
        <w:trPr>
          <w:trHeight w:val="133"/>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8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IN CONNECTION WITH THIS GRANT, AND IN ADDITION TO THIS GRANT NOTICE, PARTICIPANT HAS RECEIVED A COPY OF THE PLAN AND THE STANDARD TERMS AND CONDITIONS. PARTICIPANT MAY REJECT THIS AWARD BY NOTIFYING THE COMPANY NO LATER THAN THE FIFTH BUSINESS DAY FOLLOWING RECEIPT OF THIS AWARD AGREEMENT. FAILURE TO REJECT THIS AWARD WITHIN SUCH 5-DAY PERIOD SHALL BE DEEMED ACCEPTANCE OF THIS AWARD AND THE TERMS AND CONDITIONS OF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Grant Notice for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Restricted Stock Unit Award</w:t>
      </w:r>
    </w:p>
    <w:p>
      <w:pPr>
        <w:sectPr>
          <w:pgSz w:w="11900" w:h="16838" w:orient="portrait"/>
          <w:cols w:equalWidth="0" w:num="1">
            <w:col w:w="11260"/>
          </w:cols>
          <w:pgMar w:left="320" w:top="1374"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2017 PERFORMANCE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These Standard Terms and Conditions apply to this Award of Restricted Stock Units granted under the Western Digital Corporation Amended and Restated 2017 Performance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Restricted Stock Units are also subject to the terms of the Plan and the attached Grant Notice, which are incorporated here by this reference. Capitalized terms not otherwise defined here shall have the meaning set forth in the Plan.</w:t>
      </w:r>
    </w:p>
    <w:p>
      <w:pPr>
        <w:spacing w:after="0" w:line="148" w:lineRule="exact"/>
        <w:rPr>
          <w:sz w:val="20"/>
          <w:szCs w:val="20"/>
          <w:color w:val="auto"/>
        </w:rPr>
      </w:pPr>
    </w:p>
    <w:p>
      <w:pPr>
        <w:ind w:left="640" w:hanging="634"/>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TERMS OF RESTRICTED STOCK UNITS</w:t>
      </w:r>
    </w:p>
    <w:p>
      <w:pPr>
        <w:spacing w:after="0" w:line="221" w:lineRule="exact"/>
        <w:rPr>
          <w:sz w:val="20"/>
          <w:szCs w:val="20"/>
          <w:color w:val="auto"/>
        </w:rPr>
      </w:pPr>
    </w:p>
    <w:p>
      <w:pPr>
        <w:jc w:val="both"/>
        <w:ind w:right="60"/>
        <w:spacing w:after="0" w:line="300" w:lineRule="auto"/>
        <w:rPr>
          <w:sz w:val="20"/>
          <w:szCs w:val="20"/>
          <w:color w:val="auto"/>
        </w:rPr>
      </w:pPr>
      <w:r>
        <w:rPr>
          <w:rFonts w:ascii="Arial" w:cs="Arial" w:eastAsia="Arial" w:hAnsi="Arial"/>
          <w:sz w:val="16"/>
          <w:szCs w:val="16"/>
          <w:color w:val="auto"/>
        </w:rPr>
        <w:t>Western Digital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has granted to the Participant named in the attached Grant Notice an award of Restricted Stock Units (this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described in the Grant Notice, with each Restricted Stock Unit representing the right to receive one share of Common Stock. For purposes of these Standard Terms and Conditions and the Grant Notice, any reference to the Corporation shall include a reference to any Subsidiary.</w:t>
      </w:r>
    </w:p>
    <w:p>
      <w:pPr>
        <w:spacing w:after="0" w:line="148" w:lineRule="exact"/>
        <w:rPr>
          <w:sz w:val="20"/>
          <w:szCs w:val="20"/>
          <w:color w:val="auto"/>
        </w:rPr>
      </w:pPr>
    </w:p>
    <w:p>
      <w:pPr>
        <w:ind w:left="640" w:hanging="634"/>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 OF RESTRICTED STOCK UNITS</w:t>
      </w:r>
    </w:p>
    <w:p>
      <w:pPr>
        <w:spacing w:after="0" w:line="221" w:lineRule="exact"/>
        <w:rPr>
          <w:rFonts w:ascii="Arial" w:cs="Arial" w:eastAsia="Arial" w:hAnsi="Arial"/>
          <w:sz w:val="18"/>
          <w:szCs w:val="18"/>
          <w:b w:val="1"/>
          <w:bCs w:val="1"/>
          <w:color w:val="auto"/>
        </w:rPr>
      </w:pPr>
    </w:p>
    <w:p>
      <w:pPr>
        <w:jc w:val="both"/>
        <w:ind w:right="60" w:firstLine="639"/>
        <w:spacing w:after="0" w:line="285" w:lineRule="auto"/>
        <w:tabs>
          <w:tab w:leader="none" w:pos="1263"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Award shall be unvested as of the Grant Date and be forfeitable unless and until otherwise vested pursuant to the terms of the Grant Notice and these Standard Terms and Conditions. After the Grant Date, subject to termination or acceleration as provided in these Standard Terms and Conditions and the Plan, this Award shall become vested as described in the Grant Notice. RSUs that have vested and are no longer subject to forfeiture are referred to as “</w:t>
      </w:r>
      <w:r>
        <w:rPr>
          <w:rFonts w:ascii="Arial" w:cs="Arial" w:eastAsia="Arial" w:hAnsi="Arial"/>
          <w:sz w:val="16"/>
          <w:szCs w:val="16"/>
          <w:b w:val="1"/>
          <w:bCs w:val="1"/>
          <w:i w:val="1"/>
          <w:iCs w:val="1"/>
          <w:color w:val="auto"/>
        </w:rPr>
        <w:t>Vested RSUs</w:t>
      </w:r>
      <w:r>
        <w:rPr>
          <w:rFonts w:ascii="Arial" w:cs="Arial" w:eastAsia="Arial" w:hAnsi="Arial"/>
          <w:sz w:val="16"/>
          <w:szCs w:val="16"/>
          <w:color w:val="auto"/>
        </w:rPr>
        <w:t>.” RSUs that are not vested and remain subject to forfeiture are referred to as “</w:t>
      </w:r>
      <w:r>
        <w:rPr>
          <w:rFonts w:ascii="Arial" w:cs="Arial" w:eastAsia="Arial" w:hAnsi="Arial"/>
          <w:sz w:val="16"/>
          <w:szCs w:val="16"/>
          <w:b w:val="1"/>
          <w:bCs w:val="1"/>
          <w:i w:val="1"/>
          <w:iCs w:val="1"/>
          <w:color w:val="auto"/>
        </w:rPr>
        <w:t>Unvested RSUs</w:t>
      </w:r>
      <w:r>
        <w:rPr>
          <w:rFonts w:ascii="Arial" w:cs="Arial" w:eastAsia="Arial" w:hAnsi="Arial"/>
          <w:sz w:val="16"/>
          <w:szCs w:val="16"/>
          <w:color w:val="auto"/>
        </w:rPr>
        <w:t>.” No portion of this Award, nor the shares of Common Stock subject to this Award, may be deferred under the Western Digital Corporation Deferred Compensation Plan (or any applicable successor plan) or any other deferred compensation arrangement of the Corporation.</w:t>
      </w:r>
    </w:p>
    <w:p>
      <w:pPr>
        <w:spacing w:after="0" w:line="166" w:lineRule="exact"/>
        <w:rPr>
          <w:rFonts w:ascii="Arial" w:cs="Arial" w:eastAsia="Arial" w:hAnsi="Arial"/>
          <w:sz w:val="16"/>
          <w:szCs w:val="16"/>
          <w:color w:val="auto"/>
        </w:rPr>
      </w:pPr>
    </w:p>
    <w:p>
      <w:pPr>
        <w:jc w:val="both"/>
        <w:ind w:right="60" w:firstLine="639"/>
        <w:spacing w:after="0" w:line="249" w:lineRule="auto"/>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Following the vesting of the RSUs on a vesting date, the Corporation shall deliver to the Participant on the Settlement Date a number of shares of Common Stock equal to the number of RSUs that vested on such vesting date. The Corporation may, in its sole discretion, settle any RSUs accrued as dividend equivalents by a cash payment equal to the Fair Market Value of a share of Common Stock on the date of payment (as opposed to payment in the form of shares of Common Stock).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means as soon as practicable following the vesting of the RSUs on the applicable vesting date but in no event later than 60 days after the applicable vesting date.</w:t>
      </w:r>
    </w:p>
    <w:p>
      <w:pPr>
        <w:spacing w:after="0" w:line="192" w:lineRule="exact"/>
        <w:rPr>
          <w:rFonts w:ascii="Arial" w:cs="Arial" w:eastAsia="Arial" w:hAnsi="Arial"/>
          <w:sz w:val="18"/>
          <w:szCs w:val="18"/>
          <w:color w:val="auto"/>
        </w:rPr>
      </w:pPr>
    </w:p>
    <w:p>
      <w:pPr>
        <w:jc w:val="both"/>
        <w:ind w:right="60" w:firstLine="639"/>
        <w:spacing w:after="0" w:line="247" w:lineRule="auto"/>
        <w:tabs>
          <w:tab w:leader="none" w:pos="1263"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Termination due to Death; Termination without Cause under the Executive Severance Plan</w:t>
      </w:r>
      <w:r>
        <w:rPr>
          <w:rFonts w:ascii="Arial" w:cs="Arial" w:eastAsia="Arial" w:hAnsi="Arial"/>
          <w:sz w:val="18"/>
          <w:szCs w:val="18"/>
          <w:color w:val="auto"/>
        </w:rPr>
        <w:t>. (1) Upon Participant’s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Service (as defined below) due to death or (2) for a Participant who is subject to the terms of the Western Digital Corporation Amended and Restated Executive Severance Plan, as applicable (or any applicable successor plan) (the “</w:t>
      </w:r>
      <w:r>
        <w:rPr>
          <w:rFonts w:ascii="Arial" w:cs="Arial" w:eastAsia="Arial" w:hAnsi="Arial"/>
          <w:sz w:val="18"/>
          <w:szCs w:val="18"/>
          <w:b w:val="1"/>
          <w:bCs w:val="1"/>
          <w:i w:val="1"/>
          <w:iCs w:val="1"/>
          <w:color w:val="auto"/>
        </w:rPr>
        <w:t>Executive Severance Plan</w:t>
      </w:r>
      <w:r>
        <w:rPr>
          <w:rFonts w:ascii="Arial" w:cs="Arial" w:eastAsia="Arial" w:hAnsi="Arial"/>
          <w:sz w:val="18"/>
          <w:szCs w:val="18"/>
          <w:color w:val="auto"/>
        </w:rPr>
        <w:t>”) at the time of termination of Continuous Service, then upon Participant’s termination of employment by the Corporation without Cause (as defined in the Executive Severance Plan) under circumstances that would entitle the Participant to severance benefits under the Executive Severance Plan, subject to compliance with the terms of the Executive Severance Plan any then Unvested RSUs and any credited dividend equivalents held by the Participant shall vest in accordance with the following formula:</w:t>
      </w:r>
    </w:p>
    <w:p>
      <w:pPr>
        <w:spacing w:after="0" w:line="197" w:lineRule="exact"/>
        <w:rPr>
          <w:sz w:val="20"/>
          <w:szCs w:val="20"/>
          <w:color w:val="auto"/>
        </w:rPr>
      </w:pPr>
    </w:p>
    <w:p>
      <w:pPr>
        <w:jc w:val="both"/>
        <w:ind w:left="640" w:right="60" w:hanging="1"/>
        <w:spacing w:after="0" w:line="300" w:lineRule="auto"/>
        <w:tabs>
          <w:tab w:leader="none" w:pos="10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(x) a fraction with a numerator equal to the total number of calendar days from the Grant Date of this Award through and including the Participant’s termination of Continuous Service and a denominator equal to the total number of calendar days from the Grant Date of this Award through and including the last scheduled vesting date applicable to this Award </w:t>
      </w:r>
      <w:r>
        <w:rPr>
          <w:rFonts w:ascii="Arial" w:cs="Arial" w:eastAsia="Arial" w:hAnsi="Arial"/>
          <w:sz w:val="16"/>
          <w:szCs w:val="16"/>
          <w:b w:val="1"/>
          <w:bCs w:val="1"/>
          <w:i w:val="1"/>
          <w:iCs w:val="1"/>
          <w:u w:val="single" w:color="auto"/>
          <w:color w:val="auto"/>
        </w:rPr>
        <w:t>multiplied by</w:t>
      </w:r>
      <w:r>
        <w:rPr>
          <w:rFonts w:ascii="Arial" w:cs="Arial" w:eastAsia="Arial" w:hAnsi="Arial"/>
          <w:sz w:val="16"/>
          <w:szCs w:val="16"/>
          <w:color w:val="auto"/>
        </w:rPr>
        <w:t xml:space="preserve"> (y) the total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Standard Terms and Conditions</w:t>
      </w:r>
    </w:p>
    <w:p>
      <w:pPr>
        <w:sectPr>
          <w:pgSz w:w="11900" w:h="16838" w:orient="portrait"/>
          <w:cols w:equalWidth="0" w:num="1">
            <w:col w:w="11240"/>
          </w:cols>
          <w:pgMar w:left="320" w:top="1387" w:right="339" w:bottom="1440" w:gutter="0" w:footer="0" w:header="0"/>
        </w:sectPr>
      </w:pPr>
    </w:p>
    <w:bookmarkStart w:id="85" w:name="page86"/>
    <w:bookmarkEnd w:id="85"/>
    <w:p>
      <w:pPr>
        <w:spacing w:after="0" w:line="165"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 xml:space="preserve">Common Stock originally subject to this Award (subject to adjustment as provided in the Plan but before taking into account any crediting of dividend equivalents); </w:t>
      </w:r>
      <w:r>
        <w:rPr>
          <w:rFonts w:ascii="Arial" w:cs="Arial" w:eastAsia="Arial" w:hAnsi="Arial"/>
          <w:sz w:val="18"/>
          <w:szCs w:val="18"/>
          <w:b w:val="1"/>
          <w:bCs w:val="1"/>
          <w:i w:val="1"/>
          <w:iCs w:val="1"/>
          <w:u w:val="single" w:color="auto"/>
          <w:color w:val="auto"/>
        </w:rPr>
        <w:t>minus</w:t>
      </w:r>
    </w:p>
    <w:p>
      <w:pPr>
        <w:spacing w:after="0" w:line="181" w:lineRule="exact"/>
        <w:rPr>
          <w:sz w:val="20"/>
          <w:szCs w:val="20"/>
          <w:color w:val="auto"/>
        </w:rPr>
      </w:pPr>
    </w:p>
    <w:p>
      <w:pPr>
        <w:jc w:val="both"/>
        <w:ind w:left="640" w:hanging="1"/>
        <w:spacing w:after="0" w:line="253" w:lineRule="auto"/>
        <w:tabs>
          <w:tab w:leader="none" w:pos="10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shares of Common Stock that have already vested on or prior to the Participant’s termination of Continuous Service (before taking any accelerated vesting contemplated by this subsection into account and before taking into account any crediting (if applicable) of dividend equivalent rights).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Any Unvested RSUs that do not vest as described above shall be forfeited as of the date of the Participant’s termination of Continuous Service.</w:t>
      </w:r>
    </w:p>
    <w:p>
      <w:pPr>
        <w:spacing w:after="0" w:line="23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the Participant’s service with the Corporation or a Subsidiary, whether as an employee, director, or consultant or advisor, is not interrupted or terminated. Unless the express policy of the Corporation or any Subsidiary, or the Administrator, otherwise provides, or except as otherwise required by applicable law, a Participant will not be deemed to have terminated Continuous Service in the case of (i) sick leave, (ii) military leave, (iii) transfer from one Affiliate (as defined below) to another Affiliate, or (iv) any other leave of absence authorized by the Corporation (or Subsidiary) or the Administrator, provided that such leave is for a period of not more than three months (unless the Administrator otherwise provides or reemployment or continued service is guaranteed by contract or law upon the expiration of such leave). In the case of any Participant of the Corporation or one of its Subsidiaries on an approved leave of absence, continued vesting of an Award while on leave from the service of the Corporation or one of its Subsidiaries may be suspended until the Participant returns to service, unless the Administrator otherwise provides or applicable law otherwise requires. For purposes of the Plan and any Award, if an entity ceases to be a Subsidiary, a termination of Continuous Service shall be deemed to have occurred with respect to each Participant in respect of such Subsidiary who does not continue as an employee, director or consultant or advisor in respect of the Corporation or another Subsidiary that continues as such after giving effect to the transaction or other event giving rise to the change in status. In addition, if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For purposes of this definition,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Corporation, as such terms are defined in Rule 405 of the Securities Act. The Administrator will have the authority to determine the time or times at which “parent” or “subsidiary” status is determined within the foregoing definition.</w:t>
      </w:r>
    </w:p>
    <w:p>
      <w:pPr>
        <w:spacing w:after="0" w:line="178" w:lineRule="exact"/>
        <w:rPr>
          <w:sz w:val="20"/>
          <w:szCs w:val="20"/>
          <w:color w:val="auto"/>
        </w:rPr>
      </w:pPr>
    </w:p>
    <w:p>
      <w:pPr>
        <w:jc w:val="both"/>
        <w:ind w:firstLine="639"/>
        <w:spacing w:after="0" w:line="285" w:lineRule="auto"/>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Termination without Cause or for Good Reason under the Change in Control Severance Plan</w:t>
      </w:r>
      <w:r>
        <w:rPr>
          <w:rFonts w:ascii="Arial" w:cs="Arial" w:eastAsia="Arial" w:hAnsi="Arial"/>
          <w:sz w:val="16"/>
          <w:szCs w:val="16"/>
          <w:color w:val="auto"/>
        </w:rPr>
        <w:t>. For a Participant who is subject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Western Digital Corporation Amended and Restated Change in Control Severance Plan, as applicable (or any applicable successor plan) (the “</w:t>
      </w:r>
      <w:r>
        <w:rPr>
          <w:rFonts w:ascii="Arial" w:cs="Arial" w:eastAsia="Arial" w:hAnsi="Arial"/>
          <w:sz w:val="16"/>
          <w:szCs w:val="16"/>
          <w:b w:val="1"/>
          <w:bCs w:val="1"/>
          <w:i w:val="1"/>
          <w:iCs w:val="1"/>
          <w:color w:val="auto"/>
        </w:rPr>
        <w:t>CIC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at the time of termination of Continuous Service, then upon Participant’s termination of employment by the Corporation without Cause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a resignation by Participant for Good Reason (both as defined in the CIC Severance Plan) under circumstances that would entitle the Participant to severance benefits under the CIC Severance Plan, subject to compliance with the terms of the CIC Severance Plan, any then Unvested RSUs held by the Participant and any credited dividend equivalents will vest in full.</w:t>
      </w:r>
    </w:p>
    <w:p>
      <w:pPr>
        <w:spacing w:after="0" w:line="166" w:lineRule="exact"/>
        <w:rPr>
          <w:rFonts w:ascii="Arial" w:cs="Arial" w:eastAsia="Arial" w:hAnsi="Arial"/>
          <w:sz w:val="16"/>
          <w:szCs w:val="16"/>
          <w:color w:val="auto"/>
        </w:rPr>
      </w:pPr>
    </w:p>
    <w:p>
      <w:pPr>
        <w:jc w:val="both"/>
        <w:ind w:firstLine="639"/>
        <w:spacing w:after="0" w:line="250" w:lineRule="auto"/>
        <w:tabs>
          <w:tab w:leader="none" w:pos="126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Upon Participant’s termination of Continuous Service by the Corporation due to a resignation by Participant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 resignation for Good Reason under circumstances that would entitle the Participant to severance benefits under the CIC Severance Plan, subject to compliance with the terms of the CIC Severance Plan, the Unvested RSUs held by the Participant shall be forfeited as of the date of the Participant’s termination of Continuous Service.</w:t>
      </w:r>
    </w:p>
    <w:p>
      <w:pPr>
        <w:spacing w:after="0" w:line="192" w:lineRule="exact"/>
        <w:rPr>
          <w:rFonts w:ascii="Arial" w:cs="Arial" w:eastAsia="Arial" w:hAnsi="Arial"/>
          <w:sz w:val="18"/>
          <w:szCs w:val="18"/>
          <w:color w:val="auto"/>
        </w:rPr>
      </w:pPr>
    </w:p>
    <w:p>
      <w:pPr>
        <w:ind w:firstLine="639"/>
        <w:spacing w:after="0" w:line="325" w:lineRule="auto"/>
        <w:tabs>
          <w:tab w:leader="none" w:pos="1257"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Participant’s termination of Continuous Service by the Corporation for Cause, the entire Award (both Vested RSUs that have yet to be settled and Unvested RSUs) held by the Participant shall be forfeited as of the date of the Participant’s termination of Continuous Service.</w:t>
      </w:r>
    </w:p>
    <w:p>
      <w:pPr>
        <w:spacing w:after="0" w:line="174" w:lineRule="exact"/>
        <w:rPr>
          <w:rFonts w:ascii="Arial" w:cs="Arial" w:eastAsia="Arial" w:hAnsi="Arial"/>
          <w:sz w:val="16"/>
          <w:szCs w:val="16"/>
          <w:color w:val="auto"/>
        </w:rPr>
      </w:pPr>
    </w:p>
    <w:p>
      <w:pPr>
        <w:ind w:firstLine="639"/>
        <w:spacing w:after="0" w:line="262" w:lineRule="auto"/>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Non</w:t>
      </w:r>
      <w:r>
        <w:rPr>
          <w:rFonts w:ascii="Arial" w:cs="Arial" w:eastAsia="Arial" w:hAnsi="Arial"/>
          <w:sz w:val="18"/>
          <w:szCs w:val="18"/>
          <w:color w:val="auto"/>
        </w:rPr>
        <w:t>-</w:t>
      </w:r>
      <w:r>
        <w:rPr>
          <w:rFonts w:ascii="Arial" w:cs="Arial" w:eastAsia="Arial" w:hAnsi="Arial"/>
          <w:sz w:val="18"/>
          <w:szCs w:val="18"/>
          <w:i w:val="1"/>
          <w:iCs w:val="1"/>
          <w:color w:val="auto"/>
        </w:rPr>
        <w:t>U.S. Eligible Employees Participating in the Executive Severance Plan and Change in Control Severance Plan</w:t>
      </w:r>
      <w:r>
        <w:rPr>
          <w:rFonts w:ascii="Arial" w:cs="Arial" w:eastAsia="Arial" w:hAnsi="Arial"/>
          <w:sz w:val="18"/>
          <w:szCs w:val="18"/>
          <w:color w:val="auto"/>
        </w:rPr>
        <w:t>. For avoidance of</w:t>
      </w:r>
      <w:r>
        <w:rPr>
          <w:rFonts w:ascii="Arial" w:cs="Arial" w:eastAsia="Arial" w:hAnsi="Arial"/>
          <w:sz w:val="18"/>
          <w:szCs w:val="18"/>
          <w:i w:val="1"/>
          <w:iCs w:val="1"/>
          <w:color w:val="auto"/>
        </w:rPr>
        <w:t xml:space="preserve"> </w:t>
      </w:r>
      <w:r>
        <w:rPr>
          <w:rFonts w:ascii="Arial" w:cs="Arial" w:eastAsia="Arial" w:hAnsi="Arial"/>
          <w:sz w:val="18"/>
          <w:szCs w:val="18"/>
          <w:color w:val="auto"/>
        </w:rPr>
        <w:t>doubt, if Participant is not a U.S. Eligible Employee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80"/>
          </w:cols>
          <w:pgMar w:left="320" w:top="1440" w:right="399" w:bottom="1440" w:gutter="0" w:footer="0" w:header="0"/>
        </w:sectPr>
      </w:pPr>
    </w:p>
    <w:bookmarkStart w:id="86" w:name="page87"/>
    <w:bookmarkEnd w:id="86"/>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applicable severance plan), the Participant will only be eligible for the vesting treatment on a termination without Cause as described in Section 2(c) or termination without Cause or resignation for Good Reason as described in Section 2(d) in accordance with the terms of the applicable severance plan, which provides that the administrator of such severance plan will compare any Local Severance Benefits (as defined in the applicable severance plan) with the Plan Severance Benefits (as defined in the applicable severance plan) and if the value of the Local Severance Benefits equals or exceeds the value of the Plan Severance Benefits, the Participant will not be eligible to receive the vesting treatment on a termination without Cause as described in Section 2(c) or termination without Cause or resignation for Good Reason as described in Section 2(d).</w:t>
      </w:r>
    </w:p>
    <w:p>
      <w:pPr>
        <w:spacing w:after="0" w:line="160" w:lineRule="exact"/>
        <w:rPr>
          <w:sz w:val="20"/>
          <w:szCs w:val="20"/>
          <w:color w:val="auto"/>
        </w:rPr>
      </w:pPr>
    </w:p>
    <w:p>
      <w:pPr>
        <w:ind w:left="640" w:hanging="634"/>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 DIVIDEND EQUIVALENTS</w:t>
      </w:r>
    </w:p>
    <w:p>
      <w:pPr>
        <w:spacing w:after="0" w:line="221" w:lineRule="exact"/>
        <w:rPr>
          <w:rFonts w:ascii="Arial" w:cs="Arial" w:eastAsia="Arial" w:hAnsi="Arial"/>
          <w:sz w:val="18"/>
          <w:szCs w:val="18"/>
          <w:b w:val="1"/>
          <w:bCs w:val="1"/>
          <w:color w:val="auto"/>
        </w:rPr>
      </w:pPr>
    </w:p>
    <w:p>
      <w:pPr>
        <w:ind w:right="20" w:firstLine="639"/>
        <w:spacing w:after="0" w:line="262" w:lineRule="auto"/>
        <w:tabs>
          <w:tab w:leader="none" w:pos="12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Participant shall not be, nor have any of the rights or privileges of, a stockholder of the Corporation in respect of any RSUs unless and until shares of Common Stock settled for such RSUs shall have been issued by the Corporation to Participant.</w:t>
      </w:r>
    </w:p>
    <w:p>
      <w:pPr>
        <w:spacing w:after="0" w:line="181" w:lineRule="exact"/>
        <w:rPr>
          <w:rFonts w:ascii="Arial" w:cs="Arial" w:eastAsia="Arial" w:hAnsi="Arial"/>
          <w:sz w:val="18"/>
          <w:szCs w:val="18"/>
          <w:color w:val="auto"/>
        </w:rPr>
      </w:pPr>
    </w:p>
    <w:p>
      <w:pPr>
        <w:jc w:val="both"/>
        <w:ind w:firstLine="639"/>
        <w:spacing w:after="0" w:line="280" w:lineRule="auto"/>
        <w:tabs>
          <w:tab w:leader="none" w:pos="12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Notwithstanding Section 3(a), from and after the Grant Date and until the earlier of (i) the Participant’s receipt of Common Stock upon settlement of the RSUs and (ii) the time when the Participant’s right to receive Common Stock upon settlement of the RSUs is forfeited, the Participant shall be entitled to receive as a dividend equivalent a number of additional RSUs on the date(s) that the Corporation pays a cash dividend (if any) to Common Stock holders generally. Such dividend equivalent shall be determined by dividing (i) the product of (A) the dollar amount of the cash dividend paid per share of Common Stock on such date and (B) the total number of RSUs (including dividend equivalents accrued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 Dividend equivalents shall be settled in whole shares of Common Stock with any dividend equivalents accrued in the form of fractional RSUs settled in cash. However, for the avoidance of doubt, the Corporation may, in its sole discretion, settle any RSUs credited as dividend equivalents by a cash payment equal to the Fair Market Value of a share of Common Stock on the date of payment (as opposed to payment in the form of shares of Common Stock). For the avoidance of doubt, in no event will any dividend equivalents credited to RSUs be delivered to the Participant unless and until such RSUs vest and settle.</w:t>
      </w:r>
    </w:p>
    <w:p>
      <w:pPr>
        <w:spacing w:after="0" w:line="165" w:lineRule="exact"/>
        <w:rPr>
          <w:rFonts w:ascii="Arial" w:cs="Arial" w:eastAsia="Arial" w:hAnsi="Arial"/>
          <w:sz w:val="16"/>
          <w:szCs w:val="16"/>
          <w:color w:val="auto"/>
        </w:rPr>
      </w:pPr>
    </w:p>
    <w:p>
      <w:pPr>
        <w:ind w:left="640" w:hanging="634"/>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RESALES OF SHARES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Corporation may impose such restrictions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87" w:lineRule="exact"/>
        <w:rPr>
          <w:sz w:val="20"/>
          <w:szCs w:val="20"/>
          <w:color w:val="auto"/>
        </w:rPr>
      </w:pPr>
    </w:p>
    <w:p>
      <w:pPr>
        <w:ind w:left="640" w:hanging="634"/>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Participant may satisfy tax withholding obligations relating to the RSUs by any combination of the following: (i) a cash payment; (ii) a Corporation deduction from any amounts payable to Participant; (iii) Corporation withholding of shares from the Common Stock issuable to the Participant in connection with the RSUs (only up to the amount permitted that will not cause an adverse accounting consequence); or (iv) Corporation withholding a payment from the proceeds from the sale of shares of Common Stock issued pursuant to the RSUs. In addition, the Administrator may, in its sole discretion but only to the extent consistent with Section 409A of the Code, reduce the number of RSUs remaining subject to this Award, with each such RSU to have a value for such purpose equal to the then Fair Market Value of a share of Common Stock, to satisfy such withholding obligation at the applicable withholding rates.</w:t>
      </w:r>
    </w:p>
    <w:p>
      <w:pPr>
        <w:spacing w:after="0" w:line="160" w:lineRule="exact"/>
        <w:rPr>
          <w:sz w:val="20"/>
          <w:szCs w:val="20"/>
          <w:color w:val="auto"/>
        </w:rPr>
      </w:pPr>
    </w:p>
    <w:p>
      <w:pPr>
        <w:ind w:left="640" w:hanging="634"/>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Participant agrees that, except as otherwise provided in the Plan or as permitted by the Administrator, this Award may not be sold, assigned, transferred, pledged or otherwise directly or indirectly encumbered or disposed of other than by will or the laws of descent and distribution or pursuant to the terms of a qualified domestic relations order, official marital settlement agreement or other divorce or separation instrument.</w:t>
      </w:r>
    </w:p>
    <w:p>
      <w:pPr>
        <w:spacing w:after="0" w:line="148" w:lineRule="exact"/>
        <w:rPr>
          <w:sz w:val="20"/>
          <w:szCs w:val="20"/>
          <w:color w:val="auto"/>
        </w:rPr>
      </w:pPr>
    </w:p>
    <w:p>
      <w:pPr>
        <w:ind w:left="640" w:hanging="634"/>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 SUPERSEDED</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Grant Notice, these Standard Terms and Conditions and the Plan constitute the entire understanding between the Participant and the Corporation regarding this Award. Any prior agreements, commitments or negotiations concerning this Award are superseded.</w:t>
      </w:r>
    </w:p>
    <w:p>
      <w:pPr>
        <w:spacing w:after="0" w:line="175" w:lineRule="exact"/>
        <w:rPr>
          <w:sz w:val="20"/>
          <w:szCs w:val="20"/>
          <w:color w:val="auto"/>
        </w:rPr>
      </w:pPr>
    </w:p>
    <w:p>
      <w:pPr>
        <w:ind w:left="640" w:hanging="634"/>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NO ADDITIONAL RIGHTS</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Participant’s receipt of the RSUs does not confer upon the Participant any right to continue to serve the Corporation or an Affiliate in any capacity and will not affect the right of the Corporation or an Affiliate to terminate the service of the Participant.</w:t>
      </w:r>
    </w:p>
    <w:p>
      <w:pPr>
        <w:spacing w:after="0" w:line="175" w:lineRule="exact"/>
        <w:rPr>
          <w:sz w:val="20"/>
          <w:szCs w:val="20"/>
          <w:color w:val="auto"/>
        </w:rPr>
      </w:pPr>
    </w:p>
    <w:p>
      <w:pPr>
        <w:ind w:left="640" w:hanging="634"/>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60" w:lineRule="exact"/>
        <w:rPr>
          <w:rFonts w:ascii="Arial" w:cs="Arial" w:eastAsia="Arial" w:hAnsi="Arial"/>
          <w:sz w:val="18"/>
          <w:szCs w:val="18"/>
          <w:b w:val="1"/>
          <w:bCs w:val="1"/>
          <w:color w:val="auto"/>
        </w:rPr>
      </w:pPr>
    </w:p>
    <w:p>
      <w:pPr>
        <w:jc w:val="both"/>
        <w:ind w:firstLine="639"/>
        <w:spacing w:after="0" w:line="275" w:lineRule="auto"/>
        <w:tabs>
          <w:tab w:leader="none" w:pos="1263" w:val="left"/>
        </w:tabs>
        <w:numPr>
          <w:ilvl w:val="1"/>
          <w:numId w:val="70"/>
        </w:numPr>
        <w:rPr>
          <w:rFonts w:ascii="Arial" w:cs="Arial" w:eastAsia="Arial" w:hAnsi="Arial"/>
          <w:sz w:val="19"/>
          <w:szCs w:val="19"/>
          <w:color w:val="auto"/>
        </w:rPr>
      </w:pPr>
      <w:r>
        <w:rPr>
          <w:rFonts w:ascii="Arial" w:cs="Arial" w:eastAsia="Arial" w:hAnsi="Arial"/>
          <w:sz w:val="16"/>
          <w:szCs w:val="16"/>
          <w:color w:val="auto"/>
        </w:rPr>
        <w:t>In the event that any provision of these Standard Terms and Conditions (including, for the avoidance of doubt, the Plan, which is incorporated here by this reference) is declared to be unenforceable by an arbitrator selected in accordance with Section 11 below or a court of competent jurisdiction, such provision shall be reformed, if possible, to the extent necessary to render it enforceable, or otherwise deleted, and the remainder of these Standard Terms and Conditions shall not be affected except to the extent necessary to reform or delete such unenforceable provision. Furthermore, except as otherwise provided by Section 11, it is the parties’ intent that any order striking any portion of this Award Agreement and/or the Plan should modify the stricken terms as narrowly as possible to give as much effect as possible to the intentions of the parties hereunder.</w:t>
      </w:r>
    </w:p>
    <w:p>
      <w:pPr>
        <w:spacing w:after="0" w:line="212" w:lineRule="exact"/>
        <w:rPr>
          <w:rFonts w:ascii="Arial" w:cs="Arial" w:eastAsia="Arial" w:hAnsi="Arial"/>
          <w:sz w:val="19"/>
          <w:szCs w:val="19"/>
          <w:color w:val="auto"/>
        </w:rPr>
      </w:pPr>
    </w:p>
    <w:p>
      <w:pPr>
        <w:jc w:val="both"/>
        <w:ind w:firstLine="639"/>
        <w:spacing w:after="0" w:line="255" w:lineRule="auto"/>
        <w:tabs>
          <w:tab w:leader="none" w:pos="1262" w:val="left"/>
        </w:tabs>
        <w:numPr>
          <w:ilvl w:val="1"/>
          <w:numId w:val="70"/>
        </w:numPr>
        <w:rPr>
          <w:rFonts w:ascii="Arial" w:cs="Arial" w:eastAsia="Arial" w:hAnsi="Arial"/>
          <w:sz w:val="20"/>
          <w:szCs w:val="20"/>
          <w:color w:val="auto"/>
        </w:rPr>
      </w:pPr>
      <w:r>
        <w:rPr>
          <w:rFonts w:ascii="Arial" w:cs="Arial" w:eastAsia="Arial" w:hAnsi="Arial"/>
          <w:sz w:val="17"/>
          <w:szCs w:val="17"/>
          <w:color w:val="auto"/>
        </w:rPr>
        <w:t>The headings preceding the text of the sections in these Standard Terms and Conditions are inserted solely for convenience of reference, and shall not constitute a part of these Standard Terms and Conditions, nor shall they affect its meaning, construction or effect. References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227" w:lineRule="exact"/>
        <w:rPr>
          <w:rFonts w:ascii="Arial" w:cs="Arial" w:eastAsia="Arial" w:hAnsi="Arial"/>
          <w:sz w:val="20"/>
          <w:szCs w:val="20"/>
          <w:color w:val="auto"/>
        </w:rPr>
      </w:pPr>
    </w:p>
    <w:p>
      <w:pPr>
        <w:ind w:firstLine="639"/>
        <w:spacing w:after="0" w:line="232" w:lineRule="auto"/>
        <w:tabs>
          <w:tab w:leader="none" w:pos="1263" w:val="left"/>
        </w:tabs>
        <w:numPr>
          <w:ilvl w:val="1"/>
          <w:numId w:val="70"/>
        </w:numPr>
        <w:rPr>
          <w:rFonts w:ascii="Arial" w:cs="Arial" w:eastAsia="Arial" w:hAnsi="Arial"/>
          <w:sz w:val="21"/>
          <w:szCs w:val="21"/>
          <w:color w:val="auto"/>
        </w:rPr>
      </w:pPr>
      <w:r>
        <w:rPr>
          <w:rFonts w:ascii="Arial" w:cs="Arial" w:eastAsia="Arial" w:hAnsi="Arial"/>
          <w:sz w:val="18"/>
          <w:szCs w:val="18"/>
          <w:color w:val="auto"/>
        </w:rPr>
        <w:t>These Standard Terms and Conditions shall inure to the benefit of and be binding upon the parties and their respective permitted heirs, beneficiaries, successors and assigns.</w:t>
      </w:r>
    </w:p>
    <w:p>
      <w:pPr>
        <w:spacing w:after="0" w:line="239" w:lineRule="exact"/>
        <w:rPr>
          <w:rFonts w:ascii="Arial" w:cs="Arial" w:eastAsia="Arial" w:hAnsi="Arial"/>
          <w:sz w:val="21"/>
          <w:szCs w:val="21"/>
          <w:color w:val="auto"/>
        </w:rPr>
      </w:pPr>
    </w:p>
    <w:p>
      <w:pPr>
        <w:ind w:right="20" w:firstLine="639"/>
        <w:spacing w:after="0" w:line="232" w:lineRule="auto"/>
        <w:tabs>
          <w:tab w:leader="none" w:pos="1262" w:val="left"/>
        </w:tabs>
        <w:numPr>
          <w:ilvl w:val="1"/>
          <w:numId w:val="70"/>
        </w:numPr>
        <w:rPr>
          <w:rFonts w:ascii="Arial" w:cs="Arial" w:eastAsia="Arial" w:hAnsi="Arial"/>
          <w:sz w:val="21"/>
          <w:szCs w:val="21"/>
          <w:color w:val="auto"/>
        </w:rPr>
      </w:pPr>
      <w:r>
        <w:rPr>
          <w:rFonts w:ascii="Arial" w:cs="Arial" w:eastAsia="Arial" w:hAnsi="Arial"/>
          <w:sz w:val="18"/>
          <w:szCs w:val="18"/>
          <w:color w:val="auto"/>
        </w:rPr>
        <w:t>These Standard Terms and Conditions shall be interpreted in accordance with and governed by the laws of the State of Delaware, without regard to principles of conflicts of law.</w:t>
      </w:r>
    </w:p>
    <w:p>
      <w:pPr>
        <w:spacing w:after="0" w:line="239" w:lineRule="exact"/>
        <w:rPr>
          <w:rFonts w:ascii="Arial" w:cs="Arial" w:eastAsia="Arial" w:hAnsi="Arial"/>
          <w:sz w:val="21"/>
          <w:szCs w:val="21"/>
          <w:color w:val="auto"/>
        </w:rPr>
      </w:pPr>
    </w:p>
    <w:p>
      <w:pPr>
        <w:jc w:val="both"/>
        <w:ind w:firstLine="639"/>
        <w:spacing w:after="0" w:line="236" w:lineRule="auto"/>
        <w:tabs>
          <w:tab w:leader="none" w:pos="1263" w:val="left"/>
        </w:tabs>
        <w:numPr>
          <w:ilvl w:val="1"/>
          <w:numId w:val="70"/>
        </w:numPr>
        <w:rPr>
          <w:rFonts w:ascii="Arial" w:cs="Arial" w:eastAsia="Arial" w:hAnsi="Arial"/>
          <w:sz w:val="21"/>
          <w:szCs w:val="21"/>
          <w:color w:val="auto"/>
        </w:rPr>
      </w:pPr>
      <w:r>
        <w:rPr>
          <w:rFonts w:ascii="Arial" w:cs="Arial" w:eastAsia="Arial" w:hAnsi="Arial"/>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239" w:lineRule="exact"/>
        <w:rPr>
          <w:rFonts w:ascii="Arial" w:cs="Arial" w:eastAsia="Arial" w:hAnsi="Arial"/>
          <w:sz w:val="21"/>
          <w:szCs w:val="21"/>
          <w:color w:val="auto"/>
        </w:rPr>
      </w:pPr>
    </w:p>
    <w:p>
      <w:pPr>
        <w:jc w:val="both"/>
        <w:ind w:firstLine="639"/>
        <w:spacing w:after="0" w:line="274" w:lineRule="auto"/>
        <w:tabs>
          <w:tab w:leader="none" w:pos="1266" w:val="left"/>
        </w:tabs>
        <w:numPr>
          <w:ilvl w:val="1"/>
          <w:numId w:val="70"/>
        </w:numPr>
        <w:rPr>
          <w:rFonts w:ascii="Arial" w:cs="Arial" w:eastAsia="Arial" w:hAnsi="Arial"/>
          <w:sz w:val="19"/>
          <w:szCs w:val="19"/>
          <w:color w:val="auto"/>
        </w:rPr>
      </w:pPr>
      <w:r>
        <w:rPr>
          <w:rFonts w:ascii="Arial" w:cs="Arial" w:eastAsia="Arial" w:hAnsi="Arial"/>
          <w:sz w:val="16"/>
          <w:szCs w:val="16"/>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80"/>
          </w:cols>
          <w:pgMar w:left="320" w:top="1440" w:right="399" w:bottom="1440" w:gutter="0" w:footer="0" w:header="0"/>
        </w:sectPr>
      </w:pPr>
    </w:p>
    <w:bookmarkStart w:id="88" w:name="page89"/>
    <w:bookmarkEnd w:id="88"/>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benefits or similar payments and in no event should be considered as compensation for, or relating in any way to, past services for the Corporation or the Participant’s employer or any Subsidiary.</w:t>
      </w:r>
    </w:p>
    <w:p>
      <w:pPr>
        <w:spacing w:after="0" w:line="181" w:lineRule="exact"/>
        <w:rPr>
          <w:sz w:val="20"/>
          <w:szCs w:val="20"/>
          <w:color w:val="auto"/>
        </w:rPr>
      </w:pPr>
    </w:p>
    <w:p>
      <w:pPr>
        <w:ind w:left="1260" w:hanging="621"/>
        <w:spacing w:after="0"/>
        <w:tabs>
          <w:tab w:leader="none" w:pos="12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questions under the Plan or under these Standard Terms and Conditions shall be decided by the Administrator in its total and absolute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203" w:lineRule="exact"/>
        <w:rPr>
          <w:rFonts w:ascii="Arial" w:cs="Arial" w:eastAsia="Arial" w:hAnsi="Arial"/>
          <w:sz w:val="16"/>
          <w:szCs w:val="16"/>
          <w:color w:val="auto"/>
        </w:rPr>
      </w:pPr>
    </w:p>
    <w:p>
      <w:pPr>
        <w:jc w:val="both"/>
        <w:ind w:firstLine="639"/>
        <w:spacing w:after="0" w:line="253" w:lineRule="auto"/>
        <w:tabs>
          <w:tab w:leader="none" w:pos="12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Award will be subject to recoupment in accordance with the Corporation’s compensation recovery (clawback) policy or policies then in effect. No recovery of compensation under any such policy will be an event giving rise to a right to resign for “good reason” or “constructive termination” (or similar term) under any agreement with the Corporation or a Subsidiary.</w:t>
      </w:r>
    </w:p>
    <w:p>
      <w:pPr>
        <w:spacing w:after="0" w:line="183" w:lineRule="exact"/>
        <w:rPr>
          <w:rFonts w:ascii="Arial" w:cs="Arial" w:eastAsia="Arial" w:hAnsi="Arial"/>
          <w:sz w:val="18"/>
          <w:szCs w:val="18"/>
          <w:color w:val="auto"/>
        </w:rPr>
      </w:pPr>
    </w:p>
    <w:p>
      <w:pPr>
        <w:ind w:left="640" w:hanging="634"/>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accepting the Grant Notice, the Participant hereby consents to the delivery of information (including, without limitation, information required to be delivered to the Participant pursuant to applicable securities laws) regarding the Corporation and the Subsidiaries, the Plan, and the RSUs via Corporation web site or other electronic delivery.</w:t>
      </w:r>
    </w:p>
    <w:p>
      <w:pPr>
        <w:spacing w:after="0" w:line="184" w:lineRule="exact"/>
        <w:rPr>
          <w:sz w:val="20"/>
          <w:szCs w:val="20"/>
          <w:color w:val="auto"/>
        </w:rPr>
      </w:pPr>
    </w:p>
    <w:p>
      <w:pPr>
        <w:ind w:left="620" w:hanging="614"/>
        <w:spacing w:after="0"/>
        <w:tabs>
          <w:tab w:leader="none" w:pos="6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2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Any controversy arising out of or relating to the Grant Notice, these Standard Terms and Conditions, and/or the Plan (“</w:t>
      </w:r>
      <w:r>
        <w:rPr>
          <w:rFonts w:ascii="Arial" w:cs="Arial" w:eastAsia="Arial" w:hAnsi="Arial"/>
          <w:sz w:val="16"/>
          <w:szCs w:val="16"/>
          <w:b w:val="1"/>
          <w:bCs w:val="1"/>
          <w:i w:val="1"/>
          <w:iCs w:val="1"/>
          <w:color w:val="auto"/>
        </w:rPr>
        <w:t>Covered Claims</w:t>
      </w:r>
      <w:r>
        <w:rPr>
          <w:rFonts w:ascii="Arial" w:cs="Arial" w:eastAsia="Arial" w:hAnsi="Arial"/>
          <w:sz w:val="16"/>
          <w:szCs w:val="16"/>
          <w:color w:val="auto"/>
        </w:rPr>
        <w:t>”), shall be resolved in accordance with the terms and conditions of the Western Digital Technologies, Inc. Dispute Resolution Agreement (the “</w:t>
      </w:r>
      <w:r>
        <w:rPr>
          <w:rFonts w:ascii="Arial" w:cs="Arial" w:eastAsia="Arial" w:hAnsi="Arial"/>
          <w:sz w:val="16"/>
          <w:szCs w:val="16"/>
          <w:b w:val="1"/>
          <w:bCs w:val="1"/>
          <w:i w:val="1"/>
          <w:iCs w:val="1"/>
          <w:color w:val="auto"/>
        </w:rPr>
        <w:t>DRA</w:t>
      </w:r>
      <w:r>
        <w:rPr>
          <w:rFonts w:ascii="Arial" w:cs="Arial" w:eastAsia="Arial" w:hAnsi="Arial"/>
          <w:sz w:val="16"/>
          <w:szCs w:val="16"/>
          <w:color w:val="auto"/>
        </w:rPr>
        <w:t>”).</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If, however, Participant has opted out of the DRA, any Covered Claims shall be submitted to arbitration pursuant to this Section 11. Such arbitration shall be held in Orange County, California, U.S.A., before a sole arbitrator selected from Judicial Arbitration and Mediation Services, Inc., Orange, California, or its successor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or if JAMS is no longer able to supply the arbitrator, such arbitrator shall be selected from the American Arbitration Association, and shall be conducted in accordance with the provisions of the Federal Arbitration Act; provided, however, that provisional injunctive relief may, but need not, be sought by either party in a court of law to maintain the status quo while arbitration proceedings are pending, and any provisional injunctive relief granted by such court shall remain effective until the matter is finally determined by the arbitrator. Any such action for provisional injunctive relief shall be subject to the exclusive jurisdiction of the Delaware Chancery Court and each party consents to jurisdiction with respect to any such action in Delaware Chancery Court. To the fullest extent permitted by applicable law, Participant and the Corporation agree to bring any Covered Claims on an individual basis only, and not on a class, collective, joint, or representative basis. If, however, the preceding sentence be determined invalid or unenforceable by a court of competent jurisdiction and not by an arbitrator with respect to any particular Covered Claim, then that Covered Claim will not proceed in arbitration but rather will be resolved in a court of competent jurisdiction for that Covered Claim only. All other Covered Claims must be resolved in arbitration on an individual basis. Any award or relief granted by the arbitrator shall be final and binding on the Corporation and the Participant and may be enforced by any court of competent jurisdiction.</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Corporation shall be responsible for payment of the forum costs of any arbitration hereunder, including the arbitrator’s fee. Each party shall bear its own attorney’s fees and costs (other than forum costs associated with the arbitration) incurred by it or him or her in connection with the resolution of the dispute. If, however, any party prevails on a statutory claim, which affords the prevailing party attorneys’ fees and costs, then the arbitrator may award reasonable fees and costs to the prevailing party. The parties agree that they are hereby waiving any rights to trial by jury in relation to any matter arising out of or in any way connected with any Covered Claim(s).</w:t>
      </w:r>
    </w:p>
    <w:p>
      <w:pPr>
        <w:spacing w:after="0" w:line="186" w:lineRule="exact"/>
        <w:rPr>
          <w:sz w:val="20"/>
          <w:szCs w:val="20"/>
          <w:color w:val="auto"/>
        </w:rPr>
      </w:pPr>
    </w:p>
    <w:p>
      <w:pPr>
        <w:ind w:left="640" w:hanging="634"/>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NON-U.S. EMPLOYEES</w:t>
      </w:r>
    </w:p>
    <w:p>
      <w:pPr>
        <w:spacing w:after="0" w:line="14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 xml:space="preserve">The Award shall be subject to any additional terms and conditions for non-U.S. employees set forth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and any terms and conditions for the Participant’s country set forth in Appendix B (“</w:t>
      </w:r>
      <w:r>
        <w:rPr>
          <w:rFonts w:ascii="Arial" w:cs="Arial" w:eastAsia="Arial" w:hAnsi="Arial"/>
          <w:sz w:val="16"/>
          <w:szCs w:val="16"/>
          <w:b w:val="1"/>
          <w:bCs w:val="1"/>
          <w:i w:val="1"/>
          <w:iCs w:val="1"/>
          <w:color w:val="auto"/>
        </w:rPr>
        <w:t>Appendix B</w:t>
      </w:r>
      <w:r>
        <w:rPr>
          <w:rFonts w:ascii="Arial" w:cs="Arial" w:eastAsia="Arial" w:hAnsi="Arial"/>
          <w:sz w:val="16"/>
          <w:szCs w:val="16"/>
          <w:color w:val="auto"/>
        </w:rPr>
        <w:t>”). Moreover, if the Participant relocates to one of the countries included in Appendix B, the terms and conditions for such country will apply to the Participant to the extent the Corporation determines that the application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40" w:right="399" w:bottom="1440" w:gutter="0" w:footer="0" w:header="0"/>
        </w:sectPr>
      </w:pPr>
    </w:p>
    <w:bookmarkStart w:id="89" w:name="page90"/>
    <w:bookmarkEnd w:id="89"/>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terms and conditions is necessary or advisable for legal or administrative reasons. Appendix A and Appendix B constitute part of the Agreement.</w:t>
      </w:r>
    </w:p>
    <w:p>
      <w:pPr>
        <w:sectPr>
          <w:pgSz w:w="11900" w:h="16838" w:orient="portrait"/>
          <w:cols w:equalWidth="0" w:num="1">
            <w:col w:w="10200"/>
          </w:cols>
          <w:pgMar w:left="320" w:top="144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00"/>
          </w:cols>
          <w:pgMar w:left="320" w:top="1440" w:right="1379" w:bottom="1440" w:gutter="0" w:footer="0" w:header="0"/>
          <w:type w:val="continuous"/>
        </w:sectPr>
      </w:pPr>
    </w:p>
    <w:bookmarkStart w:id="90" w:name="page91"/>
    <w:bookmarkEnd w:id="90"/>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APPENDIX A</w:t>
      </w:r>
    </w:p>
    <w:p>
      <w:pPr>
        <w:spacing w:after="0" w:line="11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ADDITIONAL TERMS AND CONDITIONS OF RESTRICTED STOCK UNIT AWARD AGREEMENT</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 NON-U.S. EMPLOYEES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1. Terms of Plan Participation for Non-U.S. Participants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Participant understands that this Appendix A contains additional terms and conditions that, together with the Plan and the Award Agreement, govern the Participant’s participation in the Plan if the Participant is working or resident in a country other than the United States. The Participant further understands that the Participant’s participation in the Plan also will be subject to any terms and conditions for the Participant’s country set forth in Appendix B. </w:t>
      </w:r>
      <w:r>
        <w:rPr>
          <w:rFonts w:ascii="Arial" w:cs="Arial" w:eastAsia="Arial" w:hAnsi="Arial"/>
          <w:sz w:val="16"/>
          <w:szCs w:val="16"/>
          <w:i w:val="1"/>
          <w:iCs w:val="1"/>
          <w:color w:val="auto"/>
        </w:rPr>
        <w:t>Capitalized</w:t>
      </w:r>
      <w:r>
        <w:rPr>
          <w:rFonts w:ascii="Arial" w:cs="Arial" w:eastAsia="Arial" w:hAnsi="Arial"/>
          <w:sz w:val="16"/>
          <w:szCs w:val="16"/>
          <w:color w:val="auto"/>
        </w:rPr>
        <w:t xml:space="preserve"> </w:t>
      </w:r>
      <w:r>
        <w:rPr>
          <w:rFonts w:ascii="Arial" w:cs="Arial" w:eastAsia="Arial" w:hAnsi="Arial"/>
          <w:sz w:val="16"/>
          <w:szCs w:val="16"/>
          <w:i w:val="1"/>
          <w:iCs w:val="1"/>
          <w:color w:val="auto"/>
        </w:rPr>
        <w:t>terms used but not defined in this Appendix A shall have the same meanings assigned to them in the Plan and/or Award Agreement.</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 Withholding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supplements Section 5 of the Standard Terms and Conditions:</w:t>
      </w:r>
    </w:p>
    <w:p>
      <w:pPr>
        <w:spacing w:after="0" w:line="24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Participant acknowledges that, regardless of any action taken by the Corporation or, if different, the Participant’s employer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this Award and legally applicable to the Participant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the Participant’s responsibility and may exceed the amount, if any, actually withheld by the Corporation or the Employer. The Participant further acknowledges that the Corporation and/or the Employer (a) make no representations or undertakings regarding the treatment of any Tax-Related Items in connection with any aspect of the RSUs; and (b) are not obligated to structure the terms of the grant or any aspect of the RSUs to reduce or eliminate the Participant’s liability for Tax-Related Items or achieve any particular tax result. If the Participant is or becomes subject to Tax-Related Items in more than one jurisdiction, the Participant acknowledges that the Corporation and/or the Employer (or former employer, as applicable) may be required to withhold or account for Tax-Related Items in more than one jurisdiction.</w:t>
      </w:r>
    </w:p>
    <w:p>
      <w:pPr>
        <w:spacing w:after="0" w:line="171" w:lineRule="exact"/>
        <w:rPr>
          <w:sz w:val="20"/>
          <w:szCs w:val="20"/>
          <w:color w:val="auto"/>
        </w:rPr>
      </w:pPr>
    </w:p>
    <w:p>
      <w:pPr>
        <w:jc w:val="both"/>
        <w:ind w:firstLine="633"/>
        <w:spacing w:after="0" w:line="277" w:lineRule="auto"/>
        <w:rPr>
          <w:sz w:val="20"/>
          <w:szCs w:val="20"/>
          <w:color w:val="auto"/>
        </w:rPr>
      </w:pPr>
      <w:r>
        <w:rPr>
          <w:rFonts w:ascii="Arial" w:cs="Arial" w:eastAsia="Arial" w:hAnsi="Arial"/>
          <w:sz w:val="16"/>
          <w:szCs w:val="16"/>
          <w:color w:val="auto"/>
        </w:rPr>
        <w:t>The Participant agrees, prior to any relevant taxable or tax withholding event, as applicable, to make adequate arrangements satisfactory to the Corporation and/or the Employer to satisfy all Tax-Related Items. In this regard, the Participant authorizes the Corporation and/or the Employer to satisfy the obligations with regard to all Tax-Related Items by one or a combination of the methods set forth in Section 8.5 of the Plan and Section 5 of the Standard Terms and Conditions. In addition, the Participant authorizes withholding from proceeds of the sale of shares of Common Stock acquired upon settlement of the RSUs either through a voluntary sale or through a mandatory sale arranged by the Corporation (on the Participant’s behalf pursuant to this authorization without further consent). If the Participant is subject to Section 16 of the Exchange Act, then withholding for Tax-Related Items shall be satisfied in accordance with Section 8.5 of the Plan, Section 5 of the Standard Terms and Conditions, and the withholding methodology approved by the Administrator for officers subject to Section 16 of the Exchange Act.</w:t>
      </w:r>
    </w:p>
    <w:p>
      <w:pPr>
        <w:spacing w:after="0" w:line="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Depending on the withholding method, the Corporation and/or the Employer may withhold or account for Tax-Related Items by considering applicable minimum withholding amounts or other applicable withholding rates, including maximum applicable rates. In the event of over-withholding, the Participant may receive a refund of any over-withheld amount in cash and will have no entitlement to the equivalent in Common Stock from the Corporation or the Employer; otherwise, the Participant may be able to seek a refund from the local tax authorities. In the event of under-withholding, the Participant may be required to pay any additional Tax-Related Items directly to the applicable tax authority or to the Corporation and/or the Employer. If the Tax-Related Items are satisfied by withholding in shares of Common Stock, for tax purposes, the Participant is deemed to have been issued the full number of shares subject to the vested RSUs, notwithstanding that a number of the Shares are held back solely for the purpose of paying the Tax-Related Items.</w:t>
      </w:r>
    </w:p>
    <w:p>
      <w:pPr>
        <w:spacing w:after="0" w:line="195"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Participant further agrees to pay to the Corporation or the Employer, any amount of Tax-Related Items that the Corporation or the Employer may be required to withhold or account for as a result of the Participant’s participation in the Plan that cannot be satisfied by the means previously described.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Appendix A</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62" w:lineRule="auto"/>
        <w:rPr>
          <w:sz w:val="20"/>
          <w:szCs w:val="20"/>
          <w:color w:val="auto"/>
        </w:rPr>
      </w:pPr>
      <w:r>
        <w:rPr>
          <w:rFonts w:ascii="Arial" w:cs="Arial" w:eastAsia="Arial" w:hAnsi="Arial"/>
          <w:sz w:val="18"/>
          <w:szCs w:val="18"/>
          <w:color w:val="auto"/>
        </w:rPr>
        <w:t>Corporation may refuse to issue or deliver the shares of Common Stock or the proceeds from the sale of shares if the Participant fails to comply with the Participant’s obligations in connection with the Tax-Related Items.</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3. Nature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RSUs and any shares of Common Stock, the Participant agrees that:</w:t>
      </w:r>
    </w:p>
    <w:p>
      <w:pPr>
        <w:spacing w:after="0" w:line="215" w:lineRule="exact"/>
        <w:rPr>
          <w:sz w:val="20"/>
          <w:szCs w:val="20"/>
          <w:color w:val="auto"/>
        </w:rPr>
      </w:pPr>
    </w:p>
    <w:p>
      <w:pPr>
        <w:ind w:firstLine="1272"/>
        <w:spacing w:after="0" w:line="262" w:lineRule="auto"/>
        <w:tabs>
          <w:tab w:leader="none" w:pos="189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Plan is established voluntarily by the Corporation, it is discretionary in nature, and may be amended, suspended or terminated by the Corporation at any time, to the extent permitted by the Plan;</w:t>
      </w:r>
    </w:p>
    <w:p>
      <w:pPr>
        <w:spacing w:after="0" w:line="181" w:lineRule="exact"/>
        <w:rPr>
          <w:rFonts w:ascii="Arial" w:cs="Arial" w:eastAsia="Arial" w:hAnsi="Arial"/>
          <w:sz w:val="18"/>
          <w:szCs w:val="18"/>
          <w:color w:val="auto"/>
        </w:rPr>
      </w:pPr>
    </w:p>
    <w:p>
      <w:pPr>
        <w:ind w:firstLine="1272"/>
        <w:spacing w:after="0" w:line="262" w:lineRule="auto"/>
        <w:tabs>
          <w:tab w:leader="none" w:pos="18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81" w:lineRule="exact"/>
        <w:rPr>
          <w:rFonts w:ascii="Arial" w:cs="Arial" w:eastAsia="Arial" w:hAnsi="Arial"/>
          <w:sz w:val="18"/>
          <w:szCs w:val="18"/>
          <w:color w:val="auto"/>
        </w:rPr>
      </w:pPr>
    </w:p>
    <w:p>
      <w:pPr>
        <w:ind w:left="1900" w:hanging="628"/>
        <w:spacing w:after="0"/>
        <w:tabs>
          <w:tab w:leader="none" w:pos="1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Corporation;</w:t>
      </w:r>
    </w:p>
    <w:p>
      <w:pPr>
        <w:spacing w:after="0" w:line="215" w:lineRule="exact"/>
        <w:rPr>
          <w:rFonts w:ascii="Arial" w:cs="Arial" w:eastAsia="Arial" w:hAnsi="Arial"/>
          <w:sz w:val="18"/>
          <w:szCs w:val="18"/>
          <w:color w:val="auto"/>
        </w:rPr>
      </w:pPr>
    </w:p>
    <w:p>
      <w:pPr>
        <w:ind w:left="1900" w:hanging="628"/>
        <w:spacing w:after="0"/>
        <w:tabs>
          <w:tab w:leader="none" w:pos="1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15" w:lineRule="exact"/>
        <w:rPr>
          <w:rFonts w:ascii="Arial" w:cs="Arial" w:eastAsia="Arial" w:hAnsi="Arial"/>
          <w:sz w:val="18"/>
          <w:szCs w:val="18"/>
          <w:color w:val="auto"/>
        </w:rPr>
      </w:pPr>
    </w:p>
    <w:p>
      <w:pPr>
        <w:ind w:firstLine="1272"/>
        <w:spacing w:after="0" w:line="262" w:lineRule="auto"/>
        <w:tabs>
          <w:tab w:leader="none" w:pos="189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intended to replace any pension rights or compensation;</w:t>
      </w:r>
    </w:p>
    <w:p>
      <w:pPr>
        <w:spacing w:after="0" w:line="181" w:lineRule="exact"/>
        <w:rPr>
          <w:rFonts w:ascii="Arial" w:cs="Arial" w:eastAsia="Arial" w:hAnsi="Arial"/>
          <w:sz w:val="18"/>
          <w:szCs w:val="18"/>
          <w:color w:val="auto"/>
        </w:rPr>
      </w:pPr>
    </w:p>
    <w:p>
      <w:pPr>
        <w:jc w:val="both"/>
        <w:ind w:firstLine="1272"/>
        <w:spacing w:after="0" w:line="249" w:lineRule="auto"/>
        <w:tabs>
          <w:tab w:leader="none" w:pos="18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RSUs and any shares of Common Stock acquired under the Plan, and the income and value of the same, are not part of the Participant’s normal or expected compensation for any purposes including, but not limited to, calculating any severance, resignation, termination, redundancy, dismissal, end-of-service payments, bonuses, holiday pay, long-service awards, leave-related pay, pension or retirement benefits or payments or welfare benefits or similar payments and in no event should be considered as compensation for, or relating in any way to, past services for the Corporation or the Employer or any Subsidiary;</w:t>
      </w:r>
    </w:p>
    <w:p>
      <w:pPr>
        <w:spacing w:after="0" w:line="218" w:lineRule="exact"/>
        <w:rPr>
          <w:rFonts w:ascii="Arial" w:cs="Arial" w:eastAsia="Arial" w:hAnsi="Arial"/>
          <w:sz w:val="18"/>
          <w:szCs w:val="18"/>
          <w:color w:val="auto"/>
        </w:rPr>
      </w:pPr>
    </w:p>
    <w:p>
      <w:pPr>
        <w:ind w:left="1900" w:hanging="628"/>
        <w:spacing w:after="0"/>
        <w:tabs>
          <w:tab w:leader="none" w:pos="1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future value of the shares of Common Stock underlying the RSUs is unknown, indeterminable, and cannot be predicted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03" w:lineRule="exact"/>
        <w:rPr>
          <w:rFonts w:ascii="Arial" w:cs="Arial" w:eastAsia="Arial" w:hAnsi="Arial"/>
          <w:sz w:val="16"/>
          <w:szCs w:val="16"/>
          <w:color w:val="auto"/>
        </w:rPr>
      </w:pPr>
    </w:p>
    <w:p>
      <w:pPr>
        <w:ind w:firstLine="1272"/>
        <w:spacing w:after="0" w:line="325" w:lineRule="auto"/>
        <w:tabs>
          <w:tab w:leader="none" w:pos="1893" w:val="left"/>
        </w:tabs>
        <w:numPr>
          <w:ilvl w:val="1"/>
          <w:numId w:val="75"/>
        </w:numPr>
        <w:rPr>
          <w:rFonts w:ascii="Arial" w:cs="Arial" w:eastAsia="Arial" w:hAnsi="Arial"/>
          <w:sz w:val="16"/>
          <w:szCs w:val="16"/>
          <w:color w:val="auto"/>
        </w:rPr>
      </w:pPr>
      <w:r>
        <w:rPr>
          <w:rFonts w:ascii="Arial" w:cs="Arial" w:eastAsia="Arial" w:hAnsi="Arial"/>
          <w:sz w:val="16"/>
          <w:szCs w:val="16"/>
          <w:color w:val="auto"/>
        </w:rPr>
        <w:t>unless otherwise agreed with the Corporation, the RSUs and the shares of Common Stock acquired under the Plan, and the income and value of same, are not granted as consideration for, or in connection with, the service the Participant may provide as a director of any Subsidiary;</w:t>
      </w:r>
    </w:p>
    <w:p>
      <w:pPr>
        <w:spacing w:after="0" w:line="134" w:lineRule="exact"/>
        <w:rPr>
          <w:rFonts w:ascii="Arial" w:cs="Arial" w:eastAsia="Arial" w:hAnsi="Arial"/>
          <w:sz w:val="16"/>
          <w:szCs w:val="16"/>
          <w:color w:val="auto"/>
        </w:rPr>
      </w:pPr>
    </w:p>
    <w:p>
      <w:pPr>
        <w:jc w:val="both"/>
        <w:ind w:firstLine="1272"/>
        <w:spacing w:after="0" w:line="300" w:lineRule="auto"/>
        <w:tabs>
          <w:tab w:leader="none" w:pos="1894"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RSUs resulting from the termination of the Participant’s employment (for any reason whatsoever, whether or not later found to be invalid or in breach of employment laws in the jurisdiction where the Participant is employed or providing services, or the terms of the Participant’s employment or service agreement, if any);</w:t>
      </w:r>
    </w:p>
    <w:p>
      <w:pPr>
        <w:spacing w:after="0" w:line="154" w:lineRule="exact"/>
        <w:rPr>
          <w:rFonts w:ascii="Arial" w:cs="Arial" w:eastAsia="Arial" w:hAnsi="Arial"/>
          <w:sz w:val="16"/>
          <w:szCs w:val="16"/>
          <w:color w:val="auto"/>
        </w:rPr>
      </w:pPr>
    </w:p>
    <w:p>
      <w:pPr>
        <w:jc w:val="both"/>
        <w:ind w:firstLine="1272"/>
        <w:spacing w:after="0" w:line="253" w:lineRule="auto"/>
        <w:tabs>
          <w:tab w:leader="none" w:pos="18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Corporation in its discretion, the RSUs and the benefits evidenced by the Award Agreement do not create any entitlement to have the RSUs or any such benefits transferred to, or assumed by, another Corporation nor to be exchanged, cashed out or substituted for, in connection with any corporate transaction affecting the shares; and</w:t>
      </w:r>
    </w:p>
    <w:p>
      <w:pPr>
        <w:spacing w:after="0" w:line="189" w:lineRule="exact"/>
        <w:rPr>
          <w:rFonts w:ascii="Arial" w:cs="Arial" w:eastAsia="Arial" w:hAnsi="Arial"/>
          <w:sz w:val="18"/>
          <w:szCs w:val="18"/>
          <w:color w:val="auto"/>
        </w:rPr>
      </w:pPr>
    </w:p>
    <w:p>
      <w:pPr>
        <w:jc w:val="both"/>
        <w:ind w:firstLine="1272"/>
        <w:spacing w:after="0" w:line="253" w:lineRule="auto"/>
        <w:tabs>
          <w:tab w:leader="none" w:pos="18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neither the Corporation, the Employer nor any Subsidiary shall be liable for any foreign exchange rate fluctuation between the Participant’s local currency and the U.S. dollar that may affect the value of the RSUs or of any amounts due to the Participant pursuant to the vesting of the RSUs or the subsequent sale of any shares of Common Stock acquired upon vesting.</w:t>
      </w:r>
    </w:p>
    <w:p>
      <w:pPr>
        <w:spacing w:after="0" w:line="183" w:lineRule="exact"/>
        <w:rPr>
          <w:rFonts w:ascii="Arial" w:cs="Arial" w:eastAsia="Arial" w:hAnsi="Arial"/>
          <w:sz w:val="18"/>
          <w:szCs w:val="18"/>
          <w:color w:val="auto"/>
        </w:rPr>
      </w:pPr>
    </w:p>
    <w:p>
      <w:pPr>
        <w:ind w:left="1280" w:hanging="167"/>
        <w:spacing w:after="0"/>
        <w:tabs>
          <w:tab w:leader="none" w:pos="1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21"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b w:val="1"/>
          <w:bCs w:val="1"/>
          <w:i w:val="1"/>
          <w:iCs w:val="1"/>
          <w:color w:val="auto"/>
        </w:rPr>
        <w:t>By accepting the RSUs via the Corporation’s acceptance procedure, the Participant is declaring that he or she agrees with the data processing practices described herein and consents to the collection, processing and use of Personal Data (as defined below) by the Corporation and the transfer of Personal Data to the recipients mentioned herein, including recipients located in countries which do not adduce an adequate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of protection from a European (or other non-U.S.) data protection law perspective, for the purposes described herein.</w:t>
      </w:r>
    </w:p>
    <w:p>
      <w:pPr>
        <w:spacing w:after="0" w:line="215" w:lineRule="exact"/>
        <w:rPr>
          <w:sz w:val="20"/>
          <w:szCs w:val="20"/>
          <w:color w:val="auto"/>
        </w:rPr>
      </w:pPr>
    </w:p>
    <w:p>
      <w:pPr>
        <w:jc w:val="both"/>
        <w:ind w:firstLine="1272"/>
        <w:spacing w:after="0" w:line="316" w:lineRule="auto"/>
        <w:tabs>
          <w:tab w:leader="none" w:pos="189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Declaration of Consent</w:t>
      </w:r>
      <w:r>
        <w:rPr>
          <w:rFonts w:ascii="Arial" w:cs="Arial" w:eastAsia="Arial" w:hAnsi="Arial"/>
          <w:sz w:val="15"/>
          <w:szCs w:val="15"/>
          <w:b w:val="1"/>
          <w:bCs w:val="1"/>
          <w:i w:val="1"/>
          <w:iCs w:val="1"/>
          <w:color w:val="auto"/>
        </w:rPr>
        <w:t>. The Participant understands that he or she needs to review the following information about the processing of the Participant’s personal data by or on behalf of the Corporation, the Employer and/or any Subsidiary as described in this Award Agreement and any other RSU grant materials (the “Personal Data”) and declare his or her consent. As regards the processing of the Participant’s Personal Data in connection with the Plan and this Award Agreement, the Participant understands that the Corporation is the controller of the Participant’s Personal Data.</w:t>
      </w:r>
    </w:p>
    <w:p>
      <w:pPr>
        <w:spacing w:after="0" w:line="146"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Processing and Legal Basis</w:t>
      </w:r>
      <w:r>
        <w:rPr>
          <w:rFonts w:ascii="Arial" w:cs="Arial" w:eastAsia="Arial" w:hAnsi="Arial"/>
          <w:sz w:val="16"/>
          <w:szCs w:val="16"/>
          <w:b w:val="1"/>
          <w:bCs w:val="1"/>
          <w:i w:val="1"/>
          <w:iCs w:val="1"/>
          <w:color w:val="auto"/>
        </w:rPr>
        <w:t>. The Corporation collects, uses and otherwise processes Personal Data about the Participant for the purposes of allocating shares of Common Stock and implementing, administering and managing the Plan. The Participant understands that this Personal Data may include, without limitation, the Participant’s name, home address and telephone number, email address, date of birth, social insurance number, passport number or other identification number (e.g., resident registration number), salary, nationality, job title, any shares of stock or directorships held in the Corporation or its Subsidiaries, details of all RSUs or any other entitlement to shares of stock or equivalent benefits awarded, canceled, exercised, vested, unvested or outstanding in the Participant’s favor. The legal basis for the processing of the Participant’s Personal Data will be the Participant’s consent.</w:t>
      </w:r>
    </w:p>
    <w:p>
      <w:pPr>
        <w:spacing w:after="0" w:line="169" w:lineRule="exact"/>
        <w:rPr>
          <w:rFonts w:ascii="Arial" w:cs="Arial" w:eastAsia="Arial" w:hAnsi="Arial"/>
          <w:sz w:val="16"/>
          <w:szCs w:val="16"/>
          <w:b w:val="1"/>
          <w:bCs w:val="1"/>
          <w:color w:val="auto"/>
        </w:rPr>
      </w:pPr>
    </w:p>
    <w:p>
      <w:pPr>
        <w:jc w:val="both"/>
        <w:ind w:firstLine="1272"/>
        <w:spacing w:after="0" w:line="305" w:lineRule="auto"/>
        <w:tabs>
          <w:tab w:leader="none" w:pos="1896"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Participant understands that the Corporation transfers the Participant’s Personal Data, or parts thereof, to E*TRADE Financial Corporation Services, Inc. (and its affiliated companies), an independent service provider based in the United States or IBI Capital for Israeli employees, each of which assists the Corporation with the implementation, administration and management of the Plan. In the future, the Corporation may select a different service provider and share the Participant’s Personal Data with such different service provider that serves the Corporation in a similar manner. The Participant understands and acknowledges that the Corporation’s service provider will open an account for the Participant to receive and trade shares of Common Stock acquired under the Plan and that the Participant will be asked to agree on separate terms and data processing practices with the service provider, which is a condition of the Participant’s ability to participate in the Plan.</w:t>
      </w:r>
    </w:p>
    <w:p>
      <w:pPr>
        <w:spacing w:after="0" w:line="153" w:lineRule="exact"/>
        <w:rPr>
          <w:rFonts w:ascii="Arial" w:cs="Arial" w:eastAsia="Arial" w:hAnsi="Arial"/>
          <w:sz w:val="15"/>
          <w:szCs w:val="15"/>
          <w:b w:val="1"/>
          <w:bCs w:val="1"/>
          <w:color w:val="auto"/>
        </w:rPr>
      </w:pPr>
    </w:p>
    <w:p>
      <w:pPr>
        <w:jc w:val="both"/>
        <w:ind w:firstLine="1272"/>
        <w:spacing w:after="0" w:line="301" w:lineRule="auto"/>
        <w:tabs>
          <w:tab w:leader="none" w:pos="189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xml:space="preserve"> The Participant understands that the Corporation and, as of the date hereof, any third parties assisting in the implementation, administration and management of the Plan, such as the Corporation’s service providers, are based in the United States. If the Participant is located outside the United States, the Participant understands and acknowledges that the Participant’s country has enacted data privacy laws that are different from the laws of the United States. Transfers of personal data from the EEA or the United Kingdom to the United States can be made on the basis of Standard Contractual Clauses approved by the European Commission, United Kingdom or other appropriate safeguards permissible under the applicable law. If the Participant is located in the EU, EEA or the United Kingdom, the Corporation may receive, process and transfer the Participant’s Personal Data onward to third-party service providers solely on the basis of appropriate data transfer agreements or other appropriate safeguards permissible under applicable law. If applicable, the Participant understands that the Participant can ask for a copy of the appropriate data processing agreements underlying the transfer of the Participant’s Personal Data by contacting the Participant’s local human resources representative. The Corporation’s legal basis for the transfer of the Participant’s Personal Data is the Participant’s consent.</w:t>
      </w:r>
    </w:p>
    <w:p>
      <w:pPr>
        <w:spacing w:after="0" w:line="158" w:lineRule="exact"/>
        <w:rPr>
          <w:rFonts w:ascii="Arial" w:cs="Arial" w:eastAsia="Arial" w:hAnsi="Arial"/>
          <w:sz w:val="15"/>
          <w:szCs w:val="15"/>
          <w:b w:val="1"/>
          <w:bCs w:val="1"/>
          <w:color w:val="auto"/>
        </w:rPr>
      </w:pPr>
    </w:p>
    <w:p>
      <w:pPr>
        <w:jc w:val="both"/>
        <w:ind w:firstLine="1272"/>
        <w:spacing w:after="0" w:line="328" w:lineRule="auto"/>
        <w:tabs>
          <w:tab w:leader="none" w:pos="1896"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xml:space="preserve"> The Corporation will hold and use the Data only as long as is necessary to implement, administer and manage participation in the Plan or as required to comply with tax, exchange control, labor and securities laws, other applicable law, exercise or defense of legal rights, and archiving, back-up and deletion processes. This period may extend beyond the Participant's period of employment with the Employer.</w:t>
      </w:r>
    </w:p>
    <w:p>
      <w:pPr>
        <w:spacing w:after="0" w:line="136" w:lineRule="exact"/>
        <w:rPr>
          <w:rFonts w:ascii="Arial" w:cs="Arial" w:eastAsia="Arial" w:hAnsi="Arial"/>
          <w:sz w:val="15"/>
          <w:szCs w:val="15"/>
          <w:b w:val="1"/>
          <w:bCs w:val="1"/>
          <w:color w:val="auto"/>
        </w:rPr>
      </w:pPr>
    </w:p>
    <w:p>
      <w:pPr>
        <w:jc w:val="both"/>
        <w:ind w:firstLine="1272"/>
        <w:spacing w:after="0" w:line="316" w:lineRule="auto"/>
        <w:tabs>
          <w:tab w:leader="none" w:pos="189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Voluntariness and Consequences of Denial/Withdrawal of Consent</w:t>
      </w:r>
      <w:r>
        <w:rPr>
          <w:rFonts w:ascii="Arial" w:cs="Arial" w:eastAsia="Arial" w:hAnsi="Arial"/>
          <w:sz w:val="15"/>
          <w:szCs w:val="15"/>
          <w:b w:val="1"/>
          <w:bCs w:val="1"/>
          <w:i w:val="1"/>
          <w:iCs w:val="1"/>
          <w:color w:val="auto"/>
        </w:rPr>
        <w:t>. Participation in the Plan is voluntary and the Participant is providing the consents herein on a purely voluntary basis. If the Participant does not consent, or later seeks to revoke their consent, the Participant's salary from or employment or other service with the Employer will not be affected; the only consequence of refusing or withdrawing consent is that the Corporation would not be able to grant RSUs or other equity awards to the Participant or administer or maintain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7" w:right="339" w:bottom="1440" w:gutter="0" w:footer="0" w:header="0"/>
        </w:sectPr>
      </w:pPr>
    </w:p>
    <w:bookmarkStart w:id="93" w:name="page94"/>
    <w:bookmarkEnd w:id="93"/>
    <w:p>
      <w:pPr>
        <w:jc w:val="both"/>
        <w:ind w:firstLine="1272"/>
        <w:spacing w:after="0" w:line="298" w:lineRule="auto"/>
        <w:tabs>
          <w:tab w:leader="none" w:pos="1893" w:val="left"/>
        </w:tabs>
        <w:numPr>
          <w:ilvl w:val="1"/>
          <w:numId w:val="78"/>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xml:space="preserve"> The Participant understands that data subject rights regarding the processing of personal data vary depending on the applicable law and that, depending on where the Participant is based and subject to the conditions set out in the applicable law, the Participant may have, without limitation, the rights to (i) inquire whether and what kind of Personal Data the Corporation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the Participant’s objection, does not prove to be compelling, or processed in non-compliance with applicable legal requirements, (iv) request the Corporation to restrict the processing of the Participant’s Personal Data in certain situations where the Participant feels its processing is inappropriate, (v) object, in certain circumstances, to the processing of Personal Data for legitimate interests, and to (vi) request portability of the Participant’s Personal Data that the Participant has actively or passively provided to the Corporation (which does not include data derived or inferred from the collected data), where the processing of such Personal Data is based on consent or the Participant’s employment or service contract and is carried out by automated means. In case of concerns, the Participant understands that the Participant may also have the right to lodge a complaint with the competent local data protection authority. Further, to receive clarification of, or to exercise any of, the Participant’s rights the Participant understands that the Participant should contact the Participant’s local human resources representative.</w:t>
      </w:r>
    </w:p>
    <w:p>
      <w:pPr>
        <w:spacing w:after="0" w:line="167" w:lineRule="exact"/>
        <w:rPr>
          <w:rFonts w:ascii="Arial" w:cs="Arial" w:eastAsia="Arial" w:hAnsi="Arial"/>
          <w:sz w:val="15"/>
          <w:szCs w:val="15"/>
          <w:b w:val="1"/>
          <w:bCs w:val="1"/>
          <w:color w:val="auto"/>
        </w:rPr>
      </w:pPr>
    </w:p>
    <w:p>
      <w:pPr>
        <w:jc w:val="both"/>
        <w:ind w:firstLine="1272"/>
        <w:spacing w:after="0" w:line="283" w:lineRule="auto"/>
        <w:tabs>
          <w:tab w:leader="none" w:pos="1890"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Alternate Basis and Additional Consents.</w:t>
      </w:r>
      <w:r>
        <w:rPr>
          <w:rFonts w:ascii="Arial" w:cs="Arial" w:eastAsia="Arial" w:hAnsi="Arial"/>
          <w:sz w:val="16"/>
          <w:szCs w:val="16"/>
          <w:b w:val="1"/>
          <w:bCs w:val="1"/>
          <w:i w:val="1"/>
          <w:iCs w:val="1"/>
          <w:color w:val="auto"/>
        </w:rPr>
        <w:t xml:space="preserve"> Finally, the Participant understands that the Corporation may rely on a different basis for the processing or transfer of Personal Data in the future and/or request that the Participant provide another data privacy consent. If applicable, the Participant agrees that upon request of the Corporation or the Employer, the Participant will provide an executed acknowledgement or data privacy consent form (or any other agreements or consents) that the Corporation and/or the Employer may deem necessary to obtain from the Participant for the purpose of administering the Participant’s participation in the Plan in compliance with the data privacy laws in the Participant’s country, either now or in the future. The Participant understands and agrees that he or she will not be able to participate in the Plan if he or she fails to provide any such consent or agreement requested by the Corporation and/or the Employer.</w:t>
      </w:r>
    </w:p>
    <w:p>
      <w:pPr>
        <w:spacing w:after="0" w:line="163" w:lineRule="exact"/>
        <w:rPr>
          <w:rFonts w:ascii="Arial" w:cs="Arial" w:eastAsia="Arial" w:hAnsi="Arial"/>
          <w:sz w:val="16"/>
          <w:szCs w:val="16"/>
          <w:b w:val="1"/>
          <w:bCs w:val="1"/>
          <w:color w:val="auto"/>
        </w:rPr>
      </w:pPr>
    </w:p>
    <w:p>
      <w:pPr>
        <w:ind w:left="1280" w:hanging="167"/>
        <w:spacing w:after="0"/>
        <w:tabs>
          <w:tab w:leader="none" w:pos="12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 and Acceptance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Participant agrees that the Corporation may decide, in its sole discretion, to deliver by email or other electronic means any documents relating to the Plan or the RSUs. Further, the Participant agrees to participate in the Plan through an on-line or electronic system established and maintained by the Corporation or by a third party designated by the Corporation.</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6. Insider Trading/Market Abuse Laws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Participant agrees to comply with the Corporation’s policy on insider trading (to the extent that it is applicable to the Participant). Depending on the Participant’s country or the designated broker's country or country where the Common Stock is listed, the Participant may be subject to insider trading restrictions and/or market abuse laws, which may affect the Participant’s ability to accept, acquire, sell, attempt to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the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during such times as the Participant is considered to have “inside information” regarding the Corporation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Corporation insider trading policy. The Participant is responsible for ensuring compliance with any applicable restrictions and should consult his or her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7" w:right="339" w:bottom="1440" w:gutter="0" w:footer="0" w:header="0"/>
        </w:sectPr>
      </w:pPr>
    </w:p>
    <w:bookmarkStart w:id="94" w:name="page95"/>
    <w:bookmarkEnd w:id="94"/>
    <w:p>
      <w:pPr>
        <w:ind w:left="1120"/>
        <w:spacing w:after="0"/>
        <w:rPr>
          <w:sz w:val="20"/>
          <w:szCs w:val="20"/>
          <w:color w:val="auto"/>
        </w:rPr>
      </w:pPr>
      <w:r>
        <w:rPr>
          <w:rFonts w:ascii="Arial" w:cs="Arial" w:eastAsia="Arial" w:hAnsi="Arial"/>
          <w:sz w:val="18"/>
          <w:szCs w:val="18"/>
          <w:b w:val="1"/>
          <w:bCs w:val="1"/>
          <w:color w:val="auto"/>
        </w:rPr>
        <w:t>7. Exchange Control, Tax and/or Foreign Asset/Account Reporting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 equivalents paid with respect to the RSUs or dividends paid on shares of Common Stock acquired under the Plan) in a brokerage/bank account or legal entity outside the Participant’s country. The Participant may be required to report such accounts, assets, the balances therein, the value thereof and/or the transactions related thereto to the tax or other authorities in the Participant’s country. The Participant also may be required to repatriate sale proceeds or other funds received as a result of the Participant’s participation in the Plan to the Participant’s country through a designated bank or broker within a certain time after receipt. The Participant acknowledges that it is the Participant’s responsibility to be compliant with such regulations, and the Participant should consult his or her personal legal advisor for any details.</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8. Language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Participant acknowledges that he or she is sufficiently proficient in English, or has consulted with an advisor who is sufficiently proficient in English so as to allow the Participant to understand the terms and conditions of this Award Agreement. Furthermore, if the Award Agreement or any other document related to the Plan has been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2017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NON-EMPLOYEE DIRECTOR RESTRICTED STOCK UNIT GRANT PROGRAM</w:t>
      </w:r>
    </w:p>
    <w:p>
      <w:pPr>
        <w:spacing w:after="0" w:line="223" w:lineRule="exact"/>
        <w:rPr>
          <w:sz w:val="20"/>
          <w:szCs w:val="20"/>
          <w:color w:val="auto"/>
        </w:rPr>
      </w:pPr>
    </w:p>
    <w:p>
      <w:pPr>
        <w:ind w:right="120" w:firstLine="6"/>
        <w:spacing w:after="0" w:line="283" w:lineRule="auto"/>
        <w:tabs>
          <w:tab w:leader="none" w:pos="633"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Establishment</w:t>
      </w:r>
      <w:r>
        <w:rPr>
          <w:rFonts w:ascii="Arial" w:cs="Arial" w:eastAsia="Arial" w:hAnsi="Arial"/>
          <w:sz w:val="19"/>
          <w:szCs w:val="19"/>
          <w:color w:val="auto"/>
        </w:rPr>
        <w:t>. The Corporation maintains the Western Digital Corporation Non-Employee Directors Restricted Stock Unit</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(the “</w:t>
      </w:r>
      <w:r>
        <w:rPr>
          <w:rFonts w:ascii="Arial" w:cs="Arial" w:eastAsia="Arial" w:hAnsi="Arial"/>
          <w:sz w:val="19"/>
          <w:szCs w:val="19"/>
          <w:b w:val="1"/>
          <w:bCs w:val="1"/>
          <w:color w:val="auto"/>
        </w:rPr>
        <w:t>Program</w:t>
      </w:r>
      <w:r>
        <w:rPr>
          <w:rFonts w:ascii="Arial" w:cs="Arial" w:eastAsia="Arial" w:hAnsi="Arial"/>
          <w:sz w:val="19"/>
          <w:szCs w:val="19"/>
          <w:color w:val="auto"/>
        </w:rPr>
        <w:t>”), which is hereby amended and restated as of August, 16 2021 (the “</w:t>
      </w:r>
      <w:r>
        <w:rPr>
          <w:rFonts w:ascii="Arial" w:cs="Arial" w:eastAsia="Arial" w:hAnsi="Arial"/>
          <w:sz w:val="19"/>
          <w:szCs w:val="19"/>
          <w:b w:val="1"/>
          <w:bCs w:val="1"/>
          <w:color w:val="auto"/>
        </w:rPr>
        <w:t>Effective Date</w:t>
      </w:r>
      <w:r>
        <w:rPr>
          <w:rFonts w:ascii="Arial" w:cs="Arial" w:eastAsia="Arial" w:hAnsi="Arial"/>
          <w:sz w:val="19"/>
          <w:szCs w:val="19"/>
          <w:color w:val="auto"/>
        </w:rPr>
        <w:t>”). This amendment and restatement of the Program is effective as to grants on and after the Effective Date; awards granted 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Amended and Restated 2017 Performance Incentive Plan (the “</w:t>
      </w:r>
      <w:r>
        <w:rPr>
          <w:rFonts w:ascii="Arial" w:cs="Arial" w:eastAsia="Arial" w:hAnsi="Arial"/>
          <w:sz w:val="19"/>
          <w:szCs w:val="19"/>
          <w:b w:val="1"/>
          <w:bCs w:val="1"/>
          <w:color w:val="auto"/>
        </w:rPr>
        <w:t>Plan</w:t>
      </w:r>
      <w:r>
        <w:rPr>
          <w:rFonts w:ascii="Arial" w:cs="Arial" w:eastAsia="Arial" w:hAnsi="Arial"/>
          <w:sz w:val="19"/>
          <w:szCs w:val="19"/>
          <w:color w:val="auto"/>
        </w:rPr>
        <w:t>”). Except as otherwise expressly provided herein, the provisions of the Plan shall govern all awards made pursuant to the Program. Capitalized terms are defined in the Plan if not defined herein.</w:t>
      </w:r>
    </w:p>
    <w:p>
      <w:pPr>
        <w:spacing w:after="0" w:line="154" w:lineRule="exact"/>
        <w:rPr>
          <w:rFonts w:ascii="Arial" w:cs="Arial" w:eastAsia="Arial" w:hAnsi="Arial"/>
          <w:sz w:val="19"/>
          <w:szCs w:val="19"/>
          <w:b w:val="1"/>
          <w:bCs w:val="1"/>
          <w:color w:val="auto"/>
        </w:rPr>
      </w:pPr>
    </w:p>
    <w:p>
      <w:pPr>
        <w:ind w:right="240" w:firstLine="6"/>
        <w:spacing w:after="0" w:line="259" w:lineRule="auto"/>
        <w:tabs>
          <w:tab w:leader="none" w:pos="633"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w:t>
      </w:r>
      <w:r>
        <w:rPr>
          <w:rFonts w:ascii="Arial" w:cs="Arial" w:eastAsia="Arial" w:hAnsi="Arial"/>
          <w:sz w:val="21"/>
          <w:szCs w:val="21"/>
          <w:color w:val="auto"/>
        </w:rPr>
        <w:t>. The purpose of the Program is to promote the success of the Corporation and the interests of its stockholders by</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members of the Board who are not officers or employees of the Corporation or one of its Subsidiaries (“</w:t>
      </w:r>
      <w:r>
        <w:rPr>
          <w:rFonts w:ascii="Arial" w:cs="Arial" w:eastAsia="Arial" w:hAnsi="Arial"/>
          <w:sz w:val="21"/>
          <w:szCs w:val="21"/>
          <w:b w:val="1"/>
          <w:bCs w:val="1"/>
          <w:color w:val="auto"/>
        </w:rPr>
        <w:t>Non-Employee</w:t>
      </w:r>
      <w:r>
        <w:rPr>
          <w:rFonts w:ascii="Arial" w:cs="Arial" w:eastAsia="Arial" w:hAnsi="Arial"/>
          <w:sz w:val="21"/>
          <w:szCs w:val="21"/>
          <w:color w:val="auto"/>
        </w:rPr>
        <w:t xml:space="preserve"> </w:t>
      </w:r>
      <w:r>
        <w:rPr>
          <w:rFonts w:ascii="Arial" w:cs="Arial" w:eastAsia="Arial" w:hAnsi="Arial"/>
          <w:sz w:val="21"/>
          <w:szCs w:val="21"/>
          <w:b w:val="1"/>
          <w:bCs w:val="1"/>
          <w:color w:val="auto"/>
        </w:rPr>
        <w:t>Directors</w:t>
      </w:r>
      <w:r>
        <w:rPr>
          <w:rFonts w:ascii="Arial" w:cs="Arial" w:eastAsia="Arial" w:hAnsi="Arial"/>
          <w:sz w:val="21"/>
          <w:szCs w:val="21"/>
          <w:color w:val="auto"/>
        </w:rPr>
        <w:t>”) an opportunity to acquire an ownership interest in the Corporation and more closely aligning the interests of Non-Employee Directors and stockholders.</w:t>
      </w:r>
    </w:p>
    <w:p>
      <w:pPr>
        <w:spacing w:after="0" w:line="170" w:lineRule="exact"/>
        <w:rPr>
          <w:rFonts w:ascii="Arial" w:cs="Arial" w:eastAsia="Arial" w:hAnsi="Arial"/>
          <w:sz w:val="21"/>
          <w:szCs w:val="21"/>
          <w:b w:val="1"/>
          <w:bCs w:val="1"/>
          <w:color w:val="auto"/>
        </w:rPr>
      </w:pPr>
    </w:p>
    <w:p>
      <w:pPr>
        <w:ind w:right="20" w:firstLine="6"/>
        <w:spacing w:after="0" w:line="282" w:lineRule="auto"/>
        <w:tabs>
          <w:tab w:leader="none" w:pos="633"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Participation</w:t>
      </w:r>
      <w:r>
        <w:rPr>
          <w:rFonts w:ascii="Arial" w:cs="Arial" w:eastAsia="Arial" w:hAnsi="Arial"/>
          <w:sz w:val="19"/>
          <w:szCs w:val="19"/>
          <w:color w:val="auto"/>
        </w:rPr>
        <w:t>. An award of Stock Units (a “</w:t>
      </w:r>
      <w:r>
        <w:rPr>
          <w:rFonts w:ascii="Arial" w:cs="Arial" w:eastAsia="Arial" w:hAnsi="Arial"/>
          <w:sz w:val="19"/>
          <w:szCs w:val="19"/>
          <w:b w:val="1"/>
          <w:bCs w:val="1"/>
          <w:color w:val="auto"/>
        </w:rPr>
        <w:t>Stock Unit Award</w:t>
      </w:r>
      <w:r>
        <w:rPr>
          <w:rFonts w:ascii="Arial" w:cs="Arial" w:eastAsia="Arial" w:hAnsi="Arial"/>
          <w:sz w:val="19"/>
          <w:szCs w:val="19"/>
          <w:color w:val="auto"/>
        </w:rPr>
        <w:t>”) under the Program shall be made only to Non-Employee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Directors, shall be evidenced by a Notice of Award of Stock Units substantially in the form attached as </w:t>
      </w:r>
      <w:r>
        <w:rPr>
          <w:rFonts w:ascii="Arial" w:cs="Arial" w:eastAsia="Arial" w:hAnsi="Arial"/>
          <w:sz w:val="19"/>
          <w:szCs w:val="19"/>
          <w:u w:val="single" w:color="auto"/>
          <w:color w:val="auto"/>
        </w:rPr>
        <w:t>Exhibit 1</w:t>
      </w:r>
      <w:r>
        <w:rPr>
          <w:rFonts w:ascii="Arial" w:cs="Arial" w:eastAsia="Arial" w:hAnsi="Arial"/>
          <w:sz w:val="19"/>
          <w:szCs w:val="19"/>
          <w:color w:val="auto"/>
        </w:rPr>
        <w:t xml:space="preserve"> hereto and shall be further subject to such other terms and conditions set forth therein. As used in the Program, the term “</w:t>
      </w:r>
      <w:r>
        <w:rPr>
          <w:rFonts w:ascii="Arial" w:cs="Arial" w:eastAsia="Arial" w:hAnsi="Arial"/>
          <w:sz w:val="19"/>
          <w:szCs w:val="19"/>
          <w:b w:val="1"/>
          <w:bCs w:val="1"/>
          <w:color w:val="auto"/>
        </w:rPr>
        <w:t>Stock Unit</w:t>
      </w:r>
      <w:r>
        <w:rPr>
          <w:rFonts w:ascii="Arial" w:cs="Arial" w:eastAsia="Arial" w:hAnsi="Arial"/>
          <w:sz w:val="19"/>
          <w:szCs w:val="19"/>
          <w:color w:val="auto"/>
        </w:rPr>
        <w:t>” shall mean a non-voting unit of measurement which is deemed for bookkeeping purposes to be equivalent to one outstanding share of Common Stock (subject to adjustment as provided in Section 7.1 of the Plan) solely for purposes of the Program. Stock Units shall be used solely as a device for the determination of the number of shares of Common Stock to eventually be delivered to a Non-Employee Director if Stock Units held by such Non-Employee Director vest pursuant to Section 6 or Section 8. Stock Units shall not be treated as property or as a trust fund of any kind. Stock Units granted to a Non-Employee Director pursuant to the Program shall be credited to an unfunded bookkeeping account maintained by the Corporation on behalf of the Non-Employee Director (a “</w:t>
      </w:r>
      <w:r>
        <w:rPr>
          <w:rFonts w:ascii="Arial" w:cs="Arial" w:eastAsia="Arial" w:hAnsi="Arial"/>
          <w:sz w:val="19"/>
          <w:szCs w:val="19"/>
          <w:b w:val="1"/>
          <w:bCs w:val="1"/>
          <w:color w:val="auto"/>
        </w:rPr>
        <w:t>Program Account</w:t>
      </w:r>
      <w:r>
        <w:rPr>
          <w:rFonts w:ascii="Arial" w:cs="Arial" w:eastAsia="Arial" w:hAnsi="Arial"/>
          <w:sz w:val="19"/>
          <w:szCs w:val="19"/>
          <w:color w:val="auto"/>
        </w:rPr>
        <w:t>”).</w:t>
      </w:r>
    </w:p>
    <w:p>
      <w:pPr>
        <w:spacing w:after="0" w:line="155" w:lineRule="exact"/>
        <w:rPr>
          <w:rFonts w:ascii="Arial" w:cs="Arial" w:eastAsia="Arial" w:hAnsi="Arial"/>
          <w:sz w:val="19"/>
          <w:szCs w:val="19"/>
          <w:b w:val="1"/>
          <w:bCs w:val="1"/>
          <w:color w:val="auto"/>
        </w:rPr>
      </w:pPr>
    </w:p>
    <w:p>
      <w:pPr>
        <w:ind w:left="640" w:hanging="634"/>
        <w:spacing w:after="0"/>
        <w:tabs>
          <w:tab w:leader="none" w:pos="64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Annual Stock Unit Awards</w:t>
      </w:r>
      <w:r>
        <w:rPr>
          <w:rFonts w:ascii="Arial" w:cs="Arial" w:eastAsia="Arial" w:hAnsi="Arial"/>
          <w:sz w:val="21"/>
          <w:szCs w:val="21"/>
          <w:color w:val="auto"/>
        </w:rPr>
        <w:t>.</w:t>
      </w:r>
    </w:p>
    <w:p>
      <w:pPr>
        <w:spacing w:after="0" w:line="220" w:lineRule="exact"/>
        <w:rPr>
          <w:rFonts w:ascii="Arial" w:cs="Arial" w:eastAsia="Arial" w:hAnsi="Arial"/>
          <w:sz w:val="21"/>
          <w:szCs w:val="21"/>
          <w:b w:val="1"/>
          <w:bCs w:val="1"/>
          <w:color w:val="auto"/>
        </w:rPr>
      </w:pPr>
    </w:p>
    <w:p>
      <w:pPr>
        <w:ind w:left="640" w:right="60"/>
        <w:spacing w:after="0" w:line="290" w:lineRule="auto"/>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i w:val="1"/>
          <w:iCs w:val="1"/>
          <w:color w:val="auto"/>
        </w:rPr>
        <w:t>Annual Awards</w:t>
      </w:r>
      <w:r>
        <w:rPr>
          <w:rFonts w:ascii="Arial" w:cs="Arial" w:eastAsia="Arial" w:hAnsi="Arial"/>
          <w:sz w:val="19"/>
          <w:szCs w:val="19"/>
          <w:color w:val="auto"/>
        </w:rPr>
        <w:t>. On the date of and immediately following the Corporation’s regular annual meeting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in each year during the term of the Plan commencing with 2012, each Non-Employee Director then in office shall be granted automatically (without any action by the Board or the Administrator) a Stock Unit Award with respect to a number (rounded down to the nearest whole number) of Stock Units equal to (i) $240,000 ($290,000 in the case of a Non-Employee Director then serving as Chair of the Board and $280,000 in the case of a Non-Employee Director then serving as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74" w:right="339" w:bottom="1440" w:gutter="0" w:footer="0" w:header="0"/>
        </w:sectPr>
      </w:pPr>
    </w:p>
    <w:bookmarkStart w:id="96" w:name="page97"/>
    <w:bookmarkEnd w:id="96"/>
    <w:p>
      <w:pPr>
        <w:ind w:left="634" w:right="140"/>
        <w:spacing w:after="0" w:line="274" w:lineRule="auto"/>
        <w:rPr>
          <w:sz w:val="20"/>
          <w:szCs w:val="20"/>
          <w:color w:val="auto"/>
        </w:rPr>
      </w:pPr>
      <w:r>
        <w:rPr>
          <w:rFonts w:ascii="Arial" w:cs="Arial" w:eastAsia="Arial" w:hAnsi="Arial"/>
          <w:sz w:val="20"/>
          <w:szCs w:val="20"/>
          <w:color w:val="auto"/>
        </w:rPr>
        <w:t>Lead Independent Director), divided by (ii) the Fair Market Value of a share of Common Stock on the applicable annual meeting date (subject to adjustment as provided in Section 7.1 of the Plan). An individual who was previously a member of the Board, who then ceased to be a member of the Board for any reason, and who then again becomes a Non-Employee Director shall thereupon again become eligible to be granted Stock Units under this Section 4.1.</w:t>
      </w:r>
    </w:p>
    <w:p>
      <w:pPr>
        <w:spacing w:after="0" w:line="157" w:lineRule="exact"/>
        <w:rPr>
          <w:sz w:val="20"/>
          <w:szCs w:val="20"/>
          <w:color w:val="auto"/>
        </w:rPr>
      </w:pPr>
    </w:p>
    <w:p>
      <w:pPr>
        <w:ind w:left="634"/>
        <w:spacing w:after="0" w:line="270"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b w:val="1"/>
          <w:bCs w:val="1"/>
          <w:i w:val="1"/>
          <w:iCs w:val="1"/>
          <w:color w:val="auto"/>
        </w:rPr>
        <w:t>Initial Award for New Directors</w:t>
      </w:r>
      <w:r>
        <w:rPr>
          <w:rFonts w:ascii="Arial" w:cs="Arial" w:eastAsia="Arial" w:hAnsi="Arial"/>
          <w:sz w:val="20"/>
          <w:szCs w:val="20"/>
          <w:color w:val="auto"/>
        </w:rPr>
        <w:t>. Upon first being appointed or elected to the Board, a Non-Employee Director who</w:t>
      </w:r>
      <w:r>
        <w:rPr>
          <w:rFonts w:ascii="Arial" w:cs="Arial" w:eastAsia="Arial" w:hAnsi="Arial"/>
          <w:sz w:val="20"/>
          <w:szCs w:val="20"/>
          <w:b w:val="1"/>
          <w:bCs w:val="1"/>
          <w:color w:val="auto"/>
        </w:rPr>
        <w:t xml:space="preserve"> </w:t>
      </w:r>
      <w:r>
        <w:rPr>
          <w:rFonts w:ascii="Arial" w:cs="Arial" w:eastAsia="Arial" w:hAnsi="Arial"/>
          <w:sz w:val="20"/>
          <w:szCs w:val="20"/>
          <w:color w:val="auto"/>
        </w:rPr>
        <w:t>has not previously served on the Board shall be granted automatically (without any action by the Board or the Administrator) a Stock Unit Award with respect to a number of Stock Units equal to (i) the number of Stock Units in the Annual Award immediately preceding the date such Non-Employee Director is first appointed or elected to the Board, divided by (ii) 365, multiplied by (iii) the number of days from the date such Non-Employee Director is first appointed or elected to the Board to the scheduled date of the Corporation’s next annual meeting of stockholders.</w:t>
      </w:r>
    </w:p>
    <w:p>
      <w:pPr>
        <w:spacing w:after="0" w:line="162" w:lineRule="exact"/>
        <w:rPr>
          <w:sz w:val="20"/>
          <w:szCs w:val="20"/>
          <w:color w:val="auto"/>
        </w:rPr>
      </w:pPr>
    </w:p>
    <w:p>
      <w:pPr>
        <w:ind w:left="634" w:right="260"/>
        <w:spacing w:after="0" w:line="305"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i w:val="1"/>
          <w:iCs w:val="1"/>
          <w:color w:val="auto"/>
        </w:rPr>
        <w:t>Transfer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granted pursuant to this Section 4 shall be subject to the transfer restrictions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Section 5.7 of the Plan. For purposes of clarity, the Administrator has not approved any transfer exceptions with respect to Stock Units granted pursuant to the Program in accordance with Section 5.7.2 of the Plan.</w:t>
      </w:r>
    </w:p>
    <w:p>
      <w:pPr>
        <w:spacing w:after="0" w:line="130" w:lineRule="exact"/>
        <w:rPr>
          <w:sz w:val="20"/>
          <w:szCs w:val="20"/>
          <w:color w:val="auto"/>
        </w:rPr>
      </w:pPr>
    </w:p>
    <w:p>
      <w:pPr>
        <w:ind w:left="634" w:hanging="634"/>
        <w:spacing w:after="0"/>
        <w:tabs>
          <w:tab w:leader="none" w:pos="634"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and Voting Rights</w:t>
      </w:r>
      <w:r>
        <w:rPr>
          <w:rFonts w:ascii="Arial" w:cs="Arial" w:eastAsia="Arial" w:hAnsi="Arial"/>
          <w:sz w:val="21"/>
          <w:szCs w:val="21"/>
          <w:color w:val="auto"/>
        </w:rPr>
        <w:t>.</w:t>
      </w:r>
    </w:p>
    <w:p>
      <w:pPr>
        <w:spacing w:after="0" w:line="220" w:lineRule="exact"/>
        <w:rPr>
          <w:rFonts w:ascii="Arial" w:cs="Arial" w:eastAsia="Arial" w:hAnsi="Arial"/>
          <w:sz w:val="21"/>
          <w:szCs w:val="21"/>
          <w:b w:val="1"/>
          <w:bCs w:val="1"/>
          <w:color w:val="auto"/>
        </w:rPr>
      </w:pPr>
    </w:p>
    <w:p>
      <w:pPr>
        <w:ind w:left="634" w:right="20"/>
        <w:spacing w:after="0" w:line="270" w:lineRule="auto"/>
        <w:rPr>
          <w:rFonts w:ascii="Arial" w:cs="Arial" w:eastAsia="Arial" w:hAnsi="Arial"/>
          <w:sz w:val="21"/>
          <w:szCs w:val="21"/>
          <w:b w:val="1"/>
          <w:bCs w:val="1"/>
          <w:color w:val="auto"/>
        </w:rPr>
      </w:pPr>
      <w:r>
        <w:rPr>
          <w:rFonts w:ascii="Arial" w:cs="Arial" w:eastAsia="Arial" w:hAnsi="Arial"/>
          <w:sz w:val="20"/>
          <w:szCs w:val="20"/>
          <w:b w:val="1"/>
          <w:bCs w:val="1"/>
          <w:color w:val="auto"/>
        </w:rPr>
        <w:t xml:space="preserve">5.1 </w:t>
      </w:r>
      <w:r>
        <w:rPr>
          <w:rFonts w:ascii="Arial" w:cs="Arial" w:eastAsia="Arial" w:hAnsi="Arial"/>
          <w:sz w:val="20"/>
          <w:szCs w:val="20"/>
          <w:b w:val="1"/>
          <w:bCs w:val="1"/>
          <w:i w:val="1"/>
          <w:iCs w:val="1"/>
          <w:color w:val="auto"/>
        </w:rPr>
        <w:t>Limitation of Rights Associated with Stock Units</w:t>
      </w:r>
      <w:r>
        <w:rPr>
          <w:rFonts w:ascii="Arial" w:cs="Arial" w:eastAsia="Arial" w:hAnsi="Arial"/>
          <w:sz w:val="20"/>
          <w:szCs w:val="20"/>
          <w:color w:val="auto"/>
        </w:rPr>
        <w:t>. A Non-Employee Director shall have no rights as a stockholder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Corporation, no dividend rights (except as expressly provided in Section 5.2 with respect to dividend equivalent rights) and no voting rights, with respect to Stock Units granted pursuant to the Program and any shares of Common Stock underlying or issuable in respect of such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62" w:lineRule="exact"/>
        <w:rPr>
          <w:rFonts w:ascii="Arial" w:cs="Arial" w:eastAsia="Arial" w:hAnsi="Arial"/>
          <w:sz w:val="21"/>
          <w:szCs w:val="21"/>
          <w:b w:val="1"/>
          <w:bCs w:val="1"/>
          <w:color w:val="auto"/>
        </w:rPr>
      </w:pPr>
    </w:p>
    <w:p>
      <w:pPr>
        <w:ind w:left="634" w:right="60"/>
        <w:spacing w:after="0" w:line="282" w:lineRule="auto"/>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i w:val="1"/>
          <w:iCs w:val="1"/>
          <w:color w:val="auto"/>
        </w:rPr>
        <w:t>Dividend Equivalent Rights</w:t>
      </w:r>
      <w:r>
        <w:rPr>
          <w:rFonts w:ascii="Arial" w:cs="Arial" w:eastAsia="Arial" w:hAnsi="Arial"/>
          <w:sz w:val="19"/>
          <w:szCs w:val="19"/>
          <w:color w:val="auto"/>
        </w:rPr>
        <w:t>. As of any date that the Corporation pays a dividend (other than in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upon issued and outstanding Common Stock, or makes a distribution (other than in shares of Common Stock) with respect thereto, a Non-Employee Director’s Program Account shall be credited with an additional number (rounded down to the nearest whole number) of Stock Units equal to (i) the “fair value” of any dividend (or other distribution) with respect to one share of Common Stock, multiplied by (ii) the number of unpaid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Stock Units credited pursuant to the foregoing provisions of this Section 5.2 shall be subject to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3"/>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194"/>
          </w:cols>
          <w:pgMar w:left="326" w:top="1397" w:right="379" w:bottom="1440" w:gutter="0" w:footer="0" w:header="0"/>
        </w:sectPr>
      </w:pPr>
    </w:p>
    <w:bookmarkStart w:id="97" w:name="page98"/>
    <w:bookmarkEnd w:id="97"/>
    <w:p>
      <w:pPr>
        <w:ind w:left="634"/>
        <w:spacing w:after="0" w:line="269" w:lineRule="auto"/>
        <w:rPr>
          <w:sz w:val="20"/>
          <w:szCs w:val="20"/>
          <w:color w:val="auto"/>
        </w:rPr>
      </w:pPr>
      <w:r>
        <w:rPr>
          <w:rFonts w:ascii="Arial" w:cs="Arial" w:eastAsia="Arial" w:hAnsi="Arial"/>
          <w:sz w:val="20"/>
          <w:szCs w:val="20"/>
          <w:color w:val="auto"/>
        </w:rPr>
        <w:t>same vesting, payment and other terms, conditions and restrictions as the original Stock Units to which they relate. No adjustment shall be made pursuant to Section 7.1 of the Plan as to Stock Units granted pursuant to the Program in connection with any dividend (other than in shares of Common Stock) or distribution (other than in shares of Common Stock) for which dividend equivalents are credited pursuant to the foregoing provisions of this Section 5.2. Stock Units granted pursuant to the Program shall otherwise be subject to adjustment pursuant to Section 7.1 of the Plan (for example, and without limitation, in connection with a split or reverse split of the outstanding Common Stock).</w:t>
      </w:r>
    </w:p>
    <w:p>
      <w:pPr>
        <w:spacing w:after="0" w:line="162" w:lineRule="exact"/>
        <w:rPr>
          <w:sz w:val="20"/>
          <w:szCs w:val="20"/>
          <w:color w:val="auto"/>
        </w:rPr>
      </w:pPr>
    </w:p>
    <w:p>
      <w:pPr>
        <w:ind w:left="-6" w:right="60" w:firstLine="6"/>
        <w:spacing w:after="0" w:line="295" w:lineRule="auto"/>
        <w:tabs>
          <w:tab w:leader="none" w:pos="627"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color w:val="auto"/>
        </w:rPr>
        <w:t>. Subject to Section 8 hereof and Section 7 of the Plan, a Stock Unit Award granted to a Non-Employee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Program (whether pursuant to Section 4 or Section 5.2) shall vest and become payable as to 100% of the total number of Stock Units subject thereto on the first to occur of (i) the first anniversary of the date of grant of the Stock Unit Award or (ii) immediately prior to the Corporation’s first regular meeting of stockholders following the date of grant of the Stock Unit Award.</w:t>
      </w:r>
    </w:p>
    <w:p>
      <w:pPr>
        <w:spacing w:after="0" w:line="139" w:lineRule="exact"/>
        <w:rPr>
          <w:rFonts w:ascii="Arial" w:cs="Arial" w:eastAsia="Arial" w:hAnsi="Arial"/>
          <w:sz w:val="19"/>
          <w:szCs w:val="19"/>
          <w:b w:val="1"/>
          <w:bCs w:val="1"/>
          <w:color w:val="auto"/>
        </w:rPr>
      </w:pPr>
    </w:p>
    <w:p>
      <w:pPr>
        <w:ind w:left="-6" w:right="60" w:firstLine="6"/>
        <w:spacing w:after="0" w:line="253" w:lineRule="auto"/>
        <w:tabs>
          <w:tab w:leader="none" w:pos="627"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Continuation of Services</w:t>
      </w:r>
      <w:r>
        <w:rPr>
          <w:rFonts w:ascii="Arial" w:cs="Arial" w:eastAsia="Arial" w:hAnsi="Arial"/>
          <w:sz w:val="21"/>
          <w:szCs w:val="21"/>
          <w:color w:val="auto"/>
        </w:rPr>
        <w:t>. The vesting schedule requires continued service through each applicable vesting date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to the vesting of the applicable installment of a Stock Unit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8 below. Nothing contained in the Program constitutes a continued service commitment by the Corporation, confers upon a Non-Employee Director any right to remain in service to the Corporation, interferes with the right of the Corporation at any time to terminate such service, or affects the right of the Corporation to increase or decrease a Non-Employee Director’s other compensation.</w:t>
      </w:r>
    </w:p>
    <w:p>
      <w:pPr>
        <w:spacing w:after="0" w:line="179" w:lineRule="exact"/>
        <w:rPr>
          <w:rFonts w:ascii="Arial" w:cs="Arial" w:eastAsia="Arial" w:hAnsi="Arial"/>
          <w:sz w:val="21"/>
          <w:szCs w:val="21"/>
          <w:b w:val="1"/>
          <w:bCs w:val="1"/>
          <w:color w:val="auto"/>
        </w:rPr>
      </w:pPr>
    </w:p>
    <w:p>
      <w:pPr>
        <w:jc w:val="both"/>
        <w:ind w:left="-6" w:right="180" w:firstLine="6"/>
        <w:spacing w:after="0" w:line="265" w:lineRule="auto"/>
        <w:tabs>
          <w:tab w:leader="none" w:pos="627"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Directorship</w:t>
      </w:r>
      <w:r>
        <w:rPr>
          <w:rFonts w:ascii="Arial" w:cs="Arial" w:eastAsia="Arial" w:hAnsi="Arial"/>
          <w:sz w:val="21"/>
          <w:szCs w:val="21"/>
          <w:color w:val="auto"/>
        </w:rPr>
        <w:t>. Subject to earlier termination pursuant to Section 7 of the Plan, if a Non-Employee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incurs a Separation from Service (as defined below) for any reason, the following rules shall apply with respect to any Stock Units granted to the Non-Employee Director pursuant to Section 4 above:</w:t>
      </w:r>
    </w:p>
    <w:p>
      <w:pPr>
        <w:spacing w:after="0" w:line="168" w:lineRule="exact"/>
        <w:rPr>
          <w:rFonts w:ascii="Arial" w:cs="Arial" w:eastAsia="Arial" w:hAnsi="Arial"/>
          <w:sz w:val="21"/>
          <w:szCs w:val="21"/>
          <w:b w:val="1"/>
          <w:bCs w:val="1"/>
          <w:color w:val="auto"/>
        </w:rPr>
      </w:pPr>
    </w:p>
    <w:p>
      <w:pPr>
        <w:jc w:val="both"/>
        <w:ind w:left="1274" w:right="560" w:hanging="641"/>
        <w:spacing w:after="0" w:line="262" w:lineRule="auto"/>
        <w:tabs>
          <w:tab w:leader="none" w:pos="1269" w:val="left"/>
        </w:tabs>
        <w:numPr>
          <w:ilvl w:val="1"/>
          <w:numId w:val="82"/>
        </w:numPr>
        <w:rPr>
          <w:rFonts w:ascii="Arial" w:cs="Arial" w:eastAsia="Arial" w:hAnsi="Arial"/>
          <w:sz w:val="21"/>
          <w:szCs w:val="21"/>
          <w:color w:val="auto"/>
        </w:rPr>
      </w:pPr>
      <w:r>
        <w:rPr>
          <w:rFonts w:ascii="Arial" w:cs="Arial" w:eastAsia="Arial" w:hAnsi="Arial"/>
          <w:sz w:val="21"/>
          <w:szCs w:val="21"/>
          <w:color w:val="auto"/>
        </w:rPr>
        <w:t>other than as expressly provided below in this Section 8, all Stock Units granted to the Non-Employee Director pursuant to the Program that have not vested as of the Non-Employee Director’s Separation from Service, shall immediately terminate without payment therefor;</w:t>
      </w:r>
    </w:p>
    <w:p>
      <w:pPr>
        <w:spacing w:after="0" w:line="171" w:lineRule="exact"/>
        <w:rPr>
          <w:rFonts w:ascii="Arial" w:cs="Arial" w:eastAsia="Arial" w:hAnsi="Arial"/>
          <w:sz w:val="21"/>
          <w:szCs w:val="21"/>
          <w:color w:val="auto"/>
        </w:rPr>
      </w:pPr>
    </w:p>
    <w:p>
      <w:pPr>
        <w:ind w:left="1274" w:right="300" w:hanging="641"/>
        <w:spacing w:after="0" w:line="262" w:lineRule="auto"/>
        <w:tabs>
          <w:tab w:leader="none" w:pos="1269" w:val="left"/>
        </w:tabs>
        <w:numPr>
          <w:ilvl w:val="1"/>
          <w:numId w:val="82"/>
        </w:numPr>
        <w:rPr>
          <w:rFonts w:ascii="Arial" w:cs="Arial" w:eastAsia="Arial" w:hAnsi="Arial"/>
          <w:sz w:val="21"/>
          <w:szCs w:val="21"/>
          <w:color w:val="auto"/>
        </w:rPr>
      </w:pPr>
      <w:r>
        <w:rPr>
          <w:rFonts w:ascii="Arial" w:cs="Arial" w:eastAsia="Arial" w:hAnsi="Arial"/>
          <w:sz w:val="21"/>
          <w:szCs w:val="21"/>
          <w:color w:val="auto"/>
        </w:rPr>
        <w:t>if the Non-Employee Director’s Separation from Service occurs due to his or her death or Disability (as defined below), all Stock Units granted to the Non-Employee Director pursuant to the Program shall immediately vest and become payable as provided in Section 9;</w:t>
      </w:r>
    </w:p>
    <w:p>
      <w:pPr>
        <w:spacing w:after="0" w:line="171" w:lineRule="exact"/>
        <w:rPr>
          <w:rFonts w:ascii="Arial" w:cs="Arial" w:eastAsia="Arial" w:hAnsi="Arial"/>
          <w:sz w:val="21"/>
          <w:szCs w:val="21"/>
          <w:color w:val="auto"/>
        </w:rPr>
      </w:pPr>
    </w:p>
    <w:p>
      <w:pPr>
        <w:ind w:left="1274" w:right="40" w:hanging="641"/>
        <w:spacing w:after="0" w:line="262" w:lineRule="auto"/>
        <w:tabs>
          <w:tab w:leader="none" w:pos="1269" w:val="left"/>
        </w:tabs>
        <w:numPr>
          <w:ilvl w:val="1"/>
          <w:numId w:val="82"/>
        </w:numPr>
        <w:rPr>
          <w:rFonts w:ascii="Arial" w:cs="Arial" w:eastAsia="Arial" w:hAnsi="Arial"/>
          <w:sz w:val="21"/>
          <w:szCs w:val="21"/>
          <w:color w:val="auto"/>
        </w:rPr>
      </w:pPr>
      <w:r>
        <w:rPr>
          <w:rFonts w:ascii="Arial" w:cs="Arial" w:eastAsia="Arial" w:hAnsi="Arial"/>
          <w:sz w:val="21"/>
          <w:szCs w:val="21"/>
          <w:color w:val="auto"/>
        </w:rPr>
        <w:t>if the Non-Employee Director ceases to be a member of the Board due to his or her Removal, all then-unvested Stock Units granted to the Non-Employee Director pursuant to the Program shall immediately terminate without payment therefor.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14"/>
          </w:cols>
          <w:pgMar w:left="326" w:top="1397" w:right="359" w:bottom="1440" w:gutter="0" w:footer="0" w:header="0"/>
        </w:sectPr>
      </w:pPr>
    </w:p>
    <w:bookmarkStart w:id="98" w:name="page99"/>
    <w:bookmarkEnd w:id="98"/>
    <w:p>
      <w:pPr>
        <w:ind w:right="20" w:firstLine="633"/>
        <w:spacing w:after="0" w:line="268" w:lineRule="auto"/>
        <w:rPr>
          <w:sz w:val="20"/>
          <w:szCs w:val="20"/>
          <w:color w:val="auto"/>
        </w:rPr>
      </w:pPr>
      <w:r>
        <w:rPr>
          <w:rFonts w:ascii="Arial" w:cs="Arial" w:eastAsia="Arial" w:hAnsi="Arial"/>
          <w:sz w:val="20"/>
          <w:szCs w:val="20"/>
          <w:color w:val="auto"/>
        </w:rPr>
        <w:t>For purposes of this Section 8, the term “</w:t>
      </w:r>
      <w:r>
        <w:rPr>
          <w:rFonts w:ascii="Arial" w:cs="Arial" w:eastAsia="Arial" w:hAnsi="Arial"/>
          <w:sz w:val="20"/>
          <w:szCs w:val="20"/>
          <w:b w:val="1"/>
          <w:bCs w:val="1"/>
          <w:color w:val="auto"/>
        </w:rPr>
        <w:t>Disability</w:t>
      </w:r>
      <w:r>
        <w:rPr>
          <w:rFonts w:ascii="Arial" w:cs="Arial" w:eastAsia="Arial" w:hAnsi="Arial"/>
          <w:sz w:val="20"/>
          <w:szCs w:val="20"/>
          <w:color w:val="auto"/>
        </w:rPr>
        <w:t>” shall mean a period of disability during which a Non-Employee Director qualified for permanent disability benefits under the Corporation’s long-term disability plan, or, if the Non-Employee Director does not participate in such a plan, a period of disability during which the Non-Employee Director would have qualified for permanent disability benefits under such a plan had the Non-Employee Director been a participant in such a plan, as determined in the sole discretion of the Administrator. If the Corporation does not sponsor such a plan, or discontinues to sponsor such a plan, Disability shall be determined by the Administrator in its sole discretion. For purposes of this Section 8, the term “</w:t>
      </w:r>
      <w:r>
        <w:rPr>
          <w:rFonts w:ascii="Arial" w:cs="Arial" w:eastAsia="Arial" w:hAnsi="Arial"/>
          <w:sz w:val="20"/>
          <w:szCs w:val="20"/>
          <w:b w:val="1"/>
          <w:bCs w:val="1"/>
          <w:color w:val="auto"/>
        </w:rPr>
        <w:t>Removal</w:t>
      </w:r>
      <w:r>
        <w:rPr>
          <w:rFonts w:ascii="Arial" w:cs="Arial" w:eastAsia="Arial" w:hAnsi="Arial"/>
          <w:sz w:val="20"/>
          <w:szCs w:val="20"/>
          <w:color w:val="auto"/>
        </w:rPr>
        <w:t>” shall mean the removal of a Non-Employee Director from the Board, with or without cause, in accordance with the Corporation’s Certificate of Incorporation, Bylaws or the Delaware General Corporation Law.</w:t>
      </w:r>
    </w:p>
    <w:p>
      <w:pPr>
        <w:spacing w:after="0" w:line="161" w:lineRule="exact"/>
        <w:rPr>
          <w:sz w:val="20"/>
          <w:szCs w:val="20"/>
          <w:color w:val="auto"/>
        </w:rPr>
      </w:pPr>
    </w:p>
    <w:p>
      <w:pPr>
        <w:ind w:right="20" w:firstLine="633"/>
        <w:spacing w:after="0" w:line="257" w:lineRule="auto"/>
        <w:rPr>
          <w:sz w:val="20"/>
          <w:szCs w:val="20"/>
          <w:color w:val="auto"/>
        </w:rPr>
      </w:pPr>
      <w:r>
        <w:rPr>
          <w:rFonts w:ascii="Arial" w:cs="Arial" w:eastAsia="Arial" w:hAnsi="Arial"/>
          <w:sz w:val="21"/>
          <w:szCs w:val="21"/>
          <w:color w:val="auto"/>
        </w:rPr>
        <w:t>For purposes of this Section 8, the term “</w:t>
      </w:r>
      <w:r>
        <w:rPr>
          <w:rFonts w:ascii="Arial" w:cs="Arial" w:eastAsia="Arial" w:hAnsi="Arial"/>
          <w:sz w:val="21"/>
          <w:szCs w:val="21"/>
          <w:b w:val="1"/>
          <w:bCs w:val="1"/>
          <w:color w:val="auto"/>
        </w:rPr>
        <w:t>Separation from Service</w:t>
      </w:r>
      <w:r>
        <w:rPr>
          <w:rFonts w:ascii="Arial" w:cs="Arial" w:eastAsia="Arial" w:hAnsi="Arial"/>
          <w:sz w:val="21"/>
          <w:szCs w:val="21"/>
          <w:color w:val="auto"/>
        </w:rPr>
        <w:t>,” with respect to a Non-Employee Director, shall mean the date the Non-Employee Director ceases to be a member of the Board (regardless of the reason); provided, however, that if the Non-Employee Director is immediately thereafter employed by the Corporation or one of its Subsidiaries, such director’s Separation from Service shall be the date such director incurs a “separation from service” as such term is defined for purposes of Section 409A of the Code.</w:t>
      </w:r>
    </w:p>
    <w:p>
      <w:pPr>
        <w:spacing w:after="0" w:line="171" w:lineRule="exact"/>
        <w:rPr>
          <w:sz w:val="20"/>
          <w:szCs w:val="20"/>
          <w:color w:val="auto"/>
        </w:rPr>
      </w:pPr>
    </w:p>
    <w:p>
      <w:pPr>
        <w:ind w:firstLine="6"/>
        <w:spacing w:after="0" w:line="264" w:lineRule="auto"/>
        <w:tabs>
          <w:tab w:leader="none" w:pos="633"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Timing and Manner of Payment of Stock Units</w:t>
      </w:r>
      <w:r>
        <w:rPr>
          <w:rFonts w:ascii="Arial" w:cs="Arial" w:eastAsia="Arial" w:hAnsi="Arial"/>
          <w:sz w:val="20"/>
          <w:szCs w:val="20"/>
          <w:color w:val="auto"/>
        </w:rPr>
        <w:t>. Except as provided in Section 10 below, on or within fifteen (15)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days following the first to occur of (i) the first anniversary of the date of grant of the Stock Unit Award, or (ii) the Non-Employee Director’s Separation from Service, the Corporation shall deliver to the Non-Employee Director a number of shares of Common Stock (either by delivering one or more certificates for such shares or by entering such shares in book entry form, as determined by the Corporation in its sole discretion) equal to the number of Stock Units (if any) that vested with respect to the corresponding Stock Unit Award in accordance with the provisions hereof, subject to adjustment as provided in Section 7 of the Plan; provided, however, that, to the extent permitted by the Corporation’s Amended and Restated Deferred Compensation Plan, as it may be amended from time to time (the “</w:t>
      </w:r>
      <w:r>
        <w:rPr>
          <w:rFonts w:ascii="Arial" w:cs="Arial" w:eastAsia="Arial" w:hAnsi="Arial"/>
          <w:sz w:val="20"/>
          <w:szCs w:val="20"/>
          <w:b w:val="1"/>
          <w:bCs w:val="1"/>
          <w:color w:val="auto"/>
        </w:rPr>
        <w:t>Deferred Compensation Plan</w:t>
      </w:r>
      <w:r>
        <w:rPr>
          <w:rFonts w:ascii="Arial" w:cs="Arial" w:eastAsia="Arial" w:hAnsi="Arial"/>
          <w:sz w:val="20"/>
          <w:szCs w:val="20"/>
          <w:color w:val="auto"/>
        </w:rPr>
        <w:t>”), a Non-Employee Director may elect to defer receipt of any or all shares of Common Stock payable with respect to Stock Units that vest pursuant to the Program. Such elections shall be made, and any such deferral shall be effected and administered, in accordance with the Deferred Compensation Plan. The Corporation’s obligation to deliver shares of Common Stock with respect to vested Stock Units is subject to the condition precedent that the Non-Employee Director (or other person entitled under the Plan to receive any shares with respect to the vested Stock Units) deliver to the Corporation any representations or other documents or assurances required pursuant to Section 8.1 of the Plan. A Non-Employee Director shall have no further rights with respect to any Stock Units that are paid or that are terminated pursuant to Section 8 hereof or Section 7 of the Plan, and such Stock Units shall be removed from the Non-Employee Director’s Program Account upon the date of such payment or termination.</w:t>
      </w:r>
    </w:p>
    <w:p>
      <w:pPr>
        <w:spacing w:after="0" w:line="172" w:lineRule="exact"/>
        <w:rPr>
          <w:rFonts w:ascii="Arial" w:cs="Arial" w:eastAsia="Arial" w:hAnsi="Arial"/>
          <w:sz w:val="20"/>
          <w:szCs w:val="20"/>
          <w:b w:val="1"/>
          <w:bCs w:val="1"/>
          <w:color w:val="auto"/>
        </w:rPr>
      </w:pPr>
    </w:p>
    <w:p>
      <w:pPr>
        <w:ind w:right="60" w:firstLine="6"/>
        <w:spacing w:after="0" w:line="265" w:lineRule="auto"/>
        <w:tabs>
          <w:tab w:leader="none" w:pos="633"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in Control Events</w:t>
      </w:r>
      <w:r>
        <w:rPr>
          <w:rFonts w:ascii="Arial" w:cs="Arial" w:eastAsia="Arial" w:hAnsi="Arial"/>
          <w:sz w:val="21"/>
          <w:szCs w:val="21"/>
          <w:color w:val="auto"/>
        </w:rPr>
        <w:t>. A Stock Unit Award may vest and become payable in connection with the occurrence of certain</w:t>
      </w:r>
      <w:r>
        <w:rPr>
          <w:rFonts w:ascii="Arial" w:cs="Arial" w:eastAsia="Arial" w:hAnsi="Arial"/>
          <w:sz w:val="21"/>
          <w:szCs w:val="21"/>
          <w:b w:val="1"/>
          <w:bCs w:val="1"/>
          <w:color w:val="auto"/>
        </w:rPr>
        <w:t xml:space="preserve"> </w:t>
      </w:r>
      <w:r>
        <w:rPr>
          <w:rFonts w:ascii="Arial" w:cs="Arial" w:eastAsia="Arial" w:hAnsi="Arial"/>
          <w:sz w:val="21"/>
          <w:szCs w:val="21"/>
          <w:color w:val="auto"/>
        </w:rPr>
        <w:t>events involving the Corporation as provided for in Section 7 of the Plan; provided, however, that, notwithstanding anything to the contrary in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20"/>
          </w:cols>
          <w:pgMar w:left="320" w:top="1392" w:right="359" w:bottom="1440" w:gutter="0" w:footer="0" w:header="0"/>
        </w:sectPr>
      </w:pPr>
    </w:p>
    <w:bookmarkStart w:id="99" w:name="page100"/>
    <w:bookmarkEnd w:id="99"/>
    <w:p>
      <w:pPr>
        <w:spacing w:after="0" w:line="271" w:lineRule="auto"/>
        <w:rPr>
          <w:sz w:val="20"/>
          <w:szCs w:val="20"/>
          <w:color w:val="auto"/>
        </w:rPr>
      </w:pPr>
      <w:r>
        <w:rPr>
          <w:rFonts w:ascii="Arial" w:cs="Arial" w:eastAsia="Arial" w:hAnsi="Arial"/>
          <w:sz w:val="20"/>
          <w:szCs w:val="20"/>
          <w:color w:val="auto"/>
        </w:rPr>
        <w:t>Program or the Plan, if the event giving rise to such accelerated vesting is not also a “change in the ownership or effective control” of the Corporation or a “change in the ownership of a substantial portion of the assets” of the Corporation for purposes of Section 409A of the Code or an acceleration of payment of the award would otherwise result in any tax liability pursuant to Section 409A of the Code, then payment with respect to such vested Stock Unit Award shall not be made until such Stock Unit Award would have become vested and payable without regard to this Section 10 or Section 7 of the Plan.</w:t>
      </w:r>
    </w:p>
    <w:p>
      <w:pPr>
        <w:spacing w:after="0" w:line="160" w:lineRule="exact"/>
        <w:rPr>
          <w:sz w:val="20"/>
          <w:szCs w:val="20"/>
          <w:color w:val="auto"/>
        </w:rPr>
      </w:pPr>
    </w:p>
    <w:p>
      <w:pPr>
        <w:ind w:firstLine="6"/>
        <w:spacing w:after="0" w:line="278" w:lineRule="auto"/>
        <w:tabs>
          <w:tab w:leader="none" w:pos="621"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Provisions; Maximum Number of Shares; Amendment; Administration; Construction</w:t>
      </w:r>
      <w:r>
        <w:rPr>
          <w:rFonts w:ascii="Arial" w:cs="Arial" w:eastAsia="Arial" w:hAnsi="Arial"/>
          <w:sz w:val="19"/>
          <w:szCs w:val="19"/>
          <w:color w:val="auto"/>
        </w:rPr>
        <w:t>. Stock Units granted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shall otherwise be subject to the terms of the Plan (including, without limitation, the provisions of Section 7 of the Plan). If Stock Unit Awards otherwise required pursuant to the Program would otherwise exceed any applicable share limit under Section 4.2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Stock Unit Award granted under the Program before the adoption of such amendment. The Board may amend, modify, suspend or terminate outstanding Stock Unit Awards; provided, however, that outstanding Stock Unit Awards shall not be amended, modified, suspended or terminated so as to impair any rights of the recipient of the award without the consent of such recipient. If any such amendment or modification to an outstanding Stock Unit Award has the result of accelerating the vesting of such award, then any election that had been made to defer receipt of payment with respect to any or all of the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the Program and awards granted hereunder. As provided in Section 3.2 of the Plan, any action taken by, or inaction of, the Administrator relating or pursuant to the Program and within its authority or under applicable law shall be within the absolute discretion of that entity or body and shall be conclusive and binding upon all persons. It is intended that the terms of the Program and all Stock Unit Awards granted under the Program will not result in the imposition of any tax liability pursuant to Section 409A of the Code. The Program and all Stock Unit Awards granted hereunder shall be construed and interpreted consistent with that intent.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397" w:right="3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ectPr>
          <w:pgSz w:w="11900" w:h="16838" w:orient="portrait"/>
          <w:cols w:equalWidth="0" w:num="1">
            <w:col w:w="11240"/>
          </w:cols>
          <w:pgMar w:left="320" w:top="87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Robert K. Eulau, certify that:</w:t>
      </w:r>
    </w:p>
    <w:p>
      <w:pPr>
        <w:spacing w:after="0" w:line="96" w:lineRule="exact"/>
        <w:rPr>
          <w:sz w:val="20"/>
          <w:szCs w:val="20"/>
          <w:color w:val="auto"/>
        </w:rPr>
      </w:pPr>
    </w:p>
    <w:p>
      <w:pPr>
        <w:ind w:left="500" w:hanging="178"/>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83" w:lineRule="exact"/>
        <w:rPr>
          <w:rFonts w:ascii="Arial" w:cs="Arial" w:eastAsia="Arial" w:hAnsi="Arial"/>
          <w:sz w:val="18"/>
          <w:szCs w:val="18"/>
          <w:color w:val="auto"/>
        </w:rPr>
      </w:pPr>
    </w:p>
    <w:p>
      <w:pPr>
        <w:jc w:val="both"/>
        <w:ind w:right="520" w:firstLine="322"/>
        <w:spacing w:after="0" w:line="357" w:lineRule="auto"/>
        <w:tabs>
          <w:tab w:leader="none" w:pos="49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right="480" w:firstLine="322"/>
        <w:spacing w:after="0" w:line="325" w:lineRule="auto"/>
        <w:tabs>
          <w:tab w:leader="none" w:pos="4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right="220" w:firstLine="322"/>
        <w:spacing w:after="0" w:line="253" w:lineRule="auto"/>
        <w:tabs>
          <w:tab w:leader="none" w:pos="4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right="460" w:firstLine="639"/>
        <w:spacing w:after="0" w:line="253" w:lineRule="auto"/>
        <w:tabs>
          <w:tab w:leader="none" w:pos="7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right="120" w:firstLine="639"/>
        <w:spacing w:after="0" w:line="253" w:lineRule="auto"/>
        <w:tabs>
          <w:tab w:leader="none" w:pos="8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firstLine="639"/>
        <w:spacing w:after="0" w:line="325" w:lineRule="auto"/>
        <w:tabs>
          <w:tab w:leader="none" w:pos="7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0" w:firstLine="639"/>
        <w:spacing w:after="0" w:line="253" w:lineRule="auto"/>
        <w:tabs>
          <w:tab w:leader="none" w:pos="8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right="220" w:firstLine="322"/>
        <w:spacing w:after="0" w:line="325" w:lineRule="auto"/>
        <w:tabs>
          <w:tab w:leader="none" w:pos="4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right="360" w:firstLine="639"/>
        <w:spacing w:after="0" w:line="262" w:lineRule="auto"/>
        <w:tabs>
          <w:tab w:leader="none" w:pos="7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right="320" w:firstLine="639"/>
        <w:spacing w:after="0" w:line="262" w:lineRule="auto"/>
        <w:tabs>
          <w:tab w:leader="none" w:pos="8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10160</wp:posOffset>
            </wp:positionV>
            <wp:extent cx="3132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Robert K. Eulau</w:t>
      </w:r>
    </w:p>
    <w:p>
      <w:pPr>
        <w:jc w:val="center"/>
        <w:ind w:left="624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24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ectPr>
          <w:pgSz w:w="11900" w:h="16838" w:orient="portrait"/>
          <w:cols w:equalWidth="0" w:num="1">
            <w:col w:w="11240"/>
          </w:cols>
          <w:pgMar w:left="320" w:top="873" w:right="339" w:bottom="1440" w:gutter="0" w:footer="0" w:header="0"/>
        </w:sectPr>
      </w:pPr>
    </w:p>
    <w:bookmarkStart w:id="102" w:name="page103"/>
    <w:bookmarkEnd w:id="102"/>
    <w:p>
      <w:pPr>
        <w:ind w:left="10340"/>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580" w:firstLine="322"/>
        <w:spacing w:after="0" w:line="325" w:lineRule="auto"/>
        <w:tabs>
          <w:tab w:leader="none" w:pos="52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October 1, 2021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10160</wp:posOffset>
            </wp:positionV>
            <wp:extent cx="3048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David V. Goeckeler</w:t>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p>
      <w:pPr>
        <w:sectPr>
          <w:pgSz w:w="11900" w:h="16838" w:orient="portrait"/>
          <w:cols w:equalWidth="0" w:num="1">
            <w:col w:w="11240"/>
          </w:cols>
          <w:pgMar w:left="320" w:top="873" w:right="339" w:bottom="1440" w:gutter="0" w:footer="0" w:header="0"/>
        </w:sectPr>
      </w:pPr>
    </w:p>
    <w:bookmarkStart w:id="103" w:name="page104"/>
    <w:bookmarkEnd w:id="103"/>
    <w:p>
      <w:pPr>
        <w:ind w:left="10340"/>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both"/>
        <w:ind w:right="60" w:firstLine="316"/>
        <w:spacing w:after="0" w:line="29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85" w:lineRule="exact"/>
        <w:rPr>
          <w:sz w:val="20"/>
          <w:szCs w:val="20"/>
          <w:color w:val="auto"/>
        </w:rPr>
      </w:pPr>
    </w:p>
    <w:p>
      <w:pPr>
        <w:ind w:right="580" w:firstLine="322"/>
        <w:spacing w:after="0" w:line="325" w:lineRule="auto"/>
        <w:tabs>
          <w:tab w:leader="none" w:pos="5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October 1, 2021 (the “Report”) fully complies with the requirements of Section 13(a) or Section 15(d), as applicable, of the Securities Exchange Act of 1934, as amended; and</w:t>
      </w:r>
    </w:p>
    <w:p>
      <w:pPr>
        <w:spacing w:after="0" w:line="2" w:lineRule="exact"/>
        <w:rPr>
          <w:rFonts w:ascii="Arial" w:cs="Arial" w:eastAsia="Arial" w:hAnsi="Arial"/>
          <w:sz w:val="16"/>
          <w:szCs w:val="16"/>
          <w:color w:val="auto"/>
        </w:rPr>
      </w:pPr>
    </w:p>
    <w:p>
      <w:pPr>
        <w:ind w:left="580" w:hanging="258"/>
        <w:spacing w:after="0"/>
        <w:tabs>
          <w:tab w:leader="none" w:pos="5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Robert K. Eulau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10160</wp:posOffset>
            </wp:positionV>
            <wp:extent cx="30905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Robert K. Eulau</w:t>
      </w:r>
    </w:p>
    <w:p>
      <w:pPr>
        <w:jc w:val="center"/>
        <w:ind w:left="6300"/>
        <w:spacing w:after="0" w:line="235" w:lineRule="auto"/>
        <w:rPr>
          <w:sz w:val="20"/>
          <w:szCs w:val="20"/>
          <w:color w:val="auto"/>
        </w:rPr>
      </w:pPr>
      <w:r>
        <w:rPr>
          <w:rFonts w:ascii="Arial" w:cs="Arial" w:eastAsia="Arial" w:hAnsi="Arial"/>
          <w:sz w:val="18"/>
          <w:szCs w:val="18"/>
          <w:i w:val="1"/>
          <w:iCs w:val="1"/>
          <w:color w:val="auto"/>
        </w:rPr>
        <w:t>Executive Vice President and Chief Financial Officer</w:t>
      </w:r>
    </w:p>
    <w:p>
      <w:pPr>
        <w:jc w:val="center"/>
        <w:ind w:left="6300"/>
        <w:spacing w:after="0"/>
        <w:rPr>
          <w:sz w:val="20"/>
          <w:szCs w:val="20"/>
          <w:color w:val="auto"/>
        </w:rPr>
      </w:pPr>
      <w:r>
        <w:rPr>
          <w:rFonts w:ascii="Arial" w:cs="Arial" w:eastAsia="Arial" w:hAnsi="Arial"/>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2021</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lvl w:ilvl="1">
      <w:lvlJc w:val="left"/>
      <w:lvlText w:val="%2"/>
      <w:numFmt w:val="decimal"/>
      <w:start w:val="104"/>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2"/>
    </w:lvl>
    <w:lvl w:ilvl="1">
      <w:lvlJc w:val="left"/>
      <w:lvlText w:val="(%2)"/>
      <w:numFmt w:val="lowerLetter"/>
      <w:start w:val="1"/>
    </w:lvl>
  </w:abstractNum>
  <w:abstractNum w:abstractNumId="10">
    <w:nsid w:val="579478FE"/>
    <w:multiLevelType w:val="hybridMultilevel"/>
    <w:lvl w:ilvl="0">
      <w:lvlJc w:val="left"/>
      <w:lvlText w:val="(%1)"/>
      <w:numFmt w:val="lowerLetter"/>
      <w:start w:val="3"/>
    </w:lvl>
  </w:abstractNum>
  <w:abstractNum w:abstractNumId="11">
    <w:nsid w:val="749ABB43"/>
    <w:multiLevelType w:val="hybridMultilevel"/>
    <w:lvl w:ilvl="0">
      <w:lvlJc w:val="left"/>
      <w:lvlText w:val="(%1)"/>
      <w:numFmt w:val="lowerRoman"/>
      <w:start w:val="1"/>
    </w:lvl>
  </w:abstractNum>
  <w:abstractNum w:abstractNumId="12">
    <w:nsid w:val="3DC240FB"/>
    <w:multiLevelType w:val="hybridMultilevel"/>
    <w:lvl w:ilvl="0">
      <w:lvlJc w:val="left"/>
      <w:lvlText w:val="(%1)"/>
      <w:numFmt w:val="lowerLetter"/>
      <w:start w:val="4"/>
    </w:lvl>
  </w:abstractNum>
  <w:abstractNum w:abstractNumId="13">
    <w:nsid w:val="1BA026FA"/>
    <w:multiLevelType w:val="hybridMultilevel"/>
    <w:lvl w:ilvl="0">
      <w:lvlJc w:val="left"/>
      <w:lvlText w:val="(%1)"/>
      <w:numFmt w:val="lowerRoman"/>
      <w:start w:val="1"/>
    </w:lvl>
  </w:abstractNum>
  <w:abstractNum w:abstractNumId="14">
    <w:nsid w:val="79A1DEAA"/>
    <w:multiLevelType w:val="hybridMultilevel"/>
    <w:lvl w:ilvl="0">
      <w:lvlJc w:val="left"/>
      <w:lvlText w:val="%1"/>
      <w:numFmt w:val="decimal"/>
      <w:start w:val="1"/>
    </w:lvl>
    <w:lvl w:ilvl="1">
      <w:lvlJc w:val="left"/>
      <w:lvlText w:val="(%2)"/>
      <w:numFmt w:val="lowerLetter"/>
      <w:start w:val="5"/>
    </w:lvl>
  </w:abstractNum>
  <w:abstractNum w:abstractNumId="15">
    <w:nsid w:val="75C6C33A"/>
    <w:multiLevelType w:val="hybridMultilevel"/>
    <w:lvl w:ilvl="0">
      <w:lvlJc w:val="left"/>
      <w:lvlText w:val="%1."/>
      <w:numFmt w:val="decimal"/>
      <w:start w:val="3"/>
    </w:lvl>
    <w:lvl w:ilvl="1">
      <w:lvlJc w:val="left"/>
      <w:lvlText w:val="(%2)"/>
      <w:numFmt w:val="lowerLetter"/>
      <w:start w:val="1"/>
    </w:lvl>
  </w:abstractNum>
  <w:abstractNum w:abstractNumId="16">
    <w:nsid w:val="12E685FB"/>
    <w:multiLevelType w:val="hybridMultilevel"/>
    <w:lvl w:ilvl="0">
      <w:lvlJc w:val="left"/>
      <w:lvlText w:val="%1."/>
      <w:numFmt w:val="decimal"/>
      <w:start w:val="4"/>
    </w:lvl>
  </w:abstractNum>
  <w:abstractNum w:abstractNumId="17">
    <w:nsid w:val="70C6A529"/>
    <w:multiLevelType w:val="hybridMultilevel"/>
    <w:lvl w:ilvl="0">
      <w:lvlJc w:val="left"/>
      <w:lvlText w:val="%1."/>
      <w:numFmt w:val="decimal"/>
      <w:start w:val="5"/>
    </w:lvl>
  </w:abstractNum>
  <w:abstractNum w:abstractNumId="18">
    <w:nsid w:val="520EEDD1"/>
    <w:multiLevelType w:val="hybridMultilevel"/>
    <w:lvl w:ilvl="0">
      <w:lvlJc w:val="left"/>
      <w:lvlText w:val="%1."/>
      <w:numFmt w:val="decimal"/>
      <w:start w:val="6"/>
    </w:lvl>
  </w:abstractNum>
  <w:abstractNum w:abstractNumId="19">
    <w:nsid w:val="374A3FE6"/>
    <w:multiLevelType w:val="hybridMultilevel"/>
    <w:lvl w:ilvl="0">
      <w:lvlJc w:val="left"/>
      <w:lvlText w:val="%1."/>
      <w:numFmt w:val="decimal"/>
      <w:start w:val="7"/>
    </w:lvl>
  </w:abstractNum>
  <w:abstractNum w:abstractNumId="20">
    <w:nsid w:val="4F4EF005"/>
    <w:multiLevelType w:val="hybridMultilevel"/>
    <w:lvl w:ilvl="0">
      <w:lvlJc w:val="left"/>
      <w:lvlText w:val="%1."/>
      <w:numFmt w:val="decimal"/>
      <w:start w:val="8"/>
    </w:lvl>
  </w:abstractNum>
  <w:abstractNum w:abstractNumId="21">
    <w:nsid w:val="23F9C13C"/>
    <w:multiLevelType w:val="hybridMultilevel"/>
    <w:lvl w:ilvl="0">
      <w:lvlJc w:val="left"/>
      <w:lvlText w:val="%1."/>
      <w:numFmt w:val="decimal"/>
      <w:start w:val="9"/>
    </w:lvl>
    <w:lvl w:ilvl="1">
      <w:lvlJc w:val="left"/>
      <w:lvlText w:val="(%2)"/>
      <w:numFmt w:val="lowerLetter"/>
      <w:start w:val="1"/>
    </w:lvl>
  </w:abstractNum>
  <w:abstractNum w:abstractNumId="22">
    <w:nsid w:val="649BB77C"/>
    <w:multiLevelType w:val="hybridMultilevel"/>
    <w:lvl w:ilvl="0">
      <w:lvlJc w:val="left"/>
      <w:lvlText w:val="(%1)"/>
      <w:numFmt w:val="lowerLetter"/>
      <w:start w:val="2"/>
    </w:lvl>
  </w:abstractNum>
  <w:abstractNum w:abstractNumId="23">
    <w:nsid w:val="275AC794"/>
    <w:multiLevelType w:val="hybridMultilevel"/>
    <w:lvl w:ilvl="0">
      <w:lvlJc w:val="left"/>
      <w:lvlText w:val="%1."/>
      <w:numFmt w:val="decimal"/>
      <w:start w:val="10"/>
    </w:lvl>
  </w:abstractNum>
  <w:abstractNum w:abstractNumId="24">
    <w:nsid w:val="39386575"/>
    <w:multiLevelType w:val="hybridMultilevel"/>
    <w:lvl w:ilvl="0">
      <w:lvlJc w:val="left"/>
      <w:lvlText w:val="%1."/>
      <w:numFmt w:val="decimal"/>
      <w:start w:val="11"/>
    </w:lvl>
  </w:abstractNum>
  <w:abstractNum w:abstractNumId="25">
    <w:nsid w:val="1CF10FD8"/>
    <w:multiLevelType w:val="hybridMultilevel"/>
    <w:lvl w:ilvl="0">
      <w:lvlJc w:val="left"/>
      <w:lvlText w:val="%1."/>
      <w:numFmt w:val="decimal"/>
      <w:start w:val="12"/>
    </w:lvl>
  </w:abstractNum>
  <w:abstractNum w:abstractNumId="26">
    <w:nsid w:val="180115BE"/>
    <w:multiLevelType w:val="hybridMultilevel"/>
    <w:lvl w:ilvl="0">
      <w:lvlJc w:val="left"/>
      <w:lvlText w:val="%1."/>
      <w:numFmt w:val="decimal"/>
      <w:start w:val="13"/>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3"/>
    </w:lvl>
  </w:abstractNum>
  <w:abstractNum w:abstractNumId="29">
    <w:nsid w:val="354FE9F9"/>
    <w:multiLevelType w:val="hybridMultilevel"/>
    <w:lvl w:ilvl="0">
      <w:lvlJc w:val="left"/>
      <w:lvlText w:val="%1"/>
      <w:numFmt w:val="decimal"/>
      <w:start w:val="1"/>
    </w:lvl>
    <w:lvl w:ilvl="1">
      <w:lvlJc w:val="left"/>
      <w:lvlText w:val="(%2)"/>
      <w:numFmt w:val="lowerLetter"/>
      <w:start w:val="1"/>
    </w:lvl>
  </w:abstractNum>
  <w:abstractNum w:abstractNumId="30">
    <w:nsid w:val="15B5AF5C"/>
    <w:multiLevelType w:val="hybridMultilevel"/>
    <w:lvl w:ilvl="0">
      <w:lvlJc w:val="left"/>
      <w:lvlText w:val="%1."/>
      <w:numFmt w:val="decimal"/>
      <w:start w:val="4"/>
    </w:lvl>
    <w:lvl w:ilvl="1">
      <w:lvlJc w:val="left"/>
      <w:lvlText w:val="%2"/>
      <w:numFmt w:val="lowerLetter"/>
      <w:start w:val="1"/>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decimal"/>
      <w:start w:val="1"/>
    </w:lvl>
    <w:lvl w:ilvl="1">
      <w:lvlJc w:val="left"/>
      <w:lvlText w:val="(%2)"/>
      <w:numFmt w:val="lowerLetter"/>
      <w:start w:val="7"/>
    </w:lvl>
  </w:abstractNum>
  <w:abstractNum w:abstractNumId="33">
    <w:nsid w:val="10233C99"/>
    <w:multiLevelType w:val="hybridMultilevel"/>
    <w:lvl w:ilvl="0">
      <w:lvlJc w:val="left"/>
      <w:lvlText w:val="%1."/>
      <w:numFmt w:val="decimal"/>
      <w:start w:val="5"/>
    </w:lvl>
    <w:lvl w:ilvl="1">
      <w:lvlJc w:val="left"/>
      <w:lvlText w:val="%2"/>
      <w:numFmt w:val="lowerLetter"/>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2"/>
    </w:lvl>
    <w:lvl w:ilvl="1">
      <w:lvlJc w:val="left"/>
      <w:lvlText w:val="(%2)"/>
      <w:numFmt w:val="lowerLetter"/>
      <w:start w:val="1"/>
    </w:lvl>
  </w:abstractNum>
  <w:abstractNum w:abstractNumId="36">
    <w:nsid w:val="7E0C57B1"/>
    <w:multiLevelType w:val="hybridMultilevel"/>
    <w:lvl w:ilvl="0">
      <w:lvlJc w:val="left"/>
      <w:lvlText w:val="(%1)"/>
      <w:numFmt w:val="lowerLetter"/>
      <w:start w:val="3"/>
    </w:lvl>
  </w:abstractNum>
  <w:abstractNum w:abstractNumId="37">
    <w:nsid w:val="77AE35EB"/>
    <w:multiLevelType w:val="hybridMultilevel"/>
    <w:lvl w:ilvl="0">
      <w:lvlJc w:val="left"/>
      <w:lvlText w:val="(%1)"/>
      <w:numFmt w:val="lowerRoman"/>
      <w:start w:val="1"/>
    </w:lvl>
  </w:abstractNum>
  <w:abstractNum w:abstractNumId="38">
    <w:nsid w:val="579BE4F1"/>
    <w:multiLevelType w:val="hybridMultilevel"/>
    <w:lvl w:ilvl="0">
      <w:lvlJc w:val="left"/>
      <w:lvlText w:val="(%1)"/>
      <w:numFmt w:val="lowerLetter"/>
      <w:start w:val="4"/>
    </w:lvl>
  </w:abstractNum>
  <w:abstractNum w:abstractNumId="39">
    <w:nsid w:val="310C50B3"/>
    <w:multiLevelType w:val="hybridMultilevel"/>
    <w:lvl w:ilvl="0">
      <w:lvlJc w:val="left"/>
      <w:lvlText w:val="(%1)"/>
      <w:numFmt w:val="lowerRoman"/>
      <w:start w:val="1"/>
    </w:lvl>
  </w:abstractNum>
  <w:abstractNum w:abstractNumId="40">
    <w:nsid w:val="5FF87E05"/>
    <w:multiLevelType w:val="hybridMultilevel"/>
    <w:lvl w:ilvl="0">
      <w:lvlJc w:val="left"/>
      <w:lvlText w:val="%1"/>
      <w:numFmt w:val="decimal"/>
      <w:start w:val="1"/>
    </w:lvl>
    <w:lvl w:ilvl="1">
      <w:lvlJc w:val="left"/>
      <w:lvlText w:val="(%2)"/>
      <w:numFmt w:val="lowerLetter"/>
      <w:start w:val="5"/>
    </w:lvl>
  </w:abstractNum>
  <w:abstractNum w:abstractNumId="41">
    <w:nsid w:val="2F305DEF"/>
    <w:multiLevelType w:val="hybridMultilevel"/>
    <w:lvl w:ilvl="0">
      <w:lvlJc w:val="left"/>
      <w:lvlText w:val="%1."/>
      <w:numFmt w:val="decimal"/>
      <w:start w:val="3"/>
    </w:lvl>
    <w:lvl w:ilvl="1">
      <w:lvlJc w:val="left"/>
      <w:lvlText w:val="(%2)"/>
      <w:numFmt w:val="lowerLetter"/>
      <w:start w:val="1"/>
    </w:lvl>
  </w:abstractNum>
  <w:abstractNum w:abstractNumId="42">
    <w:nsid w:val="25A70BF7"/>
    <w:multiLevelType w:val="hybridMultilevel"/>
    <w:lvl w:ilvl="0">
      <w:lvlJc w:val="left"/>
      <w:lvlText w:val="%1."/>
      <w:numFmt w:val="decimal"/>
      <w:start w:val="4"/>
    </w:lvl>
  </w:abstractNum>
  <w:abstractNum w:abstractNumId="43">
    <w:nsid w:val="1DBABF00"/>
    <w:multiLevelType w:val="hybridMultilevel"/>
    <w:lvl w:ilvl="0">
      <w:lvlJc w:val="left"/>
      <w:lvlText w:val="%1."/>
      <w:numFmt w:val="decimal"/>
      <w:start w:val="5"/>
    </w:lvl>
  </w:abstractNum>
  <w:abstractNum w:abstractNumId="44">
    <w:nsid w:val="4AD084E9"/>
    <w:multiLevelType w:val="hybridMultilevel"/>
    <w:lvl w:ilvl="0">
      <w:lvlJc w:val="left"/>
      <w:lvlText w:val="%1."/>
      <w:numFmt w:val="decimal"/>
      <w:start w:val="6"/>
    </w:lvl>
  </w:abstractNum>
  <w:abstractNum w:abstractNumId="45">
    <w:nsid w:val="1F48EAA1"/>
    <w:multiLevelType w:val="hybridMultilevel"/>
    <w:lvl w:ilvl="0">
      <w:lvlJc w:val="left"/>
      <w:lvlText w:val="%1."/>
      <w:numFmt w:val="decimal"/>
      <w:start w:val="7"/>
    </w:lvl>
  </w:abstractNum>
  <w:abstractNum w:abstractNumId="46">
    <w:nsid w:val="1381823A"/>
    <w:multiLevelType w:val="hybridMultilevel"/>
    <w:lvl w:ilvl="0">
      <w:lvlJc w:val="left"/>
      <w:lvlText w:val="%1."/>
      <w:numFmt w:val="decimal"/>
      <w:start w:val="8"/>
    </w:lvl>
  </w:abstractNum>
  <w:abstractNum w:abstractNumId="47">
    <w:nsid w:val="5DB70AE5"/>
    <w:multiLevelType w:val="hybridMultilevel"/>
    <w:lvl w:ilvl="0">
      <w:lvlJc w:val="left"/>
      <w:lvlText w:val="%1."/>
      <w:numFmt w:val="decimal"/>
      <w:start w:val="9"/>
    </w:lvl>
    <w:lvl w:ilvl="1">
      <w:lvlJc w:val="left"/>
      <w:lvlText w:val="(%2)"/>
      <w:numFmt w:val="lowerLetter"/>
      <w:start w:val="1"/>
    </w:lvl>
  </w:abstractNum>
  <w:abstractNum w:abstractNumId="48">
    <w:nsid w:val="100F8FCA"/>
    <w:multiLevelType w:val="hybridMultilevel"/>
    <w:lvl w:ilvl="0">
      <w:lvlJc w:val="left"/>
      <w:lvlText w:val="(%1)"/>
      <w:numFmt w:val="lowerLetter"/>
      <w:start w:val="2"/>
    </w:lvl>
  </w:abstractNum>
  <w:abstractNum w:abstractNumId="49">
    <w:nsid w:val="6590700B"/>
    <w:multiLevelType w:val="hybridMultilevel"/>
    <w:lvl w:ilvl="0">
      <w:lvlJc w:val="left"/>
      <w:lvlText w:val="%1."/>
      <w:numFmt w:val="decimal"/>
      <w:start w:val="10"/>
    </w:lvl>
  </w:abstractNum>
  <w:abstractNum w:abstractNumId="50">
    <w:nsid w:val="15014ACB"/>
    <w:multiLevelType w:val="hybridMultilevel"/>
    <w:lvl w:ilvl="0">
      <w:lvlJc w:val="left"/>
      <w:lvlText w:val="%1."/>
      <w:numFmt w:val="decimal"/>
      <w:start w:val="11"/>
    </w:lvl>
  </w:abstractNum>
  <w:abstractNum w:abstractNumId="51">
    <w:nsid w:val="5F5E7FD0"/>
    <w:multiLevelType w:val="hybridMultilevel"/>
    <w:lvl w:ilvl="0">
      <w:lvlJc w:val="left"/>
      <w:lvlText w:val="%1."/>
      <w:numFmt w:val="decimal"/>
      <w:start w:val="12"/>
    </w:lvl>
  </w:abstractNum>
  <w:abstractNum w:abstractNumId="52">
    <w:nsid w:val="98A3148"/>
    <w:multiLevelType w:val="hybridMultilevel"/>
    <w:lvl w:ilvl="0">
      <w:lvlJc w:val="left"/>
      <w:lvlText w:val="%1."/>
      <w:numFmt w:val="decimal"/>
      <w:start w:val="13"/>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3"/>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decimal"/>
      <w:start w:val="1"/>
    </w:lvl>
    <w:lvl w:ilvl="1">
      <w:lvlJc w:val="left"/>
      <w:lvlText w:val="(%2)"/>
      <w:numFmt w:val="lowerLetter"/>
      <w:start w:val="7"/>
    </w:lvl>
  </w:abstractNum>
  <w:abstractNum w:abstractNumId="58">
    <w:nsid w:val="661E3F1E"/>
    <w:multiLevelType w:val="hybridMultilevel"/>
    <w:lvl w:ilvl="0">
      <w:lvlJc w:val="left"/>
      <w:lvlText w:val="%1."/>
      <w:numFmt w:val="decimal"/>
      <w:start w:val="5"/>
    </w:lvl>
    <w:lvl w:ilvl="1">
      <w:lvlJc w:val="left"/>
      <w:lvlText w:val="%2"/>
      <w:numFmt w:val="lowerLetter"/>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2"/>
    </w:lvl>
    <w:lvl w:ilvl="1">
      <w:lvlJc w:val="left"/>
      <w:lvlText w:val="(%2)"/>
      <w:numFmt w:val="lowerLetter"/>
      <w:start w:val="1"/>
    </w:lvl>
  </w:abstractNum>
  <w:abstractNum w:abstractNumId="61">
    <w:nsid w:val="7BD3EE7B"/>
    <w:multiLevelType w:val="hybridMultilevel"/>
    <w:lvl w:ilvl="0">
      <w:lvlJc w:val="left"/>
      <w:lvlText w:val="(%1)"/>
      <w:numFmt w:val="lowerRoman"/>
      <w:start w:val="1"/>
    </w:lvl>
  </w:abstractNum>
  <w:abstractNum w:abstractNumId="62">
    <w:nsid w:val="51D9C564"/>
    <w:multiLevelType w:val="hybridMultilevel"/>
    <w:lvl w:ilvl="0">
      <w:lvlJc w:val="left"/>
      <w:lvlText w:val="(%1)"/>
      <w:numFmt w:val="lowerRoman"/>
      <w:start w:val="2"/>
    </w:lvl>
  </w:abstractNum>
  <w:abstractNum w:abstractNumId="63">
    <w:nsid w:val="613EFDC5"/>
    <w:multiLevelType w:val="hybridMultilevel"/>
    <w:lvl w:ilvl="0">
      <w:lvlJc w:val="left"/>
      <w:lvlText w:val="(%1)"/>
      <w:numFmt w:val="lowerLetter"/>
      <w:start w:val="4"/>
    </w:lvl>
  </w:abstractNum>
  <w:abstractNum w:abstractNumId="64">
    <w:nsid w:val="BF72B14"/>
    <w:multiLevelType w:val="hybridMultilevel"/>
    <w:lvl w:ilvl="0">
      <w:lvlJc w:val="left"/>
      <w:lvlText w:val="%1."/>
      <w:numFmt w:val="decimal"/>
      <w:start w:val="3"/>
    </w:lvl>
    <w:lvl w:ilvl="1">
      <w:lvlJc w:val="left"/>
      <w:lvlText w:val="(%2)"/>
      <w:numFmt w:val="lowerLetter"/>
      <w:start w:val="1"/>
    </w:lvl>
  </w:abstractNum>
  <w:abstractNum w:abstractNumId="65">
    <w:nsid w:val="11447B73"/>
    <w:multiLevelType w:val="hybridMultilevel"/>
    <w:lvl w:ilvl="0">
      <w:lvlJc w:val="left"/>
      <w:lvlText w:val="%1."/>
      <w:numFmt w:val="decimal"/>
      <w:start w:val="5"/>
    </w:lvl>
  </w:abstractNum>
  <w:abstractNum w:abstractNumId="66">
    <w:nsid w:val="42963E5A"/>
    <w:multiLevelType w:val="hybridMultilevel"/>
    <w:lvl w:ilvl="0">
      <w:lvlJc w:val="left"/>
      <w:lvlText w:val="%1."/>
      <w:numFmt w:val="decimal"/>
      <w:start w:val="6"/>
    </w:lvl>
  </w:abstractNum>
  <w:abstractNum w:abstractNumId="67">
    <w:nsid w:val="A0382C5"/>
    <w:multiLevelType w:val="hybridMultilevel"/>
    <w:lvl w:ilvl="0">
      <w:lvlJc w:val="left"/>
      <w:lvlText w:val="%1."/>
      <w:numFmt w:val="decimal"/>
      <w:start w:val="7"/>
    </w:lvl>
  </w:abstractNum>
  <w:abstractNum w:abstractNumId="68">
    <w:nsid w:val="8F2B15E"/>
    <w:multiLevelType w:val="hybridMultilevel"/>
    <w:lvl w:ilvl="0">
      <w:lvlJc w:val="left"/>
      <w:lvlText w:val="%1."/>
      <w:numFmt w:val="decimal"/>
      <w:start w:val="8"/>
    </w:lvl>
  </w:abstractNum>
  <w:abstractNum w:abstractNumId="69">
    <w:nsid w:val="1A32234B"/>
    <w:multiLevelType w:val="hybridMultilevel"/>
    <w:lvl w:ilvl="0">
      <w:lvlJc w:val="left"/>
      <w:lvlText w:val="%1."/>
      <w:numFmt w:val="decimal"/>
      <w:start w:val="9"/>
    </w:lvl>
    <w:lvl w:ilvl="1">
      <w:lvlJc w:val="left"/>
      <w:lvlText w:val="(%2)"/>
      <w:numFmt w:val="lowerLetter"/>
      <w:start w:val="1"/>
    </w:lvl>
  </w:abstractNum>
  <w:abstractNum w:abstractNumId="70">
    <w:nsid w:val="3B0FD379"/>
    <w:multiLevelType w:val="hybridMultilevel"/>
    <w:lvl w:ilvl="0">
      <w:lvlJc w:val="left"/>
      <w:lvlText w:val="%1"/>
      <w:numFmt w:val="decimal"/>
      <w:start w:val="1"/>
    </w:lvl>
    <w:lvl w:ilvl="1">
      <w:lvlJc w:val="left"/>
      <w:lvlText w:val="(%2)"/>
      <w:numFmt w:val="lowerLetter"/>
      <w:start w:val="7"/>
    </w:lvl>
  </w:abstractNum>
  <w:abstractNum w:abstractNumId="71">
    <w:nsid w:val="68EB2F63"/>
    <w:multiLevelType w:val="hybridMultilevel"/>
    <w:lvl w:ilvl="0">
      <w:lvlJc w:val="left"/>
      <w:lvlText w:val="%1."/>
      <w:numFmt w:val="decimal"/>
      <w:start w:val="10"/>
    </w:lvl>
    <w:lvl w:ilvl="1">
      <w:lvlJc w:val="left"/>
      <w:lvlText w:val="%2"/>
      <w:numFmt w:val="lowerLetter"/>
      <w:start w:val="1"/>
    </w:lvl>
  </w:abstractNum>
  <w:abstractNum w:abstractNumId="72">
    <w:nsid w:val="4962813B"/>
    <w:multiLevelType w:val="hybridMultilevel"/>
    <w:lvl w:ilvl="0">
      <w:lvlJc w:val="left"/>
      <w:lvlText w:val="%1."/>
      <w:numFmt w:val="decimal"/>
      <w:start w:val="11"/>
    </w:lvl>
  </w:abstractNum>
  <w:abstractNum w:abstractNumId="73">
    <w:nsid w:val="60B6DF70"/>
    <w:multiLevelType w:val="hybridMultilevel"/>
    <w:lvl w:ilvl="0">
      <w:lvlJc w:val="left"/>
      <w:lvlText w:val="%1."/>
      <w:numFmt w:val="decimal"/>
      <w:start w:val="12"/>
    </w:lvl>
  </w:abstractNum>
  <w:abstractNum w:abstractNumId="74">
    <w:nsid w:val="6A5EE64"/>
    <w:multiLevelType w:val="hybridMultilevel"/>
    <w:lvl w:ilvl="0">
      <w:lvlJc w:val="left"/>
      <w:lvlText w:val="%1"/>
      <w:numFmt w:val="decimal"/>
      <w:start w:val="1"/>
    </w:lvl>
    <w:lvl w:ilvl="1">
      <w:lvlJc w:val="left"/>
      <w:lvlText w:val="(%2)"/>
      <w:numFmt w:val="lowerLetter"/>
      <w:start w:val="1"/>
    </w:lvl>
  </w:abstractNum>
  <w:abstractNum w:abstractNumId="75">
    <w:nsid w:val="14330624"/>
    <w:multiLevelType w:val="hybridMultilevel"/>
    <w:lvl w:ilvl="0">
      <w:lvlJc w:val="left"/>
      <w:lvlText w:val="%1."/>
      <w:numFmt w:val="decimal"/>
      <w:start w:val="4"/>
    </w:lvl>
    <w:lvl w:ilvl="1">
      <w:lvlJc w:val="left"/>
      <w:lvlText w:val="%2"/>
      <w:numFmt w:val="lowerLetter"/>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decimal"/>
      <w:start w:val="1"/>
    </w:lvl>
    <w:lvl w:ilvl="1">
      <w:lvlJc w:val="left"/>
      <w:lvlText w:val="(%2)"/>
      <w:numFmt w:val="lowerLetter"/>
      <w:start w:val="7"/>
    </w:lvl>
  </w:abstractNum>
  <w:abstractNum w:abstractNumId="78">
    <w:nsid w:val="71EA1109"/>
    <w:multiLevelType w:val="hybridMultilevel"/>
    <w:lvl w:ilvl="0">
      <w:lvlJc w:val="left"/>
      <w:lvlText w:val="%1."/>
      <w:numFmt w:val="decimal"/>
      <w:start w:val="5"/>
    </w:lvl>
    <w:lvl w:ilvl="1">
      <w:lvlJc w:val="left"/>
      <w:lvlText w:val="%2"/>
      <w:numFmt w:val="lowerLetter"/>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5"/>
    </w:lvl>
  </w:abstractNum>
  <w:abstractNum w:abstractNumId="81">
    <w:nsid w:val="6EB5BD4"/>
    <w:multiLevelType w:val="hybridMultilevel"/>
    <w:lvl w:ilvl="0">
      <w:lvlJc w:val="left"/>
      <w:lvlText w:val="%1."/>
      <w:numFmt w:val="decimal"/>
      <w:start w:val="6"/>
    </w:lvl>
    <w:lvl w:ilvl="1">
      <w:lvlJc w:val="left"/>
      <w:lvlText w:val="•"/>
      <w:numFmt w:val="bullet"/>
      <w:start w:val="1"/>
    </w:lvl>
  </w:abstractNum>
  <w:abstractNum w:abstractNumId="82">
    <w:nsid w:val="6F6DD9AC"/>
    <w:multiLevelType w:val="hybridMultilevel"/>
    <w:lvl w:ilvl="0">
      <w:lvlJc w:val="left"/>
      <w:lvlText w:val="%1."/>
      <w:numFmt w:val="decimal"/>
      <w:start w:val="9"/>
    </w:lvl>
  </w:abstractNum>
  <w:abstractNum w:abstractNumId="83">
    <w:nsid w:val="94211F2"/>
    <w:multiLevelType w:val="hybridMultilevel"/>
    <w:lvl w:ilvl="0">
      <w:lvlJc w:val="left"/>
      <w:lvlText w:val="%1."/>
      <w:numFmt w:val="decimal"/>
      <w:start w:val="1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8" Type="http://schemas.openxmlformats.org/officeDocument/2006/relationships/hyperlink" Target="http://www.sec.gov/Archives/edgar/data/106040/000095013706001502/a17011exv3w1.htm" TargetMode="External"/><Relationship Id="rId69" Type="http://schemas.openxmlformats.org/officeDocument/2006/relationships/hyperlink" Target="https://www.sec.gov/Archives/edgar/data/106040/000119312521041457/d128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2021-11-04T15:24:30Z</dcterms:created>
  <dcterms:modified xsi:type="dcterms:W3CDTF">2021-11-04T15:24:30Z</dcterms:modified>
</cp:coreProperties>
</file>