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28, 2018</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175260</wp:posOffset>
            </wp:positionV>
            <wp:extent cx="296735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tcPr>
          <w:p>
            <w:pPr>
              <w:jc w:val="center"/>
              <w:ind w:right="4149"/>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tcPr>
          <w:p>
            <w:pPr>
              <w:jc w:val="center"/>
              <w:ind w:right="4149"/>
              <w:spacing w:after="0"/>
              <w:rPr>
                <w:sz w:val="20"/>
                <w:szCs w:val="20"/>
                <w:color w:val="auto"/>
              </w:rPr>
            </w:pPr>
            <w:r>
              <w:rPr>
                <w:rFonts w:ascii="Arial" w:cs="Arial" w:eastAsia="Arial" w:hAnsi="Arial"/>
                <w:sz w:val="14"/>
                <w:szCs w:val="14"/>
                <w:b w:val="1"/>
                <w:bCs w:val="1"/>
                <w:color w:val="auto"/>
                <w:w w:val="95"/>
              </w:rPr>
              <w:t>5601 Great Oaks Parkway</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6200" w:type="dxa"/>
            <w:vAlign w:val="bottom"/>
          </w:tcPr>
          <w:p>
            <w:pPr>
              <w:jc w:val="center"/>
              <w:ind w:right="4169"/>
              <w:spacing w:after="0"/>
              <w:rPr>
                <w:sz w:val="20"/>
                <w:szCs w:val="20"/>
                <w:color w:val="auto"/>
              </w:rPr>
            </w:pPr>
            <w:r>
              <w:rPr>
                <w:rFonts w:ascii="Arial" w:cs="Arial" w:eastAsia="Arial" w:hAnsi="Arial"/>
                <w:sz w:val="14"/>
                <w:szCs w:val="14"/>
                <w:b w:val="1"/>
                <w:bCs w:val="1"/>
                <w:color w:val="auto"/>
                <w:w w:val="92"/>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3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74" w:right="259" w:bottom="1440" w:gutter="0" w:footer="0" w:header="0"/>
        </w:sectPr>
      </w:pPr>
    </w:p>
    <w:p>
      <w:pPr>
        <w:spacing w:after="0" w:line="98" w:lineRule="exact"/>
        <w:rPr>
          <w:sz w:val="24"/>
          <w:szCs w:val="24"/>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2240" w:space="720"/>
            <w:col w:w="1420" w:space="720"/>
            <w:col w:w="1380" w:space="720"/>
            <w:col w:w="1580" w:space="720"/>
            <w:col w:w="1900"/>
          </w:cols>
          <w:pgMar w:left="240" w:top="274" w:right="259" w:bottom="1440" w:gutter="0" w:footer="0" w:header="0"/>
          <w:type w:val="continuous"/>
        </w:sectPr>
      </w:pPr>
    </w:p>
    <w:p>
      <w:pPr>
        <w:spacing w:after="0" w:line="356"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the close of business on October 30, 2018, 289,424,688 shares of common stock, par value $0.01 per share, were outstanding.</w:t>
      </w:r>
    </w:p>
    <w:p>
      <w:pPr>
        <w:sectPr>
          <w:pgSz w:w="11900" w:h="16838" w:orient="portrait"/>
          <w:cols w:equalWidth="0" w:num="1">
            <w:col w:w="11400"/>
          </w:cols>
          <w:pgMar w:left="240" w:top="27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September 28, 2018 and June 29, 2018</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Condensed Consolidated Statements of Operations — Three Months Ended September 28, 2018 and September 29,</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1"/>
              </w:rPr>
              <w:t>Condensed Consolidated Statements of Comprehensive Income — Three Months Ended September 28, 2018 and</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September 29, 2017</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Flows — Three Months Ended September 28, 2018 and September</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29, 2017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55</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56</w:t>
              </w:r>
            </w:hyperlink>
          </w:p>
        </w:tc>
        <w:tc>
          <w:tcPr>
            <w:tcW w:w="0" w:type="dxa"/>
            <w:vAlign w:val="bottom"/>
          </w:tcPr>
          <w:p>
            <w:pPr>
              <w:spacing w:after="0"/>
              <w:rPr>
                <w:sz w:val="1"/>
                <w:szCs w:val="1"/>
                <w:color w:val="auto"/>
              </w:rPr>
            </w:pPr>
          </w:p>
        </w:tc>
      </w:tr>
      <w:tr>
        <w:trPr>
          <w:trHeight w:val="567"/>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57</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jc w:val="both"/>
        <w:ind w:right="500" w:firstLine="324"/>
        <w:spacing w:after="0" w:line="221" w:lineRule="exact"/>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2"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Western Digital, WD, SanDisk, Tegile, and Upthere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expectations regarding our Flash Ventures joint venture with Toshiba Memory Corporation and regarding our flash output and the flash industry;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future results of operations;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impact of the Tax Cuts and Jobs Act enacted on December 22, 2017 on the Company;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September 28,</w:t>
      </w:r>
      <w:r>
        <w:rPr>
          <w:sz w:val="20"/>
          <w:szCs w:val="20"/>
          <w:color w:val="auto"/>
        </w:rPr>
        <w:tab/>
      </w:r>
      <w:r>
        <w:rPr>
          <w:rFonts w:ascii="Arial" w:cs="Arial" w:eastAsia="Arial" w:hAnsi="Arial"/>
          <w:sz w:val="12"/>
          <w:szCs w:val="12"/>
          <w:b w:val="1"/>
          <w:bCs w:val="1"/>
          <w:color w:val="auto"/>
        </w:rPr>
        <w:t>June 29,</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7, 9, 11 and 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289 shares and 296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23 shares and 16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4,646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2,219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3,119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587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10,571</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10,638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3,054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2,028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10,075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2,404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576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28,705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2,081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286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1,305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4,385</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10,930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10,993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2,015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17,330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17,704</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4,085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4,254</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9,172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8,757</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(1,809)</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28,705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50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8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506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3,268</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r>
      <w:tr>
        <w:trPr>
          <w:trHeight w:val="223"/>
        </w:trPr>
        <w:tc>
          <w:tcPr>
            <w:tcW w:w="5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50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364</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1,008</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3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Basic</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2.31</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306</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506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3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0.50</w:t>
            </w:r>
          </w:p>
        </w:tc>
      </w:tr>
      <w:tr>
        <w:trPr>
          <w:trHeight w:val="459"/>
        </w:trPr>
        <w:tc>
          <w:tcPr>
            <w:tcW w:w="9940" w:type="dxa"/>
            <w:vAlign w:val="bottom"/>
            <w:gridSpan w:val="5"/>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5060" w:type="dxa"/>
            <w:vAlign w:val="bottom"/>
          </w:tcPr>
          <w:p>
            <w:pPr>
              <w:spacing w:after="0"/>
              <w:rPr>
                <w:sz w:val="24"/>
                <w:szCs w:val="24"/>
                <w:color w:val="auto"/>
              </w:rPr>
            </w:pP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 before tax:</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gain (loss) on derivative contracts and available-for-sale securities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related to items of other comprehensive loss, before tax</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28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Dividends paid to shareholders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debt hedge contracts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debt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industry and the infrastructure that enables the proliferation of data in virtually every other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29, 2018.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29, 2018.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year ends on the Friday nearest to June 30 and typically consists of 52 weeks. Fiscal years 2019, which ends on June 28, 2019, and 2018, which ended on June 29, 2018, are each comprised of 52 weeks, with all quarters presented consisting of 13 weeks.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August 29, 2018, the Financial Accounting Standards Board (“FASB”) issued Accounting Standards Update (“ASU”) No. 2018-15, “Customer’s Accounting for Implementation Costs Incurred in a Cloud Computing Arrangement That Is a Service Contract” (“ASU 2018-15”), to reduce diversity in practice in accounting for the costs of implementing cloud computing arrangements that are service contracts. ASU 2018-15 allows entities to apply the guidance in the FASB Accounting Standards Codification (“ASC”) 350-40 to determine which implementation costs are eligible to be capitalized as assets in a cloud computing arrangement that is considered a service contract. The Company adopted this standard on a prospective basis effective June 30, 2018, the beginning of fiscal year 2019, as allowed by the standard. This standard did not have a material impact on the Company’s Condensed Consolidated Financial Statements upon adoption or for the three months ended September 28, 2018.</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Tax Cuts and Jobs Act enacted on December 22, 2017 (the “2017 Act”). Consequently, the amendments eliminate the stranded tax effects resulting from the 2017 Act and will improve the usefulness of information reported to financial statement users. Because the amendments only relate to the reclassification of the income tax effects of the 2017 Act, the underlying guidance that requires that the effect of a change in tax laws or rates be included in income from continuing operations is not affected. For tax effects that are unrelated to the 2017 Act, the Company’s policy to release these from Accumulated other comprehensive loss on an individual item basis rather than a portfolio basis remains unchanged. The Company early adopted this standard effective June 30, 2018 and elected to reclassify stranded tax effects resulting from the 2017 Act from Accumulated other comprehensive loss to Retained earnings. The adoption of this standard did not have a material impact on the Company’s Condensed Consolidated Financial Statements.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2017-12”). ASU 2017-12 simplifies hedge accounting through changes to both designation and measurement requirements. For hedges that qualify as highly effective, the new standard eliminates the requirement to separately measure and record hedge ineffectiveness with the entire change in fair value of designated hedge reported in the results of operations in the same line item as the hedged item. The Company early adopted this standard effective June 30, 2018, using the modified retrospective approach. The adoption of this standard did not have a material impact on the Company’s Condensed Consolidated Financial Statements.</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Company adopted this standard on a prospective basis effective June 30, 2018. The adoption of this standard did not have a material impact on the Company’s Condensed Consolidated Financial Statements.</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2017-07”). ASU 2017-07 requires that the Company report the service cost component in the same line item or items as other compensation costs arising from services rendered by the pertinent employees during the period. In addition, the other components of net benefit cost are now presented in Other expense, net in the Condensed Consolidated Statements of Operations. The Company adopted this standard effective June 30, 2018. The adoption of this standard did not have a material impact on the Company’s Condensed Consolidated Financial Statements.</w:t>
      </w:r>
    </w:p>
    <w:p>
      <w:pPr>
        <w:spacing w:after="0" w:line="19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Company adopted this standard effective June 30, 2018, and will apply it prospectively to transactions occurring thereafter. The adoption of this standard did not have a material impact on the Company’s Condensed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and diversity in practice related to the tax consequences of certain types of intra-entity asset transfers, particularly those involving IP. The Company adopted this standard effective June 30, 2018. The adoption of this standard did not have a material impact on the Company’s Condensed Consolidated Financial Statements.</w:t>
      </w:r>
    </w:p>
    <w:p>
      <w:pPr>
        <w:spacing w:after="0" w:line="15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Marketable equity securities previously classified as available-for-sale equity investments are now measured and recorded at fair value with changes in fair value recorded within Other expense, net in the Condensed Consolidated Statements of Operations rather than as a component of Other comprehensive income as in prior years. In addition, the FASB clarified guidance related to the valuation allowance assessment when recognizing deferred tax assets resulting from unrealized losses on available-for-sale debt securities. The Company adopted this standard effective June 30, 2018. The adoption of this standard did not have a material impact on the Company’s Condensed Consolidated Financial Statements.</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 xml:space="preserve">In May 2014, the FASB issued ASU No. 2014-09, “Revenue from Contracts with Customers (Topic 606),” which superseded the requirements in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Results for reporting periods beginning with fiscal year 2019 are presented under Topic 606, while prior period information presented on the financial statements or elsewhere in this Quarterly Report on Form 10-Q is reported under the Company’s historic accounting policies under Topic 605 in effect for that period and is not adjusted to reflect the retrospective effect of the adoption of Topic 606. The cumulative effect of adopting Topic 606 was a post-tax increase to the opening retained earnings of $56 million as of June 30, 2018, which was primarily related to our license and royalty revenue arrangements. These arrangements had no remaining performance obligation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 as of or for the three-month period ended September 28, 2018, and the Company expects that the impact of the adoption of the new standard will not be material to its results of operations prospectively. See Note 3, </w:t>
      </w:r>
      <w:r>
        <w:rPr>
          <w:rFonts w:ascii="Arial" w:cs="Arial" w:eastAsia="Arial" w:hAnsi="Arial"/>
          <w:sz w:val="17"/>
          <w:szCs w:val="17"/>
          <w:i w:val="1"/>
          <w:iCs w:val="1"/>
          <w:color w:val="auto"/>
        </w:rPr>
        <w:t>Revenues</w:t>
      </w:r>
      <w:r>
        <w:rPr>
          <w:rFonts w:ascii="Arial" w:cs="Arial" w:eastAsia="Arial" w:hAnsi="Arial"/>
          <w:sz w:val="17"/>
          <w:szCs w:val="17"/>
          <w:color w:val="auto"/>
        </w:rPr>
        <w:t>, for additional disclosures related to this standard.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standard is effective for interim and annual reporting periods beginning after December 15, 2018, with early adoption permitted. As the Company plans for the adoption of this standard, the Company has completed its first phase of identifying its leases including the identification of embedded leases. The Company is in the process of identifying changes to its processes, internal controls and system requirements and configurations for a new lease accounting system to address the new lease standard. The Company’s implementation efforts are progressing as planned. The Company expects to adopt this standard in the first quarter of fiscal 2020 and expects to elect the practical expedient to not present historical comparative information. The Company continues to evaluate the impact ASU 2016-02 will have on its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revenues related to its IP patent licenses which are not material.</w:t>
      </w:r>
    </w:p>
    <w:p>
      <w:pPr>
        <w:spacing w:after="0" w:line="17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customer payment terms are typically less than three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and/or a right of return. The Company also provides resellers and original equipment manufacturers (“OEMs”) with other sales incentive programs. The Company uses judgment in its assessment of variable consideration in contracts to be included in the transaction price. The Company uses the expected value method to arrive at the amount of variable consideration. The Company believes the estimate of variable consideration is not constrained and that the expected value method is the appropriate estimate of the amount of variable consideration based on the fact that the Company has a large number of contracts with similar characteristics. The Company’s methodology for the estimates is based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The Company also has programs under which it reimburses qualified distributors and retailers for certain marketing expenditures, which are typically recorded as a reduction of the transaction price and, therefore, of revenue.</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Some of the Company’s revenue arrangements include more than one performance obligation, which are typically comprised of tangible products, software and support services for multiple distinct licenses. For these multiple-element arrangements,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September 28, 2018 or the date of adoption of Topic 606.</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Prior to the adoption of the new revenue standard, the Company’s policy was to expense all contract acquisition costs as incurred.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and for the three months ended September 28, 2018 were not material.</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Contract liabilities relate to customers’ payments in advance of performance under the contract and primarily relate to remaining performance obligations under support and maintenance contracts. As of September 28, 2018 and the date of adoption of Topic 606, contract liabilities were $86 million and $120 million, respectively, and were reflected in Accrued expenses. Changes in the contract liability balance during the three months ended September 28, 2018 were primarily the result of $41 million of revenue recognized during the period that was deferred at June 29, 2018, partially offset by payments received and billings in advance of satisfying performance obligations.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unearned revenue and multi-year contracts with future installment payments at the end of any given period. The transaction price allocated to the other remaining performance obligations as of September 28, 2018 was $263 million, which is mainly attributable to the functional IP license and service arrangements. The Company expects to recognize this amount as revenue as follows: $87 million during the remainder of fiscal 2019, $58 million in fiscal 2020, $45 million in fiscal 2021 and $73 million thereafter.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16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28, 2018</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1"/>
              </w:rPr>
              <w:t>September 29, 2017</w:t>
            </w:r>
          </w:p>
        </w:tc>
      </w:tr>
      <w:tr>
        <w:trPr>
          <w:trHeight w:val="190"/>
        </w:trPr>
        <w:tc>
          <w:tcPr>
            <w:tcW w:w="16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4"/>
          </w:tcPr>
          <w:p>
            <w:pPr>
              <w:jc w:val="right"/>
              <w:ind w:right="540"/>
              <w:spacing w:after="0"/>
              <w:rPr>
                <w:sz w:val="20"/>
                <w:szCs w:val="20"/>
                <w:color w:val="auto"/>
              </w:rPr>
            </w:pPr>
            <w:r>
              <w:rPr>
                <w:rFonts w:ascii="Arial" w:cs="Arial" w:eastAsia="Arial" w:hAnsi="Arial"/>
                <w:sz w:val="14"/>
                <w:szCs w:val="14"/>
                <w:i w:val="1"/>
                <w:iCs w:val="1"/>
                <w:color w:val="auto"/>
              </w:rPr>
              <w:t>(in millions, except percentages)</w:t>
            </w:r>
          </w:p>
        </w:tc>
      </w:tr>
      <w:tr>
        <w:trPr>
          <w:trHeight w:val="66"/>
        </w:trPr>
        <w:tc>
          <w:tcPr>
            <w:tcW w:w="16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by End Market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Client Devices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2,676</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Data Center Devices &amp;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1,369</w:t>
            </w: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Client Solutions</w:t>
            </w: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1,136</w:t>
            </w:r>
          </w:p>
        </w:tc>
      </w:tr>
      <w:tr>
        <w:trPr>
          <w:trHeight w:val="33"/>
        </w:trPr>
        <w:tc>
          <w:tcPr>
            <w:tcW w:w="16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5,181</w:t>
            </w:r>
          </w:p>
        </w:tc>
      </w:tr>
      <w:tr>
        <w:trPr>
          <w:trHeight w:val="20"/>
        </w:trPr>
        <w:tc>
          <w:tcPr>
            <w:tcW w:w="1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4"/>
        </w:trPr>
        <w:tc>
          <w:tcPr>
            <w:tcW w:w="1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by Form Factor</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HDD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2,494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2,610</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2,571</w:t>
            </w:r>
          </w:p>
        </w:tc>
      </w:tr>
      <w:tr>
        <w:trPr>
          <w:trHeight w:val="217"/>
        </w:trPr>
        <w:tc>
          <w:tcPr>
            <w:tcW w:w="8280" w:type="dxa"/>
            <w:vAlign w:val="bottom"/>
            <w:gridSpan w:val="2"/>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5,028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5,181</w:t>
            </w:r>
          </w:p>
        </w:tc>
      </w:tr>
      <w:tr>
        <w:trPr>
          <w:trHeight w:val="73"/>
        </w:trPr>
        <w:tc>
          <w:tcPr>
            <w:tcW w:w="1620" w:type="dxa"/>
            <w:vAlign w:val="bottom"/>
            <w:tcBorders>
              <w:bottom w:val="single" w:sz="8" w:color="CCEEFF"/>
            </w:tcBorders>
          </w:tcPr>
          <w:p>
            <w:pPr>
              <w:spacing w:after="0"/>
              <w:rPr>
                <w:sz w:val="6"/>
                <w:szCs w:val="6"/>
                <w:color w:val="auto"/>
              </w:rPr>
            </w:pPr>
          </w:p>
        </w:tc>
        <w:tc>
          <w:tcPr>
            <w:tcW w:w="66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78"/>
        </w:trPr>
        <w:tc>
          <w:tcPr>
            <w:tcW w:w="1620" w:type="dxa"/>
            <w:vAlign w:val="bottom"/>
            <w:shd w:val="clear" w:color="auto" w:fill="CCEEFF"/>
          </w:tcPr>
          <w:p>
            <w:pPr>
              <w:spacing w:after="0"/>
              <w:rPr>
                <w:sz w:val="24"/>
                <w:szCs w:val="24"/>
                <w:color w:val="auto"/>
              </w:rPr>
            </w:pPr>
          </w:p>
        </w:tc>
        <w:tc>
          <w:tcPr>
            <w:tcW w:w="6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24"/>
        </w:trPr>
        <w:tc>
          <w:tcPr>
            <w:tcW w:w="8280" w:type="dxa"/>
            <w:vAlign w:val="bottom"/>
            <w:gridSpan w:val="2"/>
          </w:tcPr>
          <w:p>
            <w:pPr>
              <w:ind w:left="40"/>
              <w:spacing w:after="0"/>
              <w:rPr>
                <w:sz w:val="20"/>
                <w:szCs w:val="20"/>
                <w:color w:val="auto"/>
              </w:rPr>
            </w:pPr>
            <w:r>
              <w:rPr>
                <w:rFonts w:ascii="Arial" w:cs="Arial" w:eastAsia="Arial" w:hAnsi="Arial"/>
                <w:sz w:val="16"/>
                <w:szCs w:val="16"/>
                <w:color w:val="auto"/>
              </w:rPr>
              <w:t>Revenue by Geography (%)</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18</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r>
      <w:tr>
        <w:trPr>
          <w:trHeight w:val="135"/>
        </w:trPr>
        <w:tc>
          <w:tcPr>
            <w:tcW w:w="1620" w:type="dxa"/>
            <w:vAlign w:val="bottom"/>
            <w:tcBorders>
              <w:bottom w:val="single" w:sz="8" w:color="auto"/>
            </w:tcBorders>
          </w:tcPr>
          <w:p>
            <w:pPr>
              <w:spacing w:after="0"/>
              <w:rPr>
                <w:sz w:val="11"/>
                <w:szCs w:val="11"/>
                <w:color w:val="auto"/>
              </w:rPr>
            </w:pPr>
          </w:p>
        </w:tc>
        <w:tc>
          <w:tcPr>
            <w:tcW w:w="6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bl>
    <w:p>
      <w:pPr>
        <w:spacing w:after="0" w:line="107"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Prior year information is presented in accordance with the accounting guidance in effect during that period and has not been updated for Topic 606. The impact of the adoption of Topic 606 was not material.</w:t>
      </w:r>
    </w:p>
    <w:p>
      <w:pPr>
        <w:spacing w:after="0" w:line="20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For the three months ended September 28, 2018 and September 29, 2017, two customers accounted for 11% and 10%, respectively, of the Company’s net revenue. For the three months ended September 28, 2018 and September 29, 2017, the Company’s top 10 customers accounted for 48% and 42% of the Company’s net revenue,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From time to time, in connection with factoring agreements, the Company sells trade accounts receivable without recourse to third party purchasers in exchange for cash. During the three months ended September 28, 2018, the Company sold trade accounts receivable and received cash proceeds of $243 million. The discounts on the trade accounts receivable sold during the period were not material and were recorded within Other expense, net in the Condensed Consolidated Financial Statements. During the three months ended September 29, 2017, the Company did not sell any trade accounts receivable.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1,048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1,018</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7,311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7,209</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Computer equipment and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Furniture and fixtures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10,186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3,095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7"/>
              </w:rPr>
              <w:t>Carrying Amount</w:t>
            </w:r>
          </w:p>
        </w:tc>
      </w:tr>
      <w:tr>
        <w:trPr>
          <w:trHeight w:val="190"/>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10,075</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28,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10,072</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2,680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Three Months Ended</w:t>
            </w:r>
          </w:p>
        </w:tc>
      </w:tr>
      <w:tr>
        <w:trPr>
          <w:trHeight w:val="165"/>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4"/>
                <w:szCs w:val="14"/>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w w:val="98"/>
              </w:rPr>
              <w:t>September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1102"/>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168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warranty accrual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1,315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940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other non-current liabilities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2,255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Contracts and</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Available for Sale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Balance at September 28,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the three months ended September 28, 2018 and September 29, 2017, the amounts reclassified out of AOCI related to derivative contracts were not material and were charged to Cost of revenue in the Condensed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available-for-sale securities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available-for-sale securities (included within Other current assets)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23</w:t>
            </w: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available-for-sale securities (included within 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available-for-sale securities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4,761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5,121</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 and June 29, 2018,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September 28,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2,229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w:t>
            </w: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2,229</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2,229</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2,234</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2,413</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29,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2,562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September 28, 2018, the Company had no transfers of financial assets and liabilities between levels.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September 28, 2018 and June 29,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Securities Without a Readily Determinable Fair Value (“RDFV”)</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The equity securities of these privately-held companies do not have a RDFV. Under ASU 2016-01, these equity securities are now measured and recorded using the measurement alternative, which is cost minus impairment, if any, plus or minus changes resulting from qualifying observable price changes. In addition, the existing impairment model has been replaced with a new one-step qualitative impairment model. Adjustments resulting from impairments and qualifying observable price changes are recorded in Other income (expense), net in the Condensed Consolidated Statements of Operations. As of September 28, 2018 and June 30, 2018, these investments were not material.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2019 and the fourth quarter of 2018,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28, 2018</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10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10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4,951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4,968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5,013</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1.50% convertible notes due 2024</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1,114</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2,238</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10,643</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10,707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10,672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10,851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September 28, 2018, the Company had outstanding foreign exchange forward contracts that were designated as either cash flow hedges or non-designated hedges. The contract maturity dates of these foreign exchange forward contracts do not exceed 12 months. In addition, the Company had outstanding interest rate swaps that were designated as cash flow hedges. The Company did not have any foreign exchange forward contracts with credit-risk-related contingent features. As of September 28, 2018, the amount of existing net gains related to cash flow hedges recorded in AOCI was not material and the majority is expected to be reclassified to earnings over the next twelve months.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expense, net and are largely offset by corresponding changes in the fair values of the foreign currency denominated monetary assets and liabilities. For each of the three-month periods ended September 28, 2018 and September 29, 2017, total net realized and unrealized transaction and foreign exchange contract currency gains and losses were not material to the Company’s Condensed Consolidated Financial Statements.</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September 28, 2018 and June 29, 2018,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7520" w:type="dxa"/>
            <w:vAlign w:val="bottom"/>
          </w:tcPr>
          <w:p>
            <w:pPr>
              <w:jc w:val="center"/>
              <w:ind w:right="7070"/>
              <w:spacing w:after="0"/>
              <w:rPr>
                <w:sz w:val="20"/>
                <w:szCs w:val="20"/>
                <w:color w:val="auto"/>
              </w:rPr>
            </w:pPr>
            <w:r>
              <w:rPr>
                <w:rFonts w:ascii="Arial" w:cs="Arial" w:eastAsia="Arial" w:hAnsi="Arial"/>
                <w:sz w:val="18"/>
                <w:szCs w:val="18"/>
                <w:b w:val="1"/>
                <w:bCs w:val="1"/>
                <w:color w:val="auto"/>
                <w:w w:val="89"/>
              </w:rPr>
              <w:t>Debt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Debt consisted of the following as of September 28, 2018 and June 29, 2018:</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4"/>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500</w:t>
            </w: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2,449</w:t>
            </w: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2,300</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Issuance costs and debt discounts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Subtotal</w:t>
            </w:r>
          </w:p>
        </w:tc>
        <w:tc>
          <w:tcPr>
            <w:tcW w:w="7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11,172</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jc w:val="center"/>
              <w:ind w:right="6250"/>
              <w:spacing w:after="0"/>
              <w:rPr>
                <w:sz w:val="20"/>
                <w:szCs w:val="20"/>
                <w:color w:val="auto"/>
              </w:rPr>
            </w:pPr>
            <w:r>
              <w:rPr>
                <w:rFonts w:ascii="Arial" w:cs="Arial" w:eastAsia="Arial" w:hAnsi="Arial"/>
                <w:sz w:val="16"/>
                <w:szCs w:val="16"/>
                <w:color w:val="auto"/>
                <w:w w:val="92"/>
              </w:rPr>
              <w:t>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required to comply with certain financial covenants underlying its debt facilities, such as a leverage ratio and an interest coverage ratio.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28, 2018, the Company was in compliance with all financial covenants.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200</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28,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80" w:type="dxa"/>
            <w:vAlign w:val="bottom"/>
            <w:tcBorders>
              <w:bottom w:val="single" w:sz="8" w:color="CCEEFF"/>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8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Company’s business ventures with Toshiba Memory Corporation (“TMC”)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September 28, 2018 and June 29,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191</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2,105</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During the three months ended September 28, 2018, the Company made net payments to Flash Ventures of $744 million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There were no impairments in the three months ended September 28, 2018 or September 29, 2017.</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September 28, 2018 and June 29, 2018, the Company had accounts payable balances due to Flash Ventures of $286 million and $259 million, respectively.</w:t>
      </w:r>
    </w:p>
    <w:p>
      <w:pPr>
        <w:spacing w:after="0" w:line="170"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September 28, 2018, is presented below. Investments in Flash Ventures are denominated in Japanese yen, and the maximum estimable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b w:val="1"/>
                <w:bCs w:val="1"/>
                <w:color w:val="auto"/>
                <w:w w:val="98"/>
              </w:rPr>
              <w:t>September 28,</w:t>
            </w:r>
          </w:p>
        </w:tc>
      </w:t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83"/>
        </w:trPr>
        <w:tc>
          <w:tcPr>
            <w:tcW w:w="9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578</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359</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3,623</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Company is committed to purchase its provided three-month forecast of Flash Ventures’ flash-based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The Company is obligated to pay for half of Flash Ventures’ fixed costs regardless of the output the Company chooses to purchase. In addition, the Company is committed to fund 49.9% to 50.0% of each Flash Ventures entity’s investments to the extent that each Flash Ventures entity’s operating cash flow is insufficient to fund these investments.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September 28,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140</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1,236</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September 28, 2018 in U.S. dollars, based upon the Japanese yen to U.S. dollar exchange rate as of September 28,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Remaining nine months of 2019</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28, 2018, no amounts have been accrued in the Condensed Consolidated Financial Statements with respect to these indemnification agreements.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November 2015, the Company entered into an agreement with Unisplendour Corporation Limited and Unissoft (Wuxi) Group Co. Ltd. (“Unis “) to form a joint venture, referred to as the “Unis Venture”, to market and sell the Company’s products in China and to develop data storage systems for the Chinese market in the future. The Unis Venture became operational during 2017. The Unis Venture is 49% owned by the Company and 51% owned by Unis. The Company accounts for its investment in the Unis Venture under the equity method of accounting. Revenue on products distributed by the Unis Venture are recognized upon sell through to third-party customers. For the three-month periods ended September 28, 2018 and September 29, 2017, the Company recognized less than 1% of its consolidated revenue on products distributed by the Unis Venture. The outstanding accounts receivable due from and investment in the Unis Venture were not material to the Condensed Consolidated Financial Statements as of September 28, 2018 or June 29, 2018.</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purchase agreements with various component suppliers that carry fixed volumes and pricing, which obligates the Company to make certain future purchases, contingent on certain conditions of performance, quality and technology of the vendor’s components. As of September 28, 2018, the Company had the following minimum long-term purchase commitments: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Long-term purchase</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commitments</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i w:val="1"/>
                <w:iCs w:val="1"/>
                <w:color w:val="auto"/>
                <w:w w:val="98"/>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Remaining nine months of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141</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2023 and thereafter</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170</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619</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center"/>
              <w:ind w:right="101"/>
              <w:spacing w:after="0"/>
              <w:rPr>
                <w:sz w:val="20"/>
                <w:szCs w:val="20"/>
                <w:color w:val="auto"/>
              </w:rPr>
            </w:pPr>
            <w:r>
              <w:rPr>
                <w:rFonts w:ascii="Arial" w:cs="Arial" w:eastAsia="Arial" w:hAnsi="Arial"/>
                <w:sz w:val="14"/>
                <w:szCs w:val="14"/>
                <w:i w:val="1"/>
                <w:iCs w:val="1"/>
                <w:color w:val="auto"/>
                <w:w w:val="98"/>
              </w:rPr>
              <w:t>(in millions)</w:t>
            </w: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83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17"/>
        </w:trPr>
        <w:tc>
          <w:tcPr>
            <w:tcW w:w="8340" w:type="dxa"/>
            <w:vAlign w:val="bottom"/>
          </w:tcPr>
          <w:p>
            <w:pPr>
              <w:jc w:val="center"/>
              <w:ind w:right="7359"/>
              <w:spacing w:after="0"/>
              <w:rPr>
                <w:sz w:val="20"/>
                <w:szCs w:val="20"/>
                <w:color w:val="auto"/>
              </w:rPr>
            </w:pPr>
            <w:r>
              <w:rPr>
                <w:rFonts w:ascii="Arial" w:cs="Arial" w:eastAsia="Arial" w:hAnsi="Arial"/>
                <w:sz w:val="16"/>
                <w:szCs w:val="16"/>
                <w:color w:val="auto"/>
                <w:w w:val="91"/>
              </w:rPr>
              <w:t>Subtotal</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8340" w:type="dxa"/>
            <w:vAlign w:val="bottom"/>
          </w:tcPr>
          <w:p>
            <w:pPr>
              <w:jc w:val="center"/>
              <w:ind w:right="7379"/>
              <w:spacing w:after="0"/>
              <w:rPr>
                <w:sz w:val="20"/>
                <w:szCs w:val="20"/>
                <w:color w:val="auto"/>
              </w:rPr>
            </w:pPr>
            <w:r>
              <w:rPr>
                <w:rFonts w:ascii="Arial" w:cs="Arial" w:eastAsia="Arial" w:hAnsi="Arial"/>
                <w:sz w:val="16"/>
                <w:szCs w:val="16"/>
                <w:color w:val="auto"/>
                <w:w w:val="89"/>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2"/>
        </w:trPr>
        <w:tc>
          <w:tcPr>
            <w:tcW w:w="8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center"/>
              <w:ind w:right="101"/>
              <w:spacing w:after="0"/>
              <w:rPr>
                <w:sz w:val="20"/>
                <w:szCs w:val="20"/>
                <w:color w:val="auto"/>
              </w:rPr>
            </w:pPr>
            <w:r>
              <w:rPr>
                <w:rFonts w:ascii="Arial" w:cs="Arial" w:eastAsia="Arial" w:hAnsi="Arial"/>
                <w:sz w:val="14"/>
                <w:szCs w:val="14"/>
                <w:i w:val="1"/>
                <w:iCs w:val="1"/>
                <w:color w:val="auto"/>
                <w:w w:val="98"/>
              </w:rPr>
              <w:t>(in millions)</w:t>
            </w: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r>
      <w:tr>
        <w:trPr>
          <w:trHeight w:val="217"/>
        </w:trPr>
        <w:tc>
          <w:tcPr>
            <w:tcW w:w="8340" w:type="dxa"/>
            <w:vAlign w:val="bottom"/>
          </w:tcPr>
          <w:p>
            <w:pPr>
              <w:jc w:val="center"/>
              <w:ind w:right="7359"/>
              <w:spacing w:after="0"/>
              <w:rPr>
                <w:sz w:val="20"/>
                <w:szCs w:val="20"/>
                <w:color w:val="auto"/>
              </w:rPr>
            </w:pPr>
            <w:r>
              <w:rPr>
                <w:rFonts w:ascii="Arial" w:cs="Arial" w:eastAsia="Arial" w:hAnsi="Arial"/>
                <w:sz w:val="16"/>
                <w:szCs w:val="16"/>
                <w:color w:val="auto"/>
                <w:w w:val="91"/>
              </w:rPr>
              <w:t>Subtotal</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4"/>
        </w:trPr>
        <w:tc>
          <w:tcPr>
            <w:tcW w:w="8340" w:type="dxa"/>
            <w:vAlign w:val="bottom"/>
          </w:tcPr>
          <w:p>
            <w:pPr>
              <w:jc w:val="center"/>
              <w:ind w:right="7379"/>
              <w:spacing w:after="0"/>
              <w:rPr>
                <w:sz w:val="20"/>
                <w:szCs w:val="20"/>
                <w:color w:val="auto"/>
              </w:rPr>
            </w:pPr>
            <w:r>
              <w:rPr>
                <w:rFonts w:ascii="Arial" w:cs="Arial" w:eastAsia="Arial" w:hAnsi="Arial"/>
                <w:sz w:val="16"/>
                <w:szCs w:val="16"/>
                <w:color w:val="auto"/>
                <w:w w:val="89"/>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 awards, (“RSU”), performance-based restricted stock unit awards, (“PSU”),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September 28,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1.6</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2.7</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1.3</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29, 2018</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37.26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66.44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September 28, 2018</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4.5</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65.38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September 28,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71.72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29, 2018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63.12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54.50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September 28,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The Company’s Board of Directors previously authorized $5.00 billion for the repurchase of the Company’s common stock. During the three months ended September 28, 2018, the Company repurchased 0.8 million shares for a total cost of $61 million under this previous authorization. On July 25, 2018, the Company’s Board of Directors authorized a new $5.00 billion share repurchase program that is effective through July 25, 2023, replacing all prior programs. During the three months ended September 28, 2018, the Company repurchased 7.6 million shares for a total cost of $502 million under this new program. Therefore, the Company’s stock repurchases under all stock repurchase authorizations in effect for the three months ended September 28, 2018 totaled $563 million. The remaining amount available to be repurchased under the Company’s stock repurchase program as of September 28, 2018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Since the first quarter of 2013, the Company has issued a quarterly cash dividend. During the three months ended September 28, 2018, the Company declared a cash dividend of $0.50 per share on its outstanding common stock totaling $145 million, which was paid on October 15, 2018.</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has not finalized the accounting for the tax effects of the enactment of the 2017 Act. However, consistent with applicable SEC guidance, the Company has made a reasonable estimate of the effects on the Company’s existing deferred tax balances and the one-time mandatory deemed repatriation tax required by the 2017 Act. For other elements of tax expense noted below, or where the Company has not made an election, the Company has not been able to make a reasonable estimate and continues to account for such items based on the provisions of the tax laws that were in effect immediately prior to the</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2017 Act. As the Company finalizes the accounting for the tax effects of the enactment of the 2017 Act during the one-year measurement period permitted by applicable SEC guidance, the Company expects to reflect adjustments to the recorded provisional amounts and record additional tax effects of the 2017 Act.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are expected to impact the Company is provided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recorded a provisional income tax benefit of $65 million for the year ended June 29, 2018, which related to the re-measurements of the Company’s deferred tax balances and is based primarily on the rates at which the deferred tax assets and liabilities are expected to reverse in the current and future fiscal years, which are generally 29% and 22%, respectively. However, the Company is still analyzing certain aspects of the 2017 Act and refining the calculations, which could potentially affect the measurement of these balances or potentially give rise to new deferred tax amounts. The Company is also analyzing the impact of the 2017 Act to the existing valuation allowance assessments from both a federal and state tax perspective, which could potentially affect the realizability of the existing deferred tax assets. In calculating the provisional amount, the Company utilized an estimate of the expected reversals of certain tax assets and liabilities, which may be revised in future quarters during the one-year measurement period as additional information becomes available. The Company did not make any material refinements to the provisional estimate for the three months ended September 28, 2018.</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connection with the transition from a global to a territorial U.S. tax system, companies are required to pay a mandatory deemed repatriation tax. For the year ended June 29, 2018, the Company recorded a provisional amount for the mandatory deemed repatriation tax liability of $1.57 billion for foreign subsidiaries. The calculation of the mandatory deemed repatriation tax liability is provisional and based upon preliminary estimates of post-1986 earnings and profits. In addition, the mandatory deemed repatriation tax is based on a provisional amount of foreign earnings held in cash and other specified assets, which are taxed at 15.5% and 8%, respectively, and is payable over an 8-year period. On August 1, 2018, the U.S. Treasury issued proposed regulations as guidance for the mandatory deemed repatriation tax. The Company will continue to evaluate the impact of this guidance through the end of the one-year measurement period. As such, the provisional amount may change during the one-year measurement period when the Company finalizes the calculation of post-1986 foreign earnings and profits and the amount of foreign earnings held in cash or other specified assets. During the three months ended September 28, 2018, the Company reduced its mandatory deemed repatriation tax liability by $302 million, of which $250 million was for the utilization of recorded deferred tax assets related to existing tax attributes. The utilization of the deferred tax assets is a reclassification that did not have an impact on the Company’s income tax provision for the three months ended September 28, 2018. The remaining $52 million reduction to the mandatory deemed repatriation tax primarily relates to the Company’s decision to no longer carry forward its 2018 operating loss and, instead, apply it against the mandatory deemed repatriation tax. The $52 million benefit results from utilizing the existing fiscal year 2018 operating losses at a 28% tax rate on the Company’s 2018 tax return as compared to the carryforward tax rate of 21%. The Company’s provisional estimate of the mandatory repatriation tax liability after these refinements is $1.26 billion.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Although the mandatory deemed repatriation tax has removed U.S. federal taxes on distributions to the U.S., the Company continues to evaluate the expected manner of recovery to determine whether or not to continue to assert indefinite reinvestment on a part or all the foreign undistributed earnings. This requires the Company to re-evaluate the existing short and long-term capital allocation policies in light of the 2017 Act and calculate the tax cost that is incremental to the deemed repatriation tax (e.g., foreign withholding, state income taxes, and additional U.S. tax on currency transaction gains or losses) of repatriating cash to the U.S. The provisional tax expense recorded by the Company as of June 28, 2018 was based upon an assumption that foreign undistributed earnings are indefinitely reinvested. For the three months ended September 28, 2018, the Company made the decision to no longer continue to assert indefinite reinvestment on a portion of its foreign undistributed earnings in certain foreign jurisdictions and has included a provisional income tax expense of $26 million, related to state income taxes, partially offset by a decrease to the Company’s valuation allowance of $17 million. Amounts related to foreign withholding taxes were not material. The Company will continue to evaluate whether or not to assert indefinite reinvestment on its remaining foreign undistributed earnings upon the completion of the calculation of the incremental tax effects on the repatriation of foreign undistributed earnings. In the event the Company determines not to continue to assert the permanent reinvestment of part or all of the remaining foreign undistributed earnings, such a determination could result in the accrual and payment of additional federal, foreign, state and local taxes.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would be the fiscal year beginning on June 30, 2018 (fiscal year</w:t>
      </w:r>
    </w:p>
    <w:p>
      <w:pPr>
        <w:spacing w:after="0" w:line="254" w:lineRule="auto"/>
        <w:rPr>
          <w:sz w:val="20"/>
          <w:szCs w:val="20"/>
          <w:color w:val="auto"/>
        </w:rPr>
      </w:pPr>
      <w:r>
        <w:rPr>
          <w:rFonts w:ascii="Arial" w:cs="Arial" w:eastAsia="Arial" w:hAnsi="Arial"/>
          <w:sz w:val="18"/>
          <w:szCs w:val="18"/>
          <w:color w:val="auto"/>
        </w:rPr>
        <w:t>2019). The Company is continuing to evaluate its accounting policy regarding whether to make an election to account for the effects of this provision either as a component of future income tax expense in the period the tax arises or as a component of deferred taxes on the related investments. Accordingly, no deferred tax assets and liabilities have been established for timing differences between foreign U.S. GAAP income and U.S. taxable income that would be expected to reverse under the new minimum tax in future years.</w:t>
      </w:r>
    </w:p>
    <w:p>
      <w:pPr>
        <w:spacing w:after="0" w:line="19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the Company’s income tax expense and the effective tax rate, which reflect provisional amounts related to the 2017 Act as discussed above: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24"/>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260" w:type="dxa"/>
            <w:vAlign w:val="bottom"/>
          </w:tcPr>
          <w:p>
            <w:pPr>
              <w:spacing w:after="0"/>
              <w:rPr>
                <w:sz w:val="13"/>
                <w:szCs w:val="13"/>
                <w:color w:val="auto"/>
              </w:rPr>
            </w:pPr>
          </w:p>
        </w:tc>
        <w:tc>
          <w:tcPr>
            <w:tcW w:w="130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3"/>
          </w:tcPr>
          <w:p>
            <w:pPr>
              <w:jc w:val="right"/>
              <w:ind w:right="112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8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583</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710</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4"/>
              <w:spacing w:after="0"/>
              <w:rPr>
                <w:sz w:val="20"/>
                <w:szCs w:val="20"/>
                <w:color w:val="auto"/>
              </w:rPr>
            </w:pPr>
            <w:r>
              <w:rPr>
                <w:rFonts w:ascii="Arial" w:cs="Arial" w:eastAsia="Arial" w:hAnsi="Arial"/>
                <w:sz w:val="16"/>
                <w:szCs w:val="16"/>
                <w:color w:val="auto"/>
              </w:rPr>
              <w:t>72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29</w:t>
            </w:r>
          </w:p>
        </w:tc>
      </w:tr>
      <w:tr>
        <w:trPr>
          <w:trHeight w:val="33"/>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primary driver of the difference between the effective tax rate for the three months ended September 28, 2018 and the U.S. Federal statutory rate of 21% is the discrete effect of the provisional income tax benefit of $52 million related to the decision to utilize the Company’s 2018 operating loss to partially offset the mandatory deemed repatriation tax.</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29, 2017 and the U.S. Federal statutory rate of 35% are windfall benefits related to vesting and exercises of stock-based awards, the generation of tax credits and tax holidays in Malaysia, Philippines, Singapore and Thailand.</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During the three months ended September 28, 2018, the Company recorded an increase of $6 million in its liability for unrecognized tax benefits (excluding accrued interest and penalties). As of September 28, 2018, the Company’s liability for unrecognized tax benefits (excluding accrued interest and penalties) was approximately $557 million. Accrued interest and penalties related to unrecognized tax benefits as of September 28, 2018 was $112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2008 through 2009 and proposed certain adjustments. As previously disclosed, the Company received Revenue Agent Reports from the IRS,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unagreed issues, seeking to increase the Company’s U.S. taxable income by an amount that would result in additional federal tax through fiscal year 2009 totaling approximately $516 million, subject to interest. The Company filed a petition with the U.S. Tax Court in September 2018. The Company believes that its tax positions are properly supported and will vigorously contest the position taken by the IRS. In September 2015, the IRS commenced an examination of the Company’s fiscal years 2010 through 2012.</w:t>
      </w:r>
    </w:p>
    <w:p>
      <w:pPr>
        <w:spacing w:after="0" w:line="18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September 28, 2018,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Net Income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6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w w:val="98"/>
              </w:rPr>
              <w:t>September 29,</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441"/>
              <w:spacing w:after="0"/>
              <w:rPr>
                <w:sz w:val="20"/>
                <w:szCs w:val="20"/>
                <w:color w:val="auto"/>
              </w:rPr>
            </w:pPr>
            <w:r>
              <w:rPr>
                <w:rFonts w:ascii="Arial" w:cs="Arial" w:eastAsia="Arial" w:hAnsi="Arial"/>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6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September 29,</w:t>
            </w:r>
          </w:p>
        </w:tc>
        <w:tc>
          <w:tcPr>
            <w:tcW w:w="2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gridSpan w:val="3"/>
          </w:tcPr>
          <w:p>
            <w:pPr>
              <w:jc w:val="right"/>
              <w:ind w:right="823"/>
              <w:spacing w:after="0"/>
              <w:rPr>
                <w:sz w:val="20"/>
                <w:szCs w:val="20"/>
                <w:color w:val="auto"/>
              </w:rPr>
            </w:pPr>
            <w:r>
              <w:rPr>
                <w:rFonts w:ascii="Arial" w:cs="Arial" w:eastAsia="Arial" w:hAnsi="Arial"/>
                <w:sz w:val="14"/>
                <w:szCs w:val="14"/>
                <w:i w:val="1"/>
                <w:iCs w:val="1"/>
                <w:color w:val="auto"/>
                <w:w w:val="98"/>
              </w:rPr>
              <w:t>(in millions)</w:t>
            </w:r>
          </w:p>
        </w:tc>
        <w:tc>
          <w:tcPr>
            <w:tcW w:w="2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45</w:t>
            </w:r>
          </w:p>
        </w:tc>
      </w:tr>
      <w:tr>
        <w:trPr>
          <w:trHeight w:val="33"/>
        </w:trPr>
        <w:tc>
          <w:tcPr>
            <w:tcW w:w="8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52</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July 2018, the Company announced the closing of its HDD manufacturing facility in Kuala Lumpur, Malaysia, in order to reduce its manufacturing costs and consolidate HDD operations into Thailand. The Company expects the closure to be substantially completed by the end of the calendar year 2019 and to result in total pre-tax charges of approximately $160 million. These charges are expected to consist of approximately $85 million in employee termination benefits and $75 million in asset-related, contract termination and other charges. During the three months ended September 28, 2018, the Company recognized $4 million in employee termination benefits.</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three months ended September 28,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Employee</w:t>
            </w:r>
          </w:p>
        </w:tc>
      </w:tr>
      <w:tr>
        <w:trPr>
          <w:trHeight w:val="192"/>
        </w:trPr>
        <w:tc>
          <w:tcPr>
            <w:tcW w:w="1006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Termination Benefits</w:t>
            </w:r>
          </w:p>
        </w:tc>
      </w:tr>
      <w:tr>
        <w:trPr>
          <w:trHeight w:val="190"/>
        </w:trPr>
        <w:tc>
          <w:tcPr>
            <w:tcW w:w="10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4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10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56</w:t>
            </w:r>
          </w:p>
        </w:tc>
      </w:tr>
      <w:tr>
        <w:trPr>
          <w:trHeight w:val="224"/>
        </w:trPr>
        <w:tc>
          <w:tcPr>
            <w:tcW w:w="100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9"/>
                <w:szCs w:val="19"/>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4</w:t>
            </w:r>
          </w:p>
        </w:tc>
      </w:tr>
      <w:tr>
        <w:trPr>
          <w:trHeight w:val="33"/>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September 28, 2018</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10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The following table presents an analysis of the components of the activity against the reserve during the three months ended September 28,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September 28, 2018</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2011, a complaint was filed against SanDisk, SD-3C LLC, Panasonic Corporation, Panasonic Corporation of North America, Toshiba Corporation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In November 2015, the defendants filed a motion to dismiss the plaintiffs’ federal law claims. In October 2016, the District Court granted the defendants’ motion with leave to amend and the defendants filed a motion to dismiss the plaintiffs’ remaining claims. In July 2018, ten of the thirteen named plaintiffs voluntarily dismissed their claims against the defendants. Counsel for the remaining named plaintiffs are engaged in settlement discussions with counsel for the defendants. The case has been stayed pending these settlement discussions. The Company intends to defend itself vigorously in this matter.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In September 2018, the District Court granted the Institutional Investor Group’s motion to certify a class of all persons and entities who purchased or otherwise acquired SanDisk’s publicly traded common stock between October 2014 and April 2015, excluding those who purchased or otherwise acquired SanDisk’s publicly traded common stock during the class period but who sold their stock prior to the first corrective disclosure in March 2015. The Institutional Investor Group alleges artificial inflation in the price of SanDisk’s publicly traded common stock of $9.04 per share from October 16, 2014 through March 25, 2015, $2.26 per share on March 26, 2015, and $1.35 per share from March 27, 2015 through April 15, 2015. The Company believes the allegations to be without merit and intends to defend itself vigorously in this matter.</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that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w:t>
      </w:r>
    </w:p>
    <w:p>
      <w:pPr>
        <w:spacing w:after="0" w:line="18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or around June 22, 2018, Bitkom, an industry association, and ZPÜ entered into an agreement for regulating the obligation to pay compensation under copyright law in Germany for hard drives for the period beginning January 1, 2008. On or around June 29, 2018, the Company elected to join the agreement. Pursuant to the agreement, the Company and ZPÜ intend to dismiss the actions against each other following an accounting and payment of past liabilities. The entry into this agreement did not have a material impact on the Company’s financial condition, results of operations or cash flows.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disclosures regarding a statutory notice of deficiency issued by the IRS on June 28, 2018 and a petition filed by the Company with the U.S. Tax Court in September 2018, see Note 11, </w:t>
      </w:r>
      <w:r>
        <w:rPr>
          <w:rFonts w:ascii="Arial" w:cs="Arial" w:eastAsia="Arial" w:hAnsi="Arial"/>
          <w:sz w:val="18"/>
          <w:szCs w:val="18"/>
          <w:i w:val="1"/>
          <w:iCs w:val="1"/>
          <w:color w:val="auto"/>
        </w:rPr>
        <w:t>Income Tax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Company’s senior unsecured notes due 2026 (the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28,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3,119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7,927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9,234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28,463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25,770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(49,579)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28,705</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5,208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10,930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12,676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6,953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17,330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11,375</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28,463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(49,579)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28,705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5"/>
            <w:shd w:val="clear" w:color="auto" w:fill="CCEEFF"/>
          </w:tcPr>
          <w:p>
            <w:pPr>
              <w:jc w:val="center"/>
              <w:ind w:right="110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CCEEFF"/>
            </w:tcBorders>
            <w:gridSpan w:val="3"/>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23,935</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27,115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29,235</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20" w:type="dxa"/>
            <w:vAlign w:val="bottom"/>
            <w:gridSpan w:val="11"/>
          </w:tcPr>
          <w:p>
            <w:pPr>
              <w:jc w:val="center"/>
              <w:ind w:right="80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center"/>
              <w:ind w:left="5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10,993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Loans due to consolidated affiliates</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28,922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27,115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29,235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operating expense (income)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160"/>
              <w:spacing w:after="0"/>
              <w:rPr>
                <w:sz w:val="20"/>
                <w:szCs w:val="20"/>
                <w:color w:val="auto"/>
              </w:rPr>
            </w:pPr>
            <w:r>
              <w:rPr>
                <w:rFonts w:ascii="Arial" w:cs="Arial" w:eastAsia="Arial" w:hAnsi="Arial"/>
                <w:sz w:val="18"/>
                <w:szCs w:val="18"/>
                <w:color w:val="auto"/>
                <w:w w:val="96"/>
              </w:rPr>
              <w:t>Employee termination, asset impairment, and other</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60"/>
              <w:spacing w:after="0"/>
              <w:rPr>
                <w:sz w:val="20"/>
                <w:szCs w:val="20"/>
                <w:color w:val="auto"/>
              </w:rPr>
            </w:pPr>
            <w:r>
              <w:rPr>
                <w:rFonts w:ascii="Arial" w:cs="Arial" w:eastAsia="Arial" w:hAnsi="Arial"/>
                <w:sz w:val="18"/>
                <w:szCs w:val="18"/>
                <w:color w:val="auto"/>
              </w:rPr>
              <w:t>charges</w:t>
            </w:r>
          </w:p>
        </w:tc>
        <w:tc>
          <w:tcPr>
            <w:tcW w:w="90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 and other income (expense), net</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Income (loss) before taxes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Equity in earnings from subsidiaries</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3,268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21"/>
                <w:szCs w:val="21"/>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6"/>
              </w:rPr>
              <w:t>Employee termination, asset impairment, and other</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21"/>
                <w:szCs w:val="21"/>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taxes</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earnings from subsidiaries</w:t>
            </w:r>
          </w:p>
        </w:tc>
        <w:tc>
          <w:tcPr>
            <w:tcW w:w="940" w:type="dxa"/>
            <w:vAlign w:val="bottom"/>
          </w:tcPr>
          <w:p>
            <w:pPr>
              <w:spacing w:after="0"/>
              <w:rPr>
                <w:sz w:val="21"/>
                <w:szCs w:val="21"/>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loss, before tax:</w:t>
            </w: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Net unrealized loss, on derivative contracts and</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loss, before tax</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related to items of other</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580" w:type="dxa"/>
            <w:vAlign w:val="bottom"/>
            <w:gridSpan w:val="10"/>
          </w:tcPr>
          <w:p>
            <w:pPr>
              <w:ind w:left="3040"/>
              <w:spacing w:after="0"/>
              <w:rPr>
                <w:sz w:val="20"/>
                <w:szCs w:val="20"/>
                <w:color w:val="auto"/>
              </w:rPr>
            </w:pPr>
            <w:r>
              <w:rPr>
                <w:rFonts w:ascii="Arial" w:cs="Arial" w:eastAsia="Arial" w:hAnsi="Arial"/>
                <w:sz w:val="18"/>
                <w:szCs w:val="18"/>
                <w:b w:val="1"/>
                <w:bCs w:val="1"/>
                <w:color w:val="auto"/>
                <w:w w:val="91"/>
              </w:rPr>
              <w:t>Condensed Consolidating Statement of Comprehensive Income (Loss)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gridSpan w:val="10"/>
          </w:tcPr>
          <w:p>
            <w:pPr>
              <w:ind w:left="3880"/>
              <w:spacing w:after="0"/>
              <w:rPr>
                <w:sz w:val="20"/>
                <w:szCs w:val="20"/>
                <w:color w:val="auto"/>
              </w:rPr>
            </w:pPr>
            <w:r>
              <w:rPr>
                <w:rFonts w:ascii="Arial" w:cs="Arial" w:eastAsia="Arial" w:hAnsi="Arial"/>
                <w:sz w:val="18"/>
                <w:szCs w:val="18"/>
                <w:b w:val="1"/>
                <w:bCs w:val="1"/>
                <w:color w:val="auto"/>
              </w:rPr>
              <w:t>For the three months ended September 29, 2017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4"/>
        </w:trPr>
        <w:tc>
          <w:tcPr>
            <w:tcW w:w="41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24"/>
                <w:szCs w:val="2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24"/>
                <w:szCs w:val="24"/>
                <w:color w:val="auto"/>
              </w:rPr>
            </w:pPr>
          </w:p>
        </w:tc>
        <w:tc>
          <w:tcPr>
            <w:tcW w:w="112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loss, before tax:</w:t>
            </w: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2"/>
              </w:rPr>
              <w:t>Net unrealized gain (loss) on derivative contracts and</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9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loss, before tax</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Income tax benefit (expense) related to items of other</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Parent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Non-Guarantor</w:t>
            </w: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right"/>
              <w:ind w:right="46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Subsidiaries</w:t>
            </w: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47"/>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27"/>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ind w:right="27"/>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Proceeds from sale of investments</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7"/>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Strategic investments and other, net</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4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4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0"/>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Taxes paid on vested stock awards under employee stock</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plans</w:t>
            </w:r>
          </w:p>
        </w:tc>
        <w:tc>
          <w:tcPr>
            <w:tcW w:w="4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64"/>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Dividends paid to shareholders</w:t>
            </w:r>
          </w:p>
        </w:tc>
        <w:tc>
          <w:tcPr>
            <w:tcW w:w="4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5060" w:type="dxa"/>
            <w:vAlign w:val="bottom"/>
            <w:gridSpan w:val="2"/>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2"/>
                <w:szCs w:val="22"/>
                <w:color w:val="auto"/>
              </w:rPr>
            </w:pPr>
          </w:p>
        </w:tc>
        <w:tc>
          <w:tcPr>
            <w:tcW w:w="1340" w:type="dxa"/>
            <w:vAlign w:val="bottom"/>
          </w:tcPr>
          <w:p>
            <w:pPr>
              <w:jc w:val="right"/>
              <w:ind w:right="27"/>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2"/>
                <w:szCs w:val="22"/>
                <w:color w:val="auto"/>
              </w:rPr>
            </w:pPr>
          </w:p>
        </w:tc>
        <w:tc>
          <w:tcPr>
            <w:tcW w:w="136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1,246</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(1,769)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380" w:type="dxa"/>
            <w:vAlign w:val="bottom"/>
          </w:tcPr>
          <w:p>
            <w:pPr>
              <w:jc w:val="right"/>
              <w:ind w:right="47"/>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1"/>
                <w:szCs w:val="21"/>
                <w:color w:val="auto"/>
              </w:rPr>
            </w:pPr>
          </w:p>
        </w:tc>
        <w:tc>
          <w:tcPr>
            <w:tcW w:w="1380" w:type="dxa"/>
            <w:vAlign w:val="bottom"/>
          </w:tcPr>
          <w:p>
            <w:pPr>
              <w:jc w:val="right"/>
              <w:ind w:right="7"/>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4,297</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440" w:type="dxa"/>
            <w:vAlign w:val="bottom"/>
          </w:tcPr>
          <w:p>
            <w:pPr>
              <w:jc w:val="right"/>
              <w:ind w:right="47"/>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380" w:type="dxa"/>
            <w:vAlign w:val="bottom"/>
          </w:tcPr>
          <w:p>
            <w:pPr>
              <w:jc w:val="right"/>
              <w:ind w:right="47"/>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1"/>
                <w:szCs w:val="21"/>
                <w:color w:val="auto"/>
              </w:rPr>
            </w:pPr>
          </w:p>
        </w:tc>
        <w:tc>
          <w:tcPr>
            <w:tcW w:w="1380" w:type="dxa"/>
            <w:vAlign w:val="bottom"/>
          </w:tcPr>
          <w:p>
            <w:pPr>
              <w:jc w:val="right"/>
              <w:ind w:right="47"/>
              <w:spacing w:after="0"/>
              <w:rPr>
                <w:sz w:val="20"/>
                <w:szCs w:val="20"/>
                <w:color w:val="auto"/>
              </w:rPr>
            </w:pPr>
            <w:r>
              <w:rPr>
                <w:rFonts w:ascii="Arial" w:cs="Arial" w:eastAsia="Arial" w:hAnsi="Arial"/>
                <w:sz w:val="16"/>
                <w:szCs w:val="16"/>
                <w:color w:val="auto"/>
              </w:rPr>
              <w:t>3,580</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7"/>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29, 2018.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industry and the infrastructure that enables the proliferation of data in virtually every other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flash industry is characterized by cyclicality as it responds to variations in customers’ demand for products and manages production capacity to meet that demand. The favorable demand environment for flash-based products during the last several quarters has begun to normalize as technology conversions are maturing and manufacturing yields are improving, thus increasing flash supply relative to demand. As a result, average selling price per gigabyte of flash-based products has declined.</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Through our strategic partnership with Toshiba Memory Corporation (“TMC”) referred to as “Flash Ventures”, we and TMC operate flash-based memory wafer manufacturing facilities in Yokkaichi, Japan. We are obligated to purchase half of Flash Ventures’ flash-based memory wafer supply or pay for half of Flash Ventures’ fixed costs regardless of the output we choose to purchase. We are also obligated to fund 49.9% to 50% of Flash Ventures’ investments to the extent that Flash Ventures’ operating cash flow is insufficient to fund these investments.</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response to the current flash business conditions, we expect to reduce wafer starts and delay deployment of capital equipment for flash production. We expect these actions to reduce our planned flash output by approximately 10% to 15% for calendar year 2019. The goal of these actions is to bring our supply more in line with the demand environment, with the majority of the supply reduction occurring by the middle of calendar year 2019. We do not expect this action to result in any incremental cash payments; however, we expect the temporary abnormal reduction in output to result in flash manufacturing underutilization charges to be recorded in cost of sales in the range of $250 million to $300 million spread over the remainder of fiscal 2019. We may adjust our plans based on market conditions, which could impact the timing and amount of any charges.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Quarter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September 28, 2018</w:t>
            </w: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September 29, 2017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i w:val="1"/>
                <w:iCs w:val="1"/>
                <w:color w:val="auto"/>
                <w:w w:val="94"/>
              </w:rPr>
              <w:t>(in millions, except percentages)</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5,028</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5,181</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3,364</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66.9</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3,268</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63.1</w:t>
            </w:r>
          </w:p>
        </w:tc>
        <w:tc>
          <w:tcPr>
            <w:tcW w:w="28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96</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2.9</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1,664</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33.1</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1,913</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36.9</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(249)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r>
      <w:tr>
        <w:trPr>
          <w:trHeight w:val="20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11.4</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356</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364</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(8)</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(2.2)</w:t>
            </w: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(11.5)</w:t>
            </w: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978</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19.5</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1,008</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19.5</w:t>
            </w:r>
          </w:p>
        </w:tc>
        <w:tc>
          <w:tcPr>
            <w:tcW w:w="280" w:type="dxa"/>
            <w:vAlign w:val="bottom"/>
          </w:tcPr>
          <w:p>
            <w:pPr>
              <w:spacing w:after="0"/>
              <w:rPr>
                <w:sz w:val="18"/>
                <w:szCs w:val="18"/>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(30)</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(3.0)</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686</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13.6</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905</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17.5</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(219)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(24.2)</w:t>
            </w: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(116)</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89</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(43.4)</w:t>
            </w: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(66.7)</w:t>
            </w: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92</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(47.2)</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710</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(127)</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43</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148.3</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13.1</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(170)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(25.0)</w:t>
            </w:r>
          </w:p>
        </w:tc>
      </w:tr>
      <w:tr>
        <w:trPr>
          <w:trHeight w:val="20"/>
        </w:trPr>
        <w:tc>
          <w:tcPr>
            <w:tcW w:w="1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50"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The following table sets forth, for the periods presented, summary information regarding our revenue</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by End Market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Client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Data Center Devices &amp; Solutions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Client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by Geography (%)</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9894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September 28, 2018</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1"/>
              </w:rPr>
              <w:t>September 29, 2017</w:t>
            </w:r>
          </w:p>
        </w:tc>
      </w:tr>
      <w:tr>
        <w:trPr>
          <w:trHeight w:val="190"/>
        </w:trPr>
        <w:tc>
          <w:tcPr>
            <w:tcW w:w="140" w:type="dxa"/>
            <w:vAlign w:val="bottom"/>
          </w:tcPr>
          <w:p>
            <w:pPr>
              <w:spacing w:after="0"/>
              <w:rPr>
                <w:sz w:val="16"/>
                <w:szCs w:val="16"/>
                <w:color w:val="auto"/>
              </w:rPr>
            </w:pPr>
          </w:p>
        </w:tc>
        <w:tc>
          <w:tcPr>
            <w:tcW w:w="3000" w:type="dxa"/>
            <w:vAlign w:val="bottom"/>
            <w:gridSpan w:val="3"/>
          </w:tcPr>
          <w:p>
            <w:pPr>
              <w:jc w:val="right"/>
              <w:ind w:right="540"/>
              <w:spacing w:after="0"/>
              <w:rPr>
                <w:sz w:val="20"/>
                <w:szCs w:val="20"/>
                <w:color w:val="auto"/>
              </w:rPr>
            </w:pPr>
            <w:r>
              <w:rPr>
                <w:rFonts w:ascii="Arial" w:cs="Arial" w:eastAsia="Arial" w:hAnsi="Arial"/>
                <w:sz w:val="14"/>
                <w:szCs w:val="14"/>
                <w:i w:val="1"/>
                <w:iCs w:val="1"/>
                <w:color w:val="auto"/>
              </w:rPr>
              <w:t>(in millions, except percentages)</w:t>
            </w:r>
          </w:p>
        </w:tc>
      </w:tr>
      <w:tr>
        <w:trPr>
          <w:trHeight w:val="573"/>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2,650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2,676</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1,446</w:t>
            </w:r>
          </w:p>
        </w:tc>
        <w:tc>
          <w:tcPr>
            <w:tcW w:w="180" w:type="dxa"/>
            <w:vAlign w:val="bottom"/>
          </w:tcPr>
          <w:p>
            <w:pPr>
              <w:spacing w:after="0"/>
              <w:rPr>
                <w:sz w:val="23"/>
                <w:szCs w:val="23"/>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1,369</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932</w:t>
            </w:r>
          </w:p>
        </w:tc>
        <w:tc>
          <w:tcPr>
            <w:tcW w:w="180" w:type="dxa"/>
            <w:vAlign w:val="bottom"/>
          </w:tcPr>
          <w:p>
            <w:pPr>
              <w:spacing w:after="0"/>
              <w:rPr>
                <w:sz w:val="23"/>
                <w:szCs w:val="23"/>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1,136</w:t>
            </w:r>
          </w:p>
        </w:tc>
      </w:tr>
      <w:tr>
        <w:trPr>
          <w:trHeight w:val="33"/>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5,028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5,181</w:t>
            </w:r>
          </w:p>
        </w:tc>
      </w:tr>
      <w:tr>
        <w:trPr>
          <w:trHeight w:val="33"/>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58"/>
        </w:trPr>
        <w:tc>
          <w:tcPr>
            <w:tcW w:w="14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3"/>
                <w:szCs w:val="23"/>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18</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23"/>
                <w:szCs w:val="23"/>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ectPr>
          <w:pgSz w:w="11900" w:h="16838" w:orient="portrait"/>
          <w:cols w:equalWidth="0" w:num="2">
            <w:col w:w="7820" w:space="460"/>
            <w:col w:w="3140"/>
          </w:cols>
          <w:pgMar w:left="240" w:top="125" w:right="239" w:bottom="1440" w:gutter="0" w:footer="0" w:header="0"/>
          <w:type w:val="continuous"/>
        </w:sectPr>
      </w:pPr>
    </w:p>
    <w:p>
      <w:pPr>
        <w:spacing w:after="0" w:line="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Prior year information is presented in accordance with the accounting guidance in effect during that period and has not been updated for Topic 606.</w:t>
      </w:r>
    </w:p>
    <w:p>
      <w:pPr>
        <w:spacing w:after="0" w:line="200" w:lineRule="exact"/>
        <w:rPr>
          <w:rFonts w:ascii="Arial" w:cs="Arial" w:eastAsia="Arial" w:hAnsi="Arial"/>
          <w:sz w:val="22"/>
          <w:szCs w:val="22"/>
          <w:color w:val="auto"/>
          <w:vertAlign w:val="superscript"/>
        </w:rPr>
      </w:pPr>
    </w:p>
    <w:p>
      <w:pPr>
        <w:spacing w:after="0" w:line="244"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 and Gross Margin</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The decrease in net revenue in the three months ended September 28, 2018 from the comparable period of the prior year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lower average selling prices per gigabyte for flash-based products. Client Devices revenue decreased 1.0% year over year, primarily driven by a reduction in client compute HDD sales, lower average selling prices for flash-based products and lower gaming sales. These factors were largely offset by higher demand for mobility and surveillance products. Our revenue for Data Center Devices and Solutions increased 5.6% year over year, primarily driven by an increase in sales from our capacity enterprise HDD, partially offset by our lower sales of eSSDs and performance enterprise HDDs. Client Solutions revenue decreased 18.0% year over year, primarily driven by lower average selling prices per gigabyte of flash-based products.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September 28, 2018 and September 29, 2017, two customers accounted for 11% and 10%, respectively, of our net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28, 2018 and September 29, 2017, our top 10 customers accounted for 48% and 42% of our net revenue, respectively.</w:t>
      </w:r>
    </w:p>
    <w:p>
      <w:pPr>
        <w:spacing w:after="0" w:line="23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each of the three-month periods ended September 28, 2018 and September 29, 2017, these programs represented 12%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5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The decrease in gross profit in the three months ended September 28, 2018 from the comparable period in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the lower average selling prices for flash products. This was partially offset by improvements in our production costs from technology transitions and lower costs for amortization expense on acquired intangible assets, stock-based compensation, charges related to the implementation of cost-saving initiatives and other charges, which aggregated $247 million, or 4.9%, of revenue, in the three months ended September 28, 2018, compared to $279 million, or 5.4%, of revenue, in the three months ended September 29, 2017.</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decrease in research and development (“R&amp;D”) expense from the comparable period in the prior year is primarily due to our cost saving initiatives and lower variable compensation expense. In addition, the three months ended September 28, 2018 included aggregate charges of $39 million related to stock-based compensation expenses, charges related to the implementation of cost-saving initiatives, acquisition-related charges and other charges compared to $47 million in the three months ended September 29, 2017.</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decrease in selling, general and administrative (“SG&amp;A”) expense is primarily due to lower variable compensation expense and lower charges related to stock-based compensation expenses, amortization expense on acquired intangible assets, charges related to the implementation of cost-saving initiatives, acquisition-related charges and other charges. These charges aggregated $73 million in the three months ended September 28, 2018 compared to $90 million in the three months ended September 29, 2017. The decrease in these charges was partially offset by operating expenses from recent acquisitions and higher consulting services.</w:t>
      </w:r>
    </w:p>
    <w:p>
      <w:pPr>
        <w:spacing w:after="0" w:line="188" w:lineRule="exact"/>
        <w:rPr>
          <w:sz w:val="20"/>
          <w:szCs w:val="20"/>
          <w:color w:val="auto"/>
        </w:rPr>
      </w:pPr>
    </w:p>
    <w:p>
      <w:pPr>
        <w:ind w:right="520" w:firstLine="324"/>
        <w:spacing w:after="0" w:line="221" w:lineRule="exact"/>
        <w:rPr>
          <w:sz w:val="20"/>
          <w:szCs w:val="20"/>
          <w:color w:val="auto"/>
        </w:rPr>
      </w:pPr>
      <w:r>
        <w:rPr>
          <w:rFonts w:ascii="Arial" w:cs="Arial" w:eastAsia="Arial" w:hAnsi="Arial"/>
          <w:sz w:val="16"/>
          <w:szCs w:val="16"/>
          <w:color w:val="auto"/>
        </w:rPr>
        <w:t xml:space="preserve">Employee termination, asset impairment and other charges primarily related to further actions associated with the realignment of our business. For additional information regarding employee termination, asset impairment and other charges, see Part I, Item 1, Note 13, </w:t>
      </w:r>
      <w:r>
        <w:rPr>
          <w:rFonts w:ascii="Arial" w:cs="Arial" w:eastAsia="Arial" w:hAnsi="Arial"/>
          <w:sz w:val="16"/>
          <w:szCs w:val="16"/>
          <w:i w:val="1"/>
          <w:iCs w:val="1"/>
          <w:color w:val="auto"/>
        </w:rPr>
        <w:t>Employee Termination, Asset</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and Other Charges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The decrease in total interest and other expense, net is primarily due to lower interest expense resulting from reductions in the principal amount of debt and lower interest rates as a result of changes to our debt facilities in the third and fourth quarters of fiscal 2018, partially offset by increases in the LIBOR interest 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1"/>
              </w:rPr>
              <w:t>September 28, 2018</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1"/>
              </w:rPr>
              <w:t>September 29, 2017</w:t>
            </w:r>
          </w:p>
        </w:tc>
      </w:tr>
      <w:tr>
        <w:trPr>
          <w:trHeight w:val="190"/>
        </w:trPr>
        <w:tc>
          <w:tcPr>
            <w:tcW w:w="8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jc w:val="right"/>
              <w:ind w:right="541"/>
              <w:spacing w:after="0"/>
              <w:rPr>
                <w:sz w:val="20"/>
                <w:szCs w:val="20"/>
                <w:color w:val="auto"/>
              </w:rPr>
            </w:pPr>
            <w:r>
              <w:rPr>
                <w:rFonts w:ascii="Arial" w:cs="Arial" w:eastAsia="Arial" w:hAnsi="Arial"/>
                <w:sz w:val="14"/>
                <w:szCs w:val="14"/>
                <w:i w:val="1"/>
                <w:iCs w:val="1"/>
                <w:color w:val="auto"/>
              </w:rPr>
              <w:t>(in millions, except percentages)</w:t>
            </w:r>
          </w:p>
        </w:tc>
      </w:tr>
      <w:tr>
        <w:trPr>
          <w:trHeight w:val="66"/>
        </w:trPr>
        <w:tc>
          <w:tcPr>
            <w:tcW w:w="8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710</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29</w:t>
            </w:r>
          </w:p>
        </w:tc>
      </w:tr>
      <w:tr>
        <w:trPr>
          <w:trHeight w:val="33"/>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On December 22, 2017, the Tax Cuts and Jobs Act (the “2017 Act”) was enacted, which includes a broad range of tax reform proposals affecting businesses, including a reduction in the U.S. federal corporate tax rate from 35% to 21% effective January 1, 2018, a one-time mandatory deemed repatriation tax on earnings of certain foreign subsidiaries that were previously tax deferred, and the creation of new taxes on certain foreign earnings.</w:t>
      </w:r>
    </w:p>
    <w:p>
      <w:pPr>
        <w:spacing w:after="0" w:line="166" w:lineRule="exact"/>
        <w:rPr>
          <w:sz w:val="20"/>
          <w:szCs w:val="20"/>
          <w:color w:val="auto"/>
        </w:rPr>
      </w:pPr>
    </w:p>
    <w:p>
      <w:pPr>
        <w:ind w:right="40" w:firstLine="324"/>
        <w:spacing w:after="0" w:line="218" w:lineRule="exact"/>
        <w:rPr>
          <w:sz w:val="20"/>
          <w:szCs w:val="20"/>
          <w:color w:val="auto"/>
        </w:rPr>
      </w:pPr>
      <w:r>
        <w:rPr>
          <w:rFonts w:ascii="Arial" w:cs="Arial" w:eastAsia="Arial" w:hAnsi="Arial"/>
          <w:sz w:val="18"/>
          <w:szCs w:val="18"/>
          <w:color w:val="auto"/>
        </w:rPr>
        <w:t xml:space="preserve">Consistent with applicable Securities and Exchange Commission (“SEC”) guidance, we made a reasonable estimate of the effects on our existing deferred tax balances and the one-time mandatory deemed repatriation tax required by the 2017 Act. For other elements of tax expense noted in Part I, Item 1, Note 11,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or where we have not made an election, we have not been able to make a reasonable estimate and continue to account for such items based on the provisions of the tax laws that were in effect immediately prior to the 2017 Act. As we finalize the accounting for the tax effects of the enactment of the 2017 Act during the one-year measurement period permitted by applicable SEC guidance, we expect to reflect adjustments to the recorded provisional amounts and record additional tax effects of the 2017 Act.</w:t>
      </w:r>
    </w:p>
    <w:p>
      <w:pPr>
        <w:spacing w:after="0" w:line="207"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primary driver of the difference between the effective tax rate for the three months ended September 28, 2018 and the U.S. Federal statutory rate of 21% is the discrete effect of the provisional income tax benefit of $52 million related to the decision to utilize our 2018 operating loss to partially offset the mandatory deemed repatriation tax.</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29, 2017 and the U.S. Federal statutory rate of 35% are windfall benefits related to vesting and exercises of stock-based awards, the generation of tax credits and tax holidays in Malaysia, Philippines, Singapore and Thailand.</w:t>
      </w:r>
    </w:p>
    <w:p>
      <w:pPr>
        <w:spacing w:after="0" w:line="18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future effective tax rate is subject to future regulatory developments, changes in the mix of our U.S. earnings compared to foreign earnings, updates to our assertion as to whether the remaining portion of our foreign undistributed earnings are indefinitely reinvested and other calculations under the 2017 Act. Our total tax expense in future fiscal years may also vary as a result of discrete items such as excess tax benefits or deficiencies.</w:t>
      </w:r>
    </w:p>
    <w:p>
      <w:pPr>
        <w:spacing w:after="0" w:line="166" w:lineRule="exact"/>
        <w:rPr>
          <w:sz w:val="20"/>
          <w:szCs w:val="20"/>
          <w:color w:val="auto"/>
        </w:rPr>
      </w:pPr>
    </w:p>
    <w:p>
      <w:pPr>
        <w:ind w:right="78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 Item 1, Note 11,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60" w:type="dxa"/>
            <w:vAlign w:val="bottom"/>
          </w:tcPr>
          <w:p>
            <w:pPr>
              <w:jc w:val="right"/>
              <w:ind w:right="222"/>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1102"/>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1,133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532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21" w:lineRule="exact"/>
        <w:rPr>
          <w:sz w:val="20"/>
          <w:szCs w:val="20"/>
          <w:color w:val="auto"/>
        </w:rPr>
      </w:pPr>
      <w:r>
        <w:rPr>
          <w:rFonts w:ascii="Arial" w:cs="Arial" w:eastAsia="Arial" w:hAnsi="Arial"/>
          <w:sz w:val="17"/>
          <w:szCs w:val="17"/>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2"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During fiscal 2019, we expect cash used for purchases of property, plant and equipment and net activity in notes receivable and equity investments relating to our Flash Ventures joint venture with Toshiba Memory Corporation to be approximately $1.50 billion to $1.90 billion. The total expected cash to be used could vary depending on the timing and completion of various capital projects and the availability, timing and terms of related financing.</w:t>
      </w:r>
    </w:p>
    <w:p>
      <w:pPr>
        <w:spacing w:after="0" w:line="147" w:lineRule="exact"/>
        <w:rPr>
          <w:sz w:val="20"/>
          <w:szCs w:val="20"/>
          <w:color w:val="auto"/>
        </w:rPr>
      </w:pPr>
    </w:p>
    <w:p>
      <w:pPr>
        <w:ind w:right="20" w:firstLine="324"/>
        <w:spacing w:after="0" w:line="218" w:lineRule="exact"/>
        <w:rPr>
          <w:sz w:val="20"/>
          <w:szCs w:val="20"/>
          <w:color w:val="auto"/>
        </w:rPr>
      </w:pPr>
      <w:r>
        <w:rPr>
          <w:rFonts w:ascii="Arial" w:cs="Arial" w:eastAsia="Arial" w:hAnsi="Arial"/>
          <w:sz w:val="18"/>
          <w:szCs w:val="18"/>
          <w:color w:val="auto"/>
        </w:rPr>
        <w:t xml:space="preserve">Pursuant to the 2017 Act, we are required to pay a one-time deemed repatriation tax related to the undistributed earnings of our foreign subsidiaries. As of September 28, 2018, the provisional amount of the mandatory deemed repatriation tax liability was $1.26 billion, which is payable over an 8-year period as further discussed below under “Short and Long-term Liquidity-Contractual Obligations and Commitments.” The provisional amount included in the Consolidated Financial Statements may change when we finalize the calculation of our post-1986 foreign earnings and profits that were previously deferred from U.S. income taxes and the amount of foreign earnings held in cash or other specified assets. For additional information regarding our total tax liability for the mandatory repatriation tax, see Part I, Item 1, Note 11,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7"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 xml:space="preserve">A total of $3.36 billion and $4.15 billion of our cash and cash equivalents was held outside of the U.S. as of September 28, 2018 and June 29, 2018, respectively. Although the mandatory deemed repatriation tax has removed U.S. federal taxes on distributions to the U.S., we continue to evaluate the expected manner of recovery to determine whether or not to continue to assert indefinite reinvestment on a part or all the foreign undistributed earnings. This requires us to re-evaluate the existing short and long-term capital allocation policies in light of the 2017 Act and calculate the tax cost that is incremental to the U.S. deemed repatriation tax (e.g., foreign withholding, state income taxes, and additional U.S. tax on currency transaction gains or losses) of repatriating cash to the U.S. For the three months ended September 28, 2018, we made the decision to no longer continue to assert indefinite reinvestment on a portion of our foreign undistributed earnings in certain foreign jurisdictions and have included a provisional income tax expense of $26 million related to state income taxes, partially offset by a decrease to our valuation allowance of $17 million. Amounts related to foreign withholding taxes were not material. We continue to evaluate whether or not to assert indefinite reinvestment on our remaining foreign undistributed earnings. In the event we determine not to continue to assert the permanent reinvestment of part or all of our remaining foreign undistributed earnings, such a determination could result in the accrual and payment of additional federal, foreign, state and local taxes. For additional information regarding our indefinite reinvestment assertion, see Part I, Item 1, Note 11,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24"/>
        <w:spacing w:after="0" w:line="218" w:lineRule="exact"/>
        <w:rPr>
          <w:sz w:val="20"/>
          <w:szCs w:val="20"/>
          <w:color w:val="auto"/>
        </w:rPr>
      </w:pPr>
      <w:r>
        <w:rPr>
          <w:rFonts w:ascii="Arial" w:cs="Arial" w:eastAsia="Arial" w:hAnsi="Arial"/>
          <w:sz w:val="17"/>
          <w:szCs w:val="17"/>
          <w:color w:val="auto"/>
        </w:rPr>
        <w:t xml:space="preserve">Cash flow from operating activities primarily consists of net income, adjusted for non-cash charges, plus or minus changes in other operating assets and liabilities. This represents our principal source of cash. Net cash used for changes in other operating assets and liabilities was $597 million for the three months ended September 28, 2018, as compared to $236 million for the three months ended September 29, 2017. The increase in cash used for changes in other operating assets and liabilities in the three months ended September 28, 2018 primarily reflects the payable recorded for the mandatory repatriation tax as described in Part I, Item 1, Note 11,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Changes in our other operating assets and liabilities are also largely affected by our working capital requirements, which are dependent on the effective management of our cash conversion cycle. Our cash conversion cycle measures how quickly we can convert our products into cash through sales. The cash conversion cycles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Quarter to Date</w:t>
            </w:r>
          </w:p>
        </w:tc>
      </w:tr>
      <w:tr>
        <w:trPr>
          <w:trHeight w:val="152"/>
        </w:trPr>
        <w:tc>
          <w:tcPr>
            <w:tcW w:w="8340" w:type="dxa"/>
            <w:vAlign w:val="bottom"/>
          </w:tcPr>
          <w:p>
            <w:pPr>
              <w:spacing w:after="0"/>
              <w:rPr>
                <w:sz w:val="13"/>
                <w:szCs w:val="13"/>
                <w:color w:val="auto"/>
              </w:rPr>
            </w:pPr>
          </w:p>
        </w:tc>
        <w:tc>
          <w:tcPr>
            <w:tcW w:w="184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September 28,</w:t>
            </w:r>
          </w:p>
        </w:tc>
        <w:tc>
          <w:tcPr>
            <w:tcW w:w="12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gridSpan w:val="3"/>
          </w:tcPr>
          <w:p>
            <w:pPr>
              <w:jc w:val="center"/>
              <w:ind w:left="1179"/>
              <w:spacing w:after="0"/>
              <w:rPr>
                <w:sz w:val="20"/>
                <w:szCs w:val="20"/>
                <w:color w:val="auto"/>
              </w:rPr>
            </w:pPr>
            <w:r>
              <w:rPr>
                <w:rFonts w:ascii="Arial" w:cs="Arial" w:eastAsia="Arial" w:hAnsi="Arial"/>
                <w:sz w:val="14"/>
                <w:szCs w:val="14"/>
                <w:i w:val="1"/>
                <w:iCs w:val="1"/>
                <w:color w:val="auto"/>
                <w:w w:val="93"/>
              </w:rPr>
              <w:t>(in days)</w:t>
            </w:r>
          </w:p>
        </w:tc>
        <w:tc>
          <w:tcPr>
            <w:tcW w:w="124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For the three months ended September 28, 2018, DSO increased by 3 days over the prior year, primarily reflecting the timing of shipments and customer receipts. DIO increased by 20 days over the prior year, primarily reflecting increases in hard drive inventory to re-establish capacity enterprise to normal levels and, to a lesser extent, increases in flash inventory. DPO remained consistent with the prior year.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three months ended September 28, 2018, net cash used in investing activities primarily consisted of $277 million of capital expenditures and a net $29 million decrease in notes receivable issuances to Flash Ventures to fund its capital expansion. Net cash used in investing activities for the three months ended September 29, 2017 primarily consisted of $160 million of capital expenditures, a $131 million net increase in notes receivable issuances to and investments in Flash Ventures and $93 million for acquisitions.</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the three months ended September 28, 2018, net cash used in financing activities primarily consisted of $148 million to pay dividends on our common stock, $563 million of share repurchases, $66 million for taxes paid on vested stock awards under employee stock plans and $38 million for repayment of debt. Net cash used in financing activities for the during the three months ended September 29, 2017 primarily consisted of $147 million to pay dividends on our common stock, $62 million to repay debt, and a net $41 million used for employee stock plans, partially offset by proceeds of $26 million from the settlement of debt hedge contracts.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9, </w:t>
      </w:r>
      <w:r>
        <w:rPr>
          <w:rFonts w:ascii="Arial" w:cs="Arial" w:eastAsia="Arial" w:hAnsi="Arial"/>
          <w:sz w:val="17"/>
          <w:szCs w:val="17"/>
          <w:i w:val="1"/>
          <w:iCs w:val="1"/>
          <w:color w:val="auto"/>
        </w:rPr>
        <w:t>Commitments, Contingencies and Related Parties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September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(2020-</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9 months of 2019)</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2023)</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11,337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7,343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120" w:hanging="332"/>
        <w:spacing w:after="0" w:line="221"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280" w:firstLine="324"/>
        <w:spacing w:after="0" w:line="220" w:lineRule="exact"/>
        <w:rPr>
          <w:sz w:val="20"/>
          <w:szCs w:val="20"/>
          <w:color w:val="auto"/>
        </w:rPr>
      </w:pPr>
      <w:r>
        <w:rPr>
          <w:rFonts w:ascii="Arial" w:cs="Arial" w:eastAsia="Arial" w:hAnsi="Arial"/>
          <w:sz w:val="17"/>
          <w:szCs w:val="17"/>
          <w:color w:val="auto"/>
        </w:rPr>
        <w:t xml:space="preserve">See Part I, Item 1, Note 7, </w:t>
      </w:r>
      <w:r>
        <w:rPr>
          <w:rFonts w:ascii="Arial" w:cs="Arial" w:eastAsia="Arial" w:hAnsi="Arial"/>
          <w:sz w:val="17"/>
          <w:szCs w:val="17"/>
          <w:i w:val="1"/>
          <w:iCs w:val="1"/>
          <w:color w:val="auto"/>
        </w:rPr>
        <w:t>Debt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Q and Part II, Item 8,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June 29, 2018 for information regarding our indebtedness, including information about new borrowings and repayments, increased availability under our revolving credit facility and the principal repayment terms, interest rates, covenants and other key terms of our outstanding indebtedness.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80" w:firstLine="324"/>
        <w:spacing w:after="0" w:line="218" w:lineRule="exact"/>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September 28, 2018, we were in compliance with all covenants under these Japanese lease facilities. See Part I, Item 1, Note 9,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information regarding Flash Ventures.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In addition, 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Repatriation Tax</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is a summary of our estimated provisional mandatory deemed repatriation tax obligations that are payable in the following fiscal years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nine months of 2019</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219" w:lineRule="exact"/>
        <w:rPr>
          <w:sz w:val="20"/>
          <w:szCs w:val="20"/>
          <w:color w:val="auto"/>
        </w:rPr>
      </w:pPr>
      <w:r>
        <w:rPr>
          <w:rFonts w:ascii="Arial" w:cs="Arial" w:eastAsia="Arial" w:hAnsi="Arial"/>
          <w:sz w:val="18"/>
          <w:szCs w:val="18"/>
          <w:color w:val="auto"/>
        </w:rPr>
        <w:t xml:space="preserve">The 2017 Act allows for the provisional mandatory deemed repatriation tax of $1.26 billion to be payable over an 8-year period without interest. The payments are due with 8% of the tax to be paid in each of the first five years, 15% in the 6th year, 20% in the 7th year, and 25% in the 8th year. As of September 28, 2018, total payments of $150 million have been made towards the provisional mandatory deemed repatriation tax of $1.26 billion for a remaining net tax liability owed of $1.11 billion. For additional information regarding our provisional estimate of the total tax liability for the mandatory repatriation tax, see Part I, Item 1, Note 11,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28, 2018, the liability for unrecognized tax benefits (excluding accrued interest and penalties) was approximately $557 million. Accrued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unrecognized tax benefits as of September 28, 2018 was approximately $112 million. Of these amounts,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$553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For additional information regarding our total tax liability for unrecognized tax benefits, see Part I, Item 1, Note 11,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 w:firstLine="324"/>
        <w:spacing w:after="0" w:line="221" w:lineRule="exact"/>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Board of Directors previously authorized $5.00 billion for the repurchase of our common stock. During the three months ended September 28, 2018, we repurchased 0.8 million shares for a total cost of $61 million under this previous authorization. On July 25, 2018, our Board of Directors authorized a new $5.00 billion share repurchase program that is effective through July 25, 2023, replacing all prior programs. Subsequent to July 25, 2018 and through September 28, 2018, we repurchased an additional 7.6 million shares for a total cost of $502 million under this new program. Therefore, the Company’s stock repurchases under all stock repurchase authorizations in effect for the three months ended September 28, 2018 totaled $563 million. The remaining amount available to be purchased under our stock repurchase program as of September 28, 2018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Since the first quarter of 2013, we have issued a quarterly cash dividend. On July 16, 2018, we paid $148 million for a dividend declared in the fourth quarter of fiscal 2018. On August 1, 2018, we declared a cash dividend of $0.50 per share of our common stock to our shareholders of record as of September 28, 2018, which aggregated $145 million and was paid on October 15, 2018. We may modify, suspend, or cancel our cash dividend policy in any manner and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324"/>
        <w:spacing w:after="0" w:line="221" w:lineRule="exact"/>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prepared the accompanying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324"/>
        <w:spacing w:after="0" w:line="219" w:lineRule="exact"/>
        <w:rPr>
          <w:sz w:val="20"/>
          <w:szCs w:val="20"/>
          <w:color w:val="auto"/>
        </w:rPr>
      </w:pPr>
      <w:r>
        <w:rPr>
          <w:rFonts w:ascii="Arial" w:cs="Arial" w:eastAsia="Arial" w:hAnsi="Arial"/>
          <w:sz w:val="18"/>
          <w:szCs w:val="18"/>
          <w:color w:val="auto"/>
        </w:rPr>
        <w:t xml:space="preserve">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a recently adopted accounting pronouncement that affects our recognition of revenue. There have been no other material changes in our critical accounting policies and estimates from those disclosed in our Annual Report on Form 10-K for the fiscal year ended June 29, 2018. Please refer to Part II, Item 7 of our Annual Report on Form 10-K for the fiscal year ended June 29, 2018 for a discussion of our critical accounting policies and estimates.</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 5,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6,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As of September 28, 2018,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are recognized in other income (expense), net and are largely offset by corresponding changes in the fair values of the foreign currency denominated monetary assets and liabilities.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Mark to Market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Unrealized Gain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4"/>
          </w:tcPr>
          <w:p>
            <w:pPr>
              <w:jc w:val="center"/>
              <w:ind w:right="61"/>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Designated Hedges (cash flow hedges):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110.41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53.01</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31.9</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885</w:t>
            </w:r>
          </w:p>
        </w:tc>
        <w:tc>
          <w:tcPr>
            <w:tcW w:w="17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Non-Designated Hedges: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British pound sterling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0.77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Euro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0.86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3,341</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111.00</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4.11</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53.62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32.27</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6"/>
                <w:szCs w:val="16"/>
                <w:color w:val="auto"/>
              </w:rPr>
              <w:t>Total non-designated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3,978</w:t>
            </w:r>
          </w:p>
        </w:tc>
        <w:tc>
          <w:tcPr>
            <w:tcW w:w="17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three months ended September 28, 2018 and September 29, 2017, total net realized and unrealized transaction and foreign exchange contract currency gains and losses were not material to our Condensed Consolidated Financial Statements.</w:t>
      </w:r>
    </w:p>
    <w:p>
      <w:pPr>
        <w:spacing w:after="0" w:line="170"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Borrowings under our revolving credit facility and our term loan A-1 due 2023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September 28, 2018, the applicable margin based on our current credit ratings was 1.5%. Borrowings under our U.S. Term Loan B-4 due 2023 bear interest at a rate per annum, at our option, of either an adjusted LIBOR (subject to a 0.0% floor) plus a margin of 1.75% or a base rate plus a margin of 0.75%.</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generally held a balance of fixed and variable rate debt. At September 28, 2018, 70% of the par value of our debt was at variable rates.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entered into pay-fixed interest rate swaps, which effectively converts $1.00 billion of our term loans to fixed rates through May 2020 and an incremental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billion through April 2023. As of September 28, 2018, we had $7.90 billion of variable rate debt. After giving effect to the $2.00 billion of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swaps, we effectively had $5.90 billion of long-term debt subject to variations in interest rates and a one percent increase in the variable rate of interest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annual interest expense by $59 million.</w:t>
      </w:r>
    </w:p>
    <w:p>
      <w:pPr>
        <w:spacing w:after="0" w:line="211" w:lineRule="exact"/>
        <w:rPr>
          <w:sz w:val="20"/>
          <w:szCs w:val="20"/>
          <w:color w:val="auto"/>
        </w:rPr>
      </w:pPr>
    </w:p>
    <w:p>
      <w:pPr>
        <w:ind w:right="160" w:firstLine="324"/>
        <w:spacing w:after="0" w:line="221" w:lineRule="exact"/>
        <w:rPr>
          <w:sz w:val="20"/>
          <w:szCs w:val="20"/>
          <w:color w:val="auto"/>
        </w:rPr>
      </w:pPr>
      <w:r>
        <w:rPr>
          <w:rFonts w:ascii="Arial" w:cs="Arial" w:eastAsia="Arial" w:hAnsi="Arial"/>
          <w:sz w:val="18"/>
          <w:szCs w:val="18"/>
          <w:color w:val="auto"/>
        </w:rPr>
        <w:t xml:space="preserve">For additional information regarding our indebtedness, see Part I, Item 1, Note 7, </w:t>
      </w:r>
      <w:r>
        <w:rPr>
          <w:rFonts w:ascii="Arial" w:cs="Arial" w:eastAsia="Arial" w:hAnsi="Arial"/>
          <w:sz w:val="18"/>
          <w:szCs w:val="18"/>
          <w:i w:val="1"/>
          <w:iCs w:val="1"/>
          <w:color w:val="auto"/>
        </w:rPr>
        <w:t>Debt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Q and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June 29, 2018.</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required by Rule 13a-15(b) promulgated by the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5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has materially affected, or is reasonably likely to materially affect, our internal control over financial reporting.</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14,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trade and tariff actions recently announced by the U.S., China and other countries, and changes to policies, rules and regulations. Some of the risks and uncertainties we face as a result of these conditions include, but are not limited to, the following:</w:t>
      </w:r>
    </w:p>
    <w:p>
      <w:pPr>
        <w:spacing w:after="0" w:line="1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direct and indirect customers may delay or reduce their purchases of our products and systems containing our products.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demand for our products slows as a result of a deterioration in economic conditions, we may undertake restructuring activities to realign our cost structure with softening demand.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extend credit and payment terms to some of our customers and we could suffer significant losses if a customer whose accounts receivable we have not insured, or have underinsured, fails to pay us on their accounts receivable balances.</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negative or uncertain global economic conditions result in circumstances, such as a sustained decline in our stock price and market capitalization or a decrease in our forecasted cash flows, indicating that the carrying value of our long-lived assets or goodwill may be impaired, we could be required to record a significant charge to earnings in our Consolidated Financial Statements.</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These actions and conditions could result in reductions in our revenue, increased operating costs, impairment charges and other expenses, which could adversely affect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w:t>
      </w:r>
    </w:p>
    <w:p>
      <w:pPr>
        <w:spacing w:after="0" w:line="54" w:lineRule="exact"/>
        <w:rPr>
          <w:sz w:val="20"/>
          <w:szCs w:val="20"/>
          <w:color w:val="auto"/>
        </w:rPr>
      </w:pPr>
    </w:p>
    <w:p>
      <w:pPr>
        <w:ind w:right="100" w:firstLine="162"/>
        <w:spacing w:after="0" w:line="381" w:lineRule="auto"/>
        <w:rPr>
          <w:sz w:val="20"/>
          <w:szCs w:val="20"/>
          <w:color w:val="auto"/>
        </w:rPr>
      </w:pPr>
      <w:r>
        <w:rPr>
          <w:rFonts w:ascii="Arial" w:cs="Arial" w:eastAsia="Arial" w:hAnsi="Arial"/>
          <w:sz w:val="15"/>
          <w:szCs w:val="15"/>
          <w:b w:val="1"/>
          <w:bCs w:val="1"/>
          <w:i w:val="1"/>
          <w:iCs w:val="1"/>
          <w:color w:val="auto"/>
        </w:rPr>
        <w:t>We rely substantially on our business ventures with Toshiba Memory Corporation (“TMC”) for the supply of flash-based memory and the development of flash-based technology, which subjects us to risks and uncertainties that could harm our business, financial condition and operating results.</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dependent on our ventures with TMC to develop and manufacture flash-based memory products for our flash-based memory supply, and therefore our business, financial condition and operating results are dependent on the continued success of Flash Ventures. We partner with TMC on the development of flash-based technology, including the next technology transitions of flash-based memory,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inventory or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market share as a result. If our flash-based memory supply is limited, we may make strategic decisions with respect to the allocation of our supply among our products and customers, and these strategic allocation decisions may result in less favorable gross margin or damage certain customer relationships.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flash-based products outside of the Flash Ventures. We may not always agree with TMC on our joint R&amp;D roadmap or expansions or conversions of production capacity. In addition, TMC’s shift in strategic priorities could adversely impact our business.</w:t>
      </w:r>
    </w:p>
    <w:p>
      <w:pPr>
        <w:spacing w:after="0" w:line="18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June 1, 2018, Toshiba Corporation announced it had completed the sale of TMC, including its interests in Flash Ventures, to a consortium led by SK hynix Inc. and Bain Capital (the “Bain Consortium”) that includes other competitors, as well as key customers. The sale of TMC to the Bain Consortium could lead to delays in decision-making, disputes, or changes in strategic direction that could adversely impact Flash Ventures and/or adversely affect our business prospects, results of operations and financial condition. The Bain Consortium might not have the same interest that we do in protecting and growing Flash Ventures’ business and there may exist conflicts of interest between the Bain Consortium and Flash Ventures or us. Misalignment between us and TMC or the Bain Consortium on the strategic direction of Flash Ventures could adversely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Flash Ventures requires significant investments by both TMC and us for technology transitions, including the transition to 3D NAND, and capacity expansions. The Bain Consortium has entered into financing agreements in connection with its purchase of TMC that could limit TMC’s ability to timely fund or finance investments in Flash Ventures or our joint development efforts, as well as limit Flash Ventures’ ability to enter into lease financings. To the extent that lease financings for Flash Ventures are not accessible on favorable terms or at all, more cash would be required to fund investments. If TMC does not or we do not provide sufficient resources, or have adequate access to credit, to timely fund investments in Flash Ventures, our investments could be delayed or reduced. Delayed or reduced investment in manufacturing capacity or research and development by TMC or us could harm Flash Ventures’ competitiveness and/or our investment in Flash Ventures. In addition, the financing arrangements that the Bain Consortium has entered into in connection with its purchase of TMC are secured by TMC’s equity interests in Flash Ventures, permitting the lenders to foreclose on those equity interests under certain circumstances.</w:t>
      </w:r>
    </w:p>
    <w:p>
      <w:pPr>
        <w:spacing w:after="0" w:line="16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TMC has announced that it is starting construction of a new wafer fabrication facility for the manufacture of 3D NAND in Kitakami, Iwate, Japan. Although we intend to enter into agreements with TMC in due course to participate in the new Kitakami facility, there is no certainty as to when, and on what terms, we will do so. If we are unable to extend our partnership with TMC to the Kitakami facility on favorable terms, our future supply of captive flash-based memory could be adversely impacted, which could adversely affect our long-term business and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w:t>
      </w:r>
    </w:p>
    <w:p>
      <w:pPr>
        <w:spacing w:after="0" w:line="54"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volatile demand, declining average selling prices (“ASPs”), rapid technological change and industry consolidation, all of which could adversely affect our operating results and financial condition.</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including the effects of new fab capacity in the industry, macroeconomic factors, business conditions, technology transitions, and other actions taken by us or our competitors. The price of NAND flash memory is also influenced by conversion of industry DRAM capacity to NAND and conversion of 2D NAND capacity to 3D NAND.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w:t>
      </w:r>
    </w:p>
    <w:p>
      <w:pPr>
        <w:spacing w:after="0" w:line="16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 and service features. We expect that competition will continue to be intense, and there is a risk that our competitors may be able to gain a technological or cost structure advantage over us, which may allow their products to be less costly or enable them to provide better performance or to include additional features when compared to our products. Further, some of our competitors may utilize certain pricing strategies, including offering products at prices at or below cost, that we may be unable to competitively match. In addition,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Additionally, some of our competitors offer products and technologies that we do not offer and may be able to use their broader product and technology portfolio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Finally, the data storage industry as a whole has experienced consolidation over the past several years through acquisitions, mergers and decisions by industry players to exit the industry. Further consolidation across the industry could enhance the capacity, abilities and resources and lower the cost structure of some of our competitors, causing us to be at a competitive disadvantage.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w:t>
      </w:r>
    </w:p>
    <w:p>
      <w:pPr>
        <w:spacing w:after="0" w:line="54" w:lineRule="exact"/>
        <w:rPr>
          <w:sz w:val="20"/>
          <w:szCs w:val="20"/>
          <w:color w:val="auto"/>
        </w:rPr>
      </w:pPr>
    </w:p>
    <w:p>
      <w:pPr>
        <w:ind w:right="18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To remain a significant supplier in the storage industry and to expand into new markets, we will need to offer a broader range of storage products to our customers. As we expand our product lines to sell into new markets,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new markets may result in increases in R&amp;D expenses and substantial investments in manufacturing capability, technology enhancements and go-to-market capability.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[RF5]</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flash-based memory producers or may not fall commensurate with declines in the price of flash-based memory, which would harm revenues, our gross margin and operating results.</w:t>
      </w:r>
    </w:p>
    <w:p>
      <w:pPr>
        <w:spacing w:after="0" w:line="17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additional technology transition risks related to 3D NAND, see the risk factors entitled “</w:t>
      </w:r>
      <w:r>
        <w:rPr>
          <w:rFonts w:ascii="Arial" w:cs="Arial" w:eastAsia="Arial" w:hAnsi="Arial"/>
          <w:sz w:val="18"/>
          <w:szCs w:val="18"/>
          <w:i w:val="1"/>
          <w:iCs w:val="1"/>
          <w:color w:val="auto"/>
        </w:rPr>
        <w:t>We rely substantially on our business ventures with Toshiba</w:t>
      </w:r>
      <w:r>
        <w:rPr>
          <w:rFonts w:ascii="Arial" w:cs="Arial" w:eastAsia="Arial" w:hAnsi="Arial"/>
          <w:sz w:val="18"/>
          <w:szCs w:val="18"/>
          <w:color w:val="auto"/>
        </w:rPr>
        <w:t xml:space="preserve"> </w:t>
      </w:r>
      <w:r>
        <w:rPr>
          <w:rFonts w:ascii="Arial" w:cs="Arial" w:eastAsia="Arial" w:hAnsi="Arial"/>
          <w:sz w:val="18"/>
          <w:szCs w:val="18"/>
          <w:i w:val="1"/>
          <w:iCs w:val="1"/>
          <w:color w:val="auto"/>
        </w:rPr>
        <w:t>Memory Corporation (“TMC”) for the supply of flash-based memory and the development of flash-based technology, which subjects us to risks and uncertainties that could harm our business, financial condition and operating results</w:t>
      </w:r>
      <w:r>
        <w:rPr>
          <w:rFonts w:ascii="Arial" w:cs="Arial" w:eastAsia="Arial" w:hAnsi="Arial"/>
          <w:sz w:val="18"/>
          <w:szCs w:val="18"/>
          <w:color w:val="auto"/>
        </w:rPr>
        <w:t>” 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gross margin and operating results.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Moving to new technologies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[RF6]</w:t>
      </w:r>
    </w:p>
    <w:p>
      <w:pPr>
        <w:spacing w:after="0" w:line="54"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There are some revolutionary technologies that, if implemented by a competitor on a commercially viable basis ahead of the industry, could put us at a competitive disadvantage, including shingled magnetic recording, energy-assisted magnetic recording, patterned magnetic media and advanced signal processing.</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Many companies, including some of our competitors, have also developed or are attempting to develop alternative non-volatile technologies, including non-NAND technologies such as magnetoresistive random-access memory (MRAM), resistive random-access memory (ReRAM) and phase change memory (PCM), and NAND-based vertical or stacked 3D memories based on charge trap, floating gate and other cell architectures.</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[RF7]</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on our ability to develop and introduce new products in a timely manner in order to keep pace with technology advancements and compete with alternative storage technologies. If our products fail to offer a superior value proposition to alternative storage products, we will be at a competitive disadvantage and our business will suffer. As we introduce new products, standards or technologies, it can take time for these new standards or technologies to be adopted, for customers to accept and transition to these new standards or technologies and for significant sales to be generated, if at all. Failure of our customers to adopt our new products, standards or technologies could harm our results of operations as we fail to reap the benefits of our investments.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transition future core, processor and controller development to the RISC-V architecture;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respond to customer requests for new products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incorporate open source software elements into our products and operate in an open source environment;</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[RF8]</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flash-based memory development and manufacturing. See the risk factor entitled “</w:t>
      </w:r>
      <w:r>
        <w:rPr>
          <w:rFonts w:ascii="Arial" w:cs="Arial" w:eastAsia="Arial" w:hAnsi="Arial"/>
          <w:sz w:val="17"/>
          <w:szCs w:val="17"/>
          <w:i w:val="1"/>
          <w:iCs w:val="1"/>
          <w:color w:val="auto"/>
        </w:rPr>
        <w:t>Because we are dependent on a limited number of qualified suppliers, a disruption in our supply</w:t>
      </w:r>
      <w:r>
        <w:rPr>
          <w:rFonts w:ascii="Arial" w:cs="Arial" w:eastAsia="Arial" w:hAnsi="Arial"/>
          <w:sz w:val="17"/>
          <w:szCs w:val="17"/>
          <w:color w:val="auto"/>
        </w:rPr>
        <w:t xml:space="preserve"> </w:t>
      </w:r>
      <w:r>
        <w:rPr>
          <w:rFonts w:ascii="Arial" w:cs="Arial" w:eastAsia="Arial" w:hAnsi="Arial"/>
          <w:sz w:val="17"/>
          <w:szCs w:val="17"/>
          <w:i w:val="1"/>
          <w:iCs w:val="1"/>
          <w:color w:val="auto"/>
        </w:rPr>
        <w:t>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color w:val="auto"/>
        </w:rPr>
        <w:t>” for a further description of the risks associated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[RF9]</w:t>
      </w:r>
    </w:p>
    <w:p>
      <w:pPr>
        <w:spacing w:after="0" w:line="54"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 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8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See the risk factors entitled </w:t>
      </w:r>
      <w:r>
        <w:rPr>
          <w:rFonts w:ascii="Arial" w:cs="Arial" w:eastAsia="Arial" w:hAnsi="Arial"/>
          <w:sz w:val="18"/>
          <w:szCs w:val="18"/>
          <w:i w:val="1"/>
          <w:iCs w:val="1"/>
          <w:color w:val="auto"/>
        </w:rPr>
        <w:t>“We rely substantially on our business ventures with Toshiba Memory Corporation (“TMC”) for the supply of flash-based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memory and the development of flash-based technology, which subjects us to risks and uncertainties that could harm our business, financial condition and operating results”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 </w:t>
      </w:r>
      <w:r>
        <w:rPr>
          <w:rFonts w:ascii="Arial" w:cs="Arial" w:eastAsia="Arial" w:hAnsi="Arial"/>
          <w:sz w:val="18"/>
          <w:szCs w:val="18"/>
          <w:color w:val="auto"/>
        </w:rPr>
        <w:t>for additional risks related to our supply of flash memory and our strategic relationships.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[RF10]</w:t>
      </w:r>
    </w:p>
    <w:p>
      <w:pPr>
        <w:spacing w:after="0" w:line="54"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or contractual commitments we enter into with suppliers to reduce the risk of component shortages, could increase our costs and may negatively impact our operating results.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flash-based memory and multi-layer ceramic capacitors (MLCC),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(such as the recently announced trade and tariff actions),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[RF11]</w:t>
      </w:r>
    </w:p>
    <w:p>
      <w:pPr>
        <w:spacing w:after="0" w:line="54"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may be at a competitive disadvantage for retaining and hiring key management, staff and skilled employees versus other companies that may pay a relatively higher portion of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[RF12]</w:t>
      </w:r>
    </w:p>
    <w:p>
      <w:pPr>
        <w:spacing w:after="0" w:line="54"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current concentration of Flash Ventures in Yokkaichi, Japan, magnifies the risks of supply disruption. The facilities of many of our customers, our suppliers and our customers’ suppliers are also concentrated in certain geographic locations throughout Asia and elsewhere. A fire, flood, earthquake, tsunami or other natural disaster, condition or event such as a power outage, political instability, civil unrest, localized labor unrest or other employment issues, or a localized health risk that adversely affects any of these facilities or the employees or logistics operators at these facilities, would significantly affect our ability to manufacture or sell our products,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6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[RF13]</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restrictions, such as export bans, embargos, sanctions and license and certification requirements (including on encryption technology), new or increased tariffs and fees and complex customs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125" w:right="2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For example, beginning in early 2018, the U.S. commenced certain trade actions, including proposed new and increased tariffs on an evolving list of imported materials and products. Countries have responded to these actions in various ways, including proposed tariff increases on products imported from the U.S. We cannot predict whether, or to what extent, there may be changes to international trade agreements or whether tariffs or other restrictions may be changed or imposed on our products or our supply chain. Such tariffs, policy or regulatory changes or other trade restrictions could increase our cost of doing business, our ability to sell to certain customers, and our operating results and financial condition could be adversely affected.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[RF14]</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sales seasonality and cyclicality, which could cause our operating results to fluctuate.</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[RF15]</w:t>
      </w:r>
    </w:p>
    <w:p>
      <w:pPr>
        <w:spacing w:after="0" w:line="54"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that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[RF16]</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cost savings initiatives or restructurings that we undertake may not deliver the results we expect, which may adversely affect our business.</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time to time, we engage in cost savings initiatives and restructurings that may result in workforce reduction and consolidation of our manufacturing or other facilities. As a result of any cost savings initiatives or restructurings,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or that additional costs will not offset any such reductions or consolidations. If our operating costs are higher than we expect or if we do not maintain adequate control of our costs and expenses, our operating results could be adversely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[RF17]</w:t>
      </w:r>
    </w:p>
    <w:p>
      <w:pPr>
        <w:spacing w:after="0" w:line="54"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Changes in demand for our products, changes in product life cycles and the failure to qualify our products and achieve design wins with our customers could adversely affect our sales, margins, ASPs and our ability to recover the cost of product development.</w:t>
      </w:r>
    </w:p>
    <w:p>
      <w:pPr>
        <w:spacing w:after="0" w:line="170"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Events or circumstances that impact demand in the markets for our products, or our inability to address that demand successfully, could materially adversely impact our operating results. For example, demand for our products may be affected by, among other factors, the following:</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inconsistent demand from customers whose sales are correlated to large projects and expansions which can be sporadic;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customer development of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regulation and enforcement of digital rights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emergence of new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demand due to differing patterns of technology adoption and innovation;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data protection by end users.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are not able to respond to these or other events or circumstances that impact demand for our products, it could lead to our customers’ storage needs being satisfied by competing storage technologies, thereby decreasing our sales. As a result, even with increasing aggregate demand for digital storage, if we fail to anticipate or timely respond to the demand for storage, our sales, ASPs and gross margin could decline, which could adversely affect our operating results and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Product life cycles may lengthen or shorten, both of which could adversely affect gross margins or our ability to recover the cost of product development.</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regularly engage in new product qualification with our customers, and the product qualification process may be lengthy for some customers. Once a product is accepted for qualification testing, failures or delays in the qualification process can result in delayed or reduced product sales, reduced product margins or lost sales to that customer until the next generation of products is introduced.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[RF18]</w:t>
      </w:r>
    </w:p>
    <w:p>
      <w:pPr>
        <w:spacing w:after="0" w:line="54"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September 28, 2018, our total indebtedness was $11.34 billion in aggregate principal, and we had $1.75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440" w:hanging="328"/>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ability to meet the debt service obligations contained in our debt agreements will depend on our available cash and our future performance, which will be affected by financial, business, economic and other factors. Our bank debt also contains a variable interest rate component based on our corporate credit ratings, which could result in increased interest rates and debt service obligations if our ratings were to decline.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cross-acceleration or cross-default of other debt, leases or other obligations. If we are required to repay our indebtedness before the applicable due dates, we may not have sufficient funds available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8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addition to our credit ratings impacting the interest rate on our current debt, our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[RF19]</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impacted our effective tax rate for fiscal year 2018 and also impacted our effective tax rate for the first quarter of fiscal 2019. Taxes due over a period of time as a result of the 2017 Act could be accelerated upon certain triggering events, including failure to pay such taxes when due. The 2017 Act made broad and complex changes to the U.S. tax code that may continue to impact our effective tax rate in future periods, and we expect to continue to see future regulatory, administrative or legislative guidance. We continue to analyze the 2017 Act to determine the full impact of the new tax law, and to the extent any future guidance differs from our preliminary interpretation of the law, it could have a material effect on our financial position and results of operations.</w:t>
      </w:r>
    </w:p>
    <w:p>
      <w:pPr>
        <w:spacing w:after="0" w:line="19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[RF20]</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[RF21]</w:t>
      </w:r>
    </w:p>
    <w:p>
      <w:pPr>
        <w:spacing w:after="0" w:line="54"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statutory notice of deficiency seeking certain adjustments to income and have filed a petition with the U.S. Tax Court as disclosed in Part I, Item 1, Note 11,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[RF22]</w:t>
      </w:r>
    </w:p>
    <w:p>
      <w:pPr>
        <w:spacing w:after="0" w:line="54" w:lineRule="exact"/>
        <w:rPr>
          <w:sz w:val="20"/>
          <w:szCs w:val="20"/>
          <w:color w:val="auto"/>
        </w:rPr>
      </w:pPr>
    </w:p>
    <w:p>
      <w:pPr>
        <w:ind w:right="8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8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[RF23]</w:t>
      </w:r>
    </w:p>
    <w:p>
      <w:pPr>
        <w:spacing w:after="0" w:line="54"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[RF24]</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 months ended September 28, 2018, 48%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[RF25]</w:t>
      </w:r>
    </w:p>
    <w:p>
      <w:pPr>
        <w:spacing w:after="0" w:line="54"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make significant R&amp;D investments to maintain our existing products and to lead innovation and development of new technologies. In addition, we may increase our capital expenditures and expenses above our historical run-rate model in order to remain competitive. The challenges of reducing operating costs could result in more costly capital expenditures that reduce the cost benefits of technology transitions and could limit our ability to keep pace with reductions in ASPs. Our R&amp;D investments may not result in viable technologies or products, and even if they do result in viable technologies or products, they may not be profitable or accepted by the market. In addition, if we are not able to improve our technology or develop new technologies at the same rate as our competitors or at a rate that is expected by our customers, we may be required to incur additional costs to meet demand without corresponding incremental revenue, which could negatively impact our operating margins and make achieving historical levels of cost reduction difficult or unlikely.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[RF26]</w:t>
      </w:r>
    </w:p>
    <w:p>
      <w:pPr>
        <w:spacing w:after="0" w:line="54"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[RF27]</w:t>
      </w:r>
    </w:p>
    <w:p>
      <w:pPr>
        <w:spacing w:after="0" w:line="54"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[RF28]</w:t>
      </w:r>
    </w:p>
    <w:p>
      <w:pPr>
        <w:spacing w:after="0" w:line="54"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[RF29]</w:t>
      </w:r>
    </w:p>
    <w:p>
      <w:pPr>
        <w:spacing w:after="0" w:line="54"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[RF30]</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[RF31]</w:t>
      </w:r>
    </w:p>
    <w:p>
      <w:pPr>
        <w:spacing w:after="0" w:line="54"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data privacy, anti-corruption and tax regulations, customers’ standards of corporate citizenship, and industry and coalition standards, such as those established by the Responsible Business Alliance (“RBA”), could cause an increase in our operating costs.</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data privacy,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[RF32]</w:t>
      </w:r>
    </w:p>
    <w:p>
      <w:pPr>
        <w:spacing w:after="0" w:line="54"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 interrupting or otherwise disrupting the shipment of our product components, damaging our reputation, forcing us to find alternate component sources, reducing demand for our products (for example, through a consumer boycott), or exposing us to potential liability for our suppliers’, customers’ or partners’ wrongdoings.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[RF33]</w:t>
      </w:r>
    </w:p>
    <w:p>
      <w:pPr>
        <w:spacing w:after="0" w:line="54"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[RF34]</w:t>
      </w:r>
    </w:p>
    <w:p>
      <w:pPr>
        <w:spacing w:after="0" w:line="54"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develop flash-based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[RF35]</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continued threat of terrorist activity and other acts of war or hostility have created, and may continue to create,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Future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[RF36]</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Sudden disruptions to the availability of air transportation, or ocean or land freight lanes, could have an impact on our operations.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[RF37]</w:t>
      </w:r>
    </w:p>
    <w:p>
      <w:pPr>
        <w:spacing w:after="0" w:line="54"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[RF38]</w:t>
      </w:r>
    </w:p>
    <w:p>
      <w:pPr>
        <w:spacing w:after="0" w:line="54"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Flash Ventures sells to and leases back from a consortium of financial institutions (“lessors”) a portion of its equipment and Flash Ventures has entered into equipment lease agreements, most of which we and TMC each guarantee half of the total outstanding obligations and some of which we guarantee in full for our share of the Flash Ventures investment. As of September 28, 2018, the portion of outstanding Flash Ventures’ lease obligations covered by our guarantees totaled approximately $1.24 billion, based upon the Japanese yen to U.S. dollar exchange rate at September 28, 2018.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[RF39]</w:t>
      </w:r>
    </w:p>
    <w:p>
      <w:pPr>
        <w:spacing w:after="0" w:line="54" w:lineRule="exact"/>
        <w:rPr>
          <w:sz w:val="20"/>
          <w:szCs w:val="20"/>
          <w:color w:val="auto"/>
        </w:rPr>
      </w:pPr>
    </w:p>
    <w:p>
      <w:pPr>
        <w:ind w:right="26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reduce or discontinue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[RF40]</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25"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[RF41]</w:t>
      </w:r>
    </w:p>
    <w:p>
      <w:pPr>
        <w:spacing w:after="0" w:line="54"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[RF42]</w:t>
      </w:r>
    </w:p>
    <w:p>
      <w:pPr>
        <w:spacing w:after="0" w:line="54"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[RF43]</w:t>
      </w:r>
    </w:p>
    <w:p>
      <w:pPr>
        <w:spacing w:after="0" w:line="54"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[RF44]</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125"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[RF45]</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repurchases by us of shares of our common stock during the quarter ended September 28,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Maximum Value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rPr>
              <w:t>Shares that May Yet</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 except average price paid per share)</w:t>
            </w:r>
          </w:p>
        </w:tc>
        <w:tc>
          <w:tcPr>
            <w:tcW w:w="162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be Purchased Under</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8"/>
                <w:szCs w:val="8"/>
                <w:b w:val="1"/>
                <w:bCs w:val="1"/>
                <w:color w:val="auto"/>
              </w:rPr>
              <w:t>(1)</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Announced Program</w:t>
            </w:r>
            <w:r>
              <w:rPr>
                <w:rFonts w:ascii="Arial" w:cs="Arial" w:eastAsia="Arial" w:hAnsi="Arial"/>
                <w:sz w:val="8"/>
                <w:szCs w:val="8"/>
                <w:b w:val="1"/>
                <w:bCs w:val="1"/>
                <w:color w:val="auto"/>
                <w:w w:val="94"/>
              </w:rPr>
              <w:t>(2)</w:t>
            </w:r>
          </w:p>
        </w:tc>
        <w:tc>
          <w:tcPr>
            <w:tcW w:w="140" w:type="dxa"/>
            <w:vAlign w:val="bottom"/>
          </w:tcPr>
          <w:p>
            <w:pPr>
              <w:spacing w:after="0"/>
              <w:rPr>
                <w:sz w:val="16"/>
                <w:szCs w:val="16"/>
                <w:color w:val="auto"/>
              </w:rPr>
            </w:pPr>
          </w:p>
        </w:tc>
        <w:tc>
          <w:tcPr>
            <w:tcW w:w="1340" w:type="dxa"/>
            <w:vAlign w:val="bottom"/>
          </w:tcPr>
          <w:p>
            <w:pPr>
              <w:jc w:val="right"/>
              <w:ind w:right="217"/>
              <w:spacing w:after="0"/>
              <w:rPr>
                <w:sz w:val="20"/>
                <w:szCs w:val="20"/>
                <w:color w:val="auto"/>
              </w:rPr>
            </w:pPr>
            <w:r>
              <w:rPr>
                <w:rFonts w:ascii="Arial" w:cs="Arial" w:eastAsia="Arial" w:hAnsi="Arial"/>
                <w:sz w:val="14"/>
                <w:szCs w:val="14"/>
                <w:b w:val="1"/>
                <w:bCs w:val="1"/>
                <w:color w:val="auto"/>
              </w:rPr>
              <w:t>the Program</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 30, 2018 - Jul. 27, 2018</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Jul. 28, 2018 - Aug. 24, 2018</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 25, 2018 - Sept. 28, 2018</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for the quarter ended Sept. 28, 2018</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2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commissions.</w:t>
      </w:r>
    </w:p>
    <w:p>
      <w:pPr>
        <w:spacing w:after="0" w:line="1" w:lineRule="exact"/>
        <w:rPr>
          <w:rFonts w:ascii="Arial" w:cs="Arial" w:eastAsia="Arial" w:hAnsi="Arial"/>
          <w:sz w:val="25"/>
          <w:szCs w:val="25"/>
          <w:color w:val="auto"/>
          <w:vertAlign w:val="superscript"/>
        </w:rPr>
      </w:pPr>
    </w:p>
    <w:p>
      <w:pPr>
        <w:ind w:left="340" w:right="180" w:hanging="332"/>
        <w:spacing w:after="0" w:line="251"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Our Board of Directors previously authorized $5.00 billion for the repurchase of our common stock. Between June 30, 2018 and July 25, 2018, we repurchased 0.8 million shares for a total cost of $61 million under this previous authorization. On July 25, 2018, our Board of Directors authorized a new $5.00 billion share repurchase program that is effective through July 25, 2023, replacing all prior programs. During the three months ended September 28, 2018, we purchased 7.6 million shares for a total cost of $502 million under this new program. Therefore, the Company’s stock repurchases under all stock repurchase authorizations in effect for the three months ended September 28, 2018 totaled $563 million.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60" w:firstLine="8"/>
        <w:spacing w:after="0" w:line="281"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200" w:firstLine="8"/>
        <w:spacing w:after="0" w:line="261"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454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2"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740" w:type="dxa"/>
            <w:vAlign w:val="bottom"/>
            <w:gridSpan w:val="4"/>
          </w:tcPr>
          <w:p>
            <w:pPr>
              <w:jc w:val="center"/>
              <w:ind w:left="310"/>
              <w:spacing w:after="0"/>
              <w:rPr>
                <w:rFonts w:ascii="Arial" w:cs="Arial" w:eastAsia="Arial" w:hAnsi="Arial"/>
                <w:sz w:val="18"/>
                <w:szCs w:val="18"/>
                <w:color w:val="0000FF"/>
                <w:w w:val="87"/>
              </w:rPr>
            </w:pPr>
            <w:hyperlink r:id="rId4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60" w:type="dxa"/>
            <w:vAlign w:val="bottom"/>
          </w:tcPr>
          <w:p>
            <w:pPr>
              <w:spacing w:after="0"/>
              <w:rPr>
                <w:sz w:val="17"/>
                <w:szCs w:val="17"/>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r>
      <w:tr>
        <w:trPr>
          <w:trHeight w:val="237"/>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740" w:type="dxa"/>
            <w:vAlign w:val="bottom"/>
            <w:gridSpan w:val="4"/>
            <w:shd w:val="clear" w:color="auto" w:fill="CCEEFF"/>
          </w:tcPr>
          <w:p>
            <w:pPr>
              <w:jc w:val="center"/>
              <w:ind w:left="310"/>
              <w:spacing w:after="0" w:line="202" w:lineRule="exact"/>
              <w:rPr>
                <w:rFonts w:ascii="Arial" w:cs="Arial" w:eastAsia="Arial" w:hAnsi="Arial"/>
                <w:sz w:val="18"/>
                <w:szCs w:val="18"/>
                <w:color w:val="0000FF"/>
                <w:w w:val="87"/>
              </w:rPr>
            </w:pPr>
            <w:hyperlink r:id="rId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60" w:type="dxa"/>
            <w:vAlign w:val="bottom"/>
            <w:shd w:val="clear" w:color="auto" w:fill="CCEEFF"/>
          </w:tcPr>
          <w:p>
            <w:pPr>
              <w:spacing w:after="0"/>
              <w:rPr>
                <w:sz w:val="17"/>
                <w:szCs w:val="17"/>
                <w:color w:val="auto"/>
              </w:rPr>
            </w:pPr>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Amended and Restated By-Laws of Western Digital Corporation, as amended effective as of May 2, 2018 (Filed as Exhibit 3.1 to the</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8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6"/>
              </w:rPr>
              <w:t>Form of Notice of Grant of Performance Stock Units and Performance Stock Unit Award Agreement - Financial Measure, under the</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Amended and Restated Western Digital Corporation 2017 Performance Incentive Plan†</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9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Form of Notice of Grant of Performance Stock Units and Performance Stock Unit Award Agreement - TSR Measure, under the Amended</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Restated Western Digital Corporation 2017 Performance Incentive Plan†</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5"/>
              </w:rPr>
              <w:t>Form of Notice of Grant of Restricted Stock Units and Restricted Stock Unit Award Agreement - Vice President and Above, under the</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Amended and Restated Western Digital Corporation 2017 Performance Incentive Plan†</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2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Form of Notice of Grant of Restricted Stock Units and Restricted Stock Unit Award Agreement, under the Amended and Restated Western</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Digital Corporation 2017 Performance Incentive Plan†</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36">
              <w:r>
                <w:rPr>
                  <w:rFonts w:ascii="Arial" w:cs="Arial" w:eastAsia="Arial" w:hAnsi="Arial"/>
                  <w:sz w:val="18"/>
                  <w:szCs w:val="18"/>
                  <w:color w:val="0000FF"/>
                  <w:w w:val="91"/>
                </w:rPr>
                <w:t>12.</w:t>
              </w:r>
              <w:r>
                <w:rPr>
                  <w:rFonts w:ascii="Arial" w:cs="Arial" w:eastAsia="Arial" w:hAnsi="Arial"/>
                  <w:sz w:val="18"/>
                  <w:szCs w:val="18"/>
                  <w:u w:val="single" w:color="auto"/>
                  <w:color w:val="0000FF"/>
                  <w:w w:val="91"/>
                </w:rPr>
                <w:t>1</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rPr>
              <w:t>Statement of Computation of Ratio of Earnings to Fixed Charges†</w:t>
            </w:r>
          </w:p>
        </w:tc>
      </w:tr>
      <w:tr>
        <w:trPr>
          <w:trHeight w:val="48"/>
        </w:trPr>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0280" w:type="dxa"/>
            <w:vAlign w:val="bottom"/>
          </w:tcPr>
          <w:p>
            <w:pPr>
              <w:spacing w:after="0"/>
              <w:rPr>
                <w:sz w:val="4"/>
                <w:szCs w:val="4"/>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28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0280" w:type="dxa"/>
            <w:vAlign w:val="bottom"/>
          </w:tcPr>
          <w:p>
            <w:pPr>
              <w:spacing w:after="0"/>
              <w:rPr>
                <w:sz w:val="4"/>
                <w:szCs w:val="4"/>
                <w:color w:val="auto"/>
              </w:rPr>
            </w:pPr>
          </w:p>
        </w:tc>
      </w:tr>
      <w:tr>
        <w:trPr>
          <w:trHeight w:val="203"/>
        </w:trPr>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13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44"/>
        </w:trPr>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2002**</w:t>
            </w:r>
          </w:p>
        </w:tc>
      </w:tr>
      <w:tr>
        <w:trPr>
          <w:trHeight w:val="203"/>
        </w:trPr>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14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280" w:type="dxa"/>
            <w:vAlign w:val="bottom"/>
          </w:tcPr>
          <w:p>
            <w:pPr>
              <w:ind w:left="18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7"/>
        </w:trPr>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20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32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signed on its behalf by the undersigned, thereunto duly authorized.</w:t>
      </w: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2018</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125"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172085</wp:posOffset>
            </wp:positionV>
            <wp:extent cx="182689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8268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5601 Great Oaks Parkway</w:t>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San Jose, California 95119</w:t>
      </w:r>
    </w:p>
    <w:p>
      <w:pPr>
        <w:spacing w:after="0" w:line="5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(408) 717-6000</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Performance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Performance Stock Unit Award Agreement – Financial Measures</w:t>
      </w:r>
    </w:p>
    <w:p>
      <w:pPr>
        <w:spacing w:after="0" w:line="200" w:lineRule="exact"/>
        <w:rPr>
          <w:sz w:val="20"/>
          <w:szCs w:val="20"/>
          <w:color w:val="auto"/>
        </w:rPr>
      </w:pP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&lt;&lt;Name&gt;&gt;</w:t>
      </w:r>
      <w:r>
        <w:rPr>
          <w:sz w:val="20"/>
          <w:szCs w:val="20"/>
          <w:color w:val="auto"/>
        </w:rPr>
        <w:tab/>
      </w:r>
      <w:r>
        <w:rPr>
          <w:rFonts w:ascii="Arial" w:cs="Arial" w:eastAsia="Arial" w:hAnsi="Arial"/>
          <w:sz w:val="19"/>
          <w:szCs w:val="19"/>
          <w:b w:val="1"/>
          <w:bCs w:val="1"/>
          <w:color w:val="auto"/>
        </w:rPr>
        <w:t>Award Number:</w:t>
      </w:r>
    </w:p>
    <w:p>
      <w:pPr>
        <w:spacing w:after="0" w:line="28"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1&gt;&gt;</w:t>
      </w:r>
      <w:r>
        <w:rPr>
          <w:sz w:val="20"/>
          <w:szCs w:val="20"/>
          <w:color w:val="auto"/>
        </w:rPr>
        <w:tab/>
      </w:r>
      <w:r>
        <w:rPr>
          <w:rFonts w:ascii="Arial" w:cs="Arial" w:eastAsia="Arial" w:hAnsi="Arial"/>
          <w:sz w:val="19"/>
          <w:szCs w:val="19"/>
          <w:b w:val="1"/>
          <w:bCs w:val="1"/>
          <w:color w:val="auto"/>
        </w:rPr>
        <w:t>Plan: 2017 Performance Incentive Plan</w:t>
      </w:r>
    </w:p>
    <w:p>
      <w:pPr>
        <w:spacing w:after="0" w:line="17"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2&gt;&gt;</w:t>
        <w:tab/>
        <w:t>ID: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“Performance Stock Units”) of Western Digital Corporation (the “Corporation”). These Performance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Target Number of Performance Stock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&lt;&lt;vesting date&gt;&gt;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Measurement Period covered by grant: </w:t>
      </w:r>
      <w:r>
        <w:rPr>
          <w:rFonts w:ascii="Arial" w:cs="Arial" w:eastAsia="Arial" w:hAnsi="Arial"/>
          <w:sz w:val="19"/>
          <w:szCs w:val="19"/>
          <w:color w:val="auto"/>
        </w:rPr>
        <w:t>Of the Total Target Number of Performance Stock Units subject to the award, [_______]</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Target Number of Performance Stock Units subject to the award correspond to a performance measurement period that begins &lt;&lt;__________&gt;&gt; and ends &lt;&lt;__________&gt;&gt; (the “First Measurement Period”). Of the Total Target Number of Performance Stock</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Units subject to the award, [_______] Target Number of Performance Stock Units subject to the award correspond to a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measurement period that begins &lt;&lt;___________&gt;&gt; and ends &lt;&lt;___________&gt;&gt; (the “Second Measurement Period”). The actual</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number of Performance Stock Units that may become eligible to vest on the Vesting Date based on performance during a Measurement Period may range from [0%] to [200%] of the Target Number of Performance Stock Units subject to the award corresponding to that Measurement Period, subject to forfeiture under Section 8 of the attached Standard Terms and Conditions for Performance Stock Unit Award – Financial Measures (the “Standard Terms”).</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PERFORMANCE STOCK UNIT AWARD – FINANCIAL MEASURES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2017 Performance Incentive Plan</w:t>
      </w:r>
    </w:p>
    <w:p>
      <w:pPr>
        <w:spacing w:after="0" w:line="232" w:lineRule="exact"/>
        <w:rPr>
          <w:sz w:val="20"/>
          <w:szCs w:val="20"/>
          <w:color w:val="auto"/>
        </w:rPr>
      </w:pPr>
    </w:p>
    <w:p>
      <w:pPr>
        <w:ind w:left="800" w:hanging="792"/>
        <w:spacing w:after="0"/>
        <w:tabs>
          <w:tab w:leader="none" w:pos="8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Units Subject to Amended and Restated 2017 Performance Incentive Plan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Performance Stock Unit Award – Financial Measures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 later than seventy-five (75) days following the end of each Measurement Period as set forth in the Notice, the Administrator shall determine, in accordance with the performance goals and related criteria and methodology established by the Administrator for the applicable Measurement Period, the extent to which the performance goals have been achieved and the actual number of Stock Units becoming eligible to vest (subject to the following paragraph) based on performance during the applicable Measurement Period. Any Stock Units (including any related Stock Units credited as dividend equivalents pursuant to Section 4) corresponding to a particular Measurement Period that do not become eligible to vest based on performance during the applicable Measurement Period shall terminate following the end of the applicable Measurement Period when the Administrator has determined the extent to which the performance goals have not been achieved as to that Measurement Period (not later than seventy-five (75) days following the end of that Measurement Period), and the Participant shall have no further rights with respect to such terminated Stock Units.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otherwise provided in this Award Agreement, and subject to Section 8 below, the number of Stock Units becoming eligible to vest based on performance during each of the First Measurement Period and the Second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or mitigate a termination of rights and benefits upon or following a termination of employment or services as provided in Section 8 below or under the Plan.</w:t>
      </w: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Section 7 below, any Stock Unit granted (or credited pursuant to Section 5) to the Participant that becomes vested (whether pursuant to Section 4, Section 7 or Section 8 hereof), shall be paid to the Participant on or within sixty (60) days following the Vesting Date.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8" w:right="239" w:bottom="1440" w:gutter="0" w:footer="0" w:header="0"/>
        </w:sectPr>
      </w:pPr>
    </w:p>
    <w:bookmarkStart w:id="86" w:name="page87"/>
    <w:bookmarkEnd w:id="86"/>
    <w:p>
      <w:pPr>
        <w:ind w:right="20"/>
        <w:spacing w:after="0" w:line="342" w:lineRule="auto"/>
        <w:rPr>
          <w:sz w:val="20"/>
          <w:szCs w:val="20"/>
          <w:color w:val="auto"/>
        </w:rPr>
      </w:pPr>
      <w:r>
        <w:rPr>
          <w:rFonts w:ascii="Arial" w:cs="Arial" w:eastAsia="Arial" w:hAnsi="Arial"/>
          <w:sz w:val="16"/>
          <w:szCs w:val="16"/>
          <w:color w:val="auto"/>
        </w:rPr>
        <w:t>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jc w:val="both"/>
        <w:ind w:firstLine="8"/>
        <w:spacing w:after="0" w:line="291" w:lineRule="auto"/>
        <w:tabs>
          <w:tab w:leader="none" w:pos="40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67" w:lineRule="exact"/>
        <w:rPr>
          <w:rFonts w:ascii="Arial" w:cs="Arial" w:eastAsia="Arial" w:hAnsi="Arial"/>
          <w:sz w:val="16"/>
          <w:szCs w:val="16"/>
          <w:color w:val="auto"/>
        </w:rPr>
      </w:pPr>
    </w:p>
    <w:p>
      <w:pPr>
        <w:jc w:val="both"/>
        <w:ind w:firstLine="8"/>
        <w:spacing w:after="0" w:line="269" w:lineRule="auto"/>
        <w:tabs>
          <w:tab w:leader="none" w:pos="40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Death of the Participant</w:t>
      </w:r>
      <w:r>
        <w:rPr>
          <w:rFonts w:ascii="Arial" w:cs="Arial" w:eastAsia="Arial" w:hAnsi="Arial"/>
          <w:sz w:val="17"/>
          <w:szCs w:val="17"/>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corresponding to a Measurement Period with respect to the Award that shall become vested on the Vesting Date equals (i) the Employment Fraction (determined as set forth below) multiplied by (ii) the number of Stock Units subject to the Award corresponding to that Measurement Period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 days as to the First Measurement Period, and [______] days as to the Second Measurement Period).</w:t>
      </w:r>
    </w:p>
    <w:p>
      <w:pPr>
        <w:spacing w:after="0" w:line="179" w:lineRule="exact"/>
        <w:rPr>
          <w:rFonts w:ascii="Arial" w:cs="Arial" w:eastAsia="Arial" w:hAnsi="Arial"/>
          <w:sz w:val="17"/>
          <w:szCs w:val="17"/>
          <w:color w:val="auto"/>
        </w:rPr>
      </w:pPr>
    </w:p>
    <w:p>
      <w:pPr>
        <w:jc w:val="both"/>
        <w:ind w:firstLine="8"/>
        <w:spacing w:after="0" w:line="291" w:lineRule="auto"/>
        <w:tabs>
          <w:tab w:leader="none" w:pos="43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Retirement of the Participant</w:t>
      </w:r>
      <w:r>
        <w:rPr>
          <w:rFonts w:ascii="Arial" w:cs="Arial" w:eastAsia="Arial" w:hAnsi="Arial"/>
          <w:sz w:val="16"/>
          <w:szCs w:val="16"/>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8" w:right="239" w:bottom="1440" w:gutter="0" w:footer="0" w:header="0"/>
        </w:sectPr>
      </w:pPr>
    </w:p>
    <w:bookmarkStart w:id="87" w:name="page88"/>
    <w:bookmarkEnd w:id="87"/>
    <w:p>
      <w:pPr>
        <w:jc w:val="both"/>
        <w:spacing w:after="0" w:line="302" w:lineRule="auto"/>
        <w:rPr>
          <w:sz w:val="20"/>
          <w:szCs w:val="20"/>
          <w:color w:val="auto"/>
        </w:rPr>
      </w:pPr>
      <w:r>
        <w:rPr>
          <w:rFonts w:ascii="Arial" w:cs="Arial" w:eastAsia="Arial" w:hAnsi="Arial"/>
          <w:sz w:val="16"/>
          <w:szCs w:val="16"/>
          <w:color w:val="auto"/>
        </w:rPr>
        <w:t>in another service capacity such that the Participant does not have a Separation Date in connection with his or her Retirement, the remaining portion of the Award not eligible to vest in connection with such Retirement shall remain eligible to vest through and until the Participant’s Separation Date should it occur before the Vesting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pacing w:after="0" w:line="181" w:lineRule="exact"/>
        <w:rPr>
          <w:sz w:val="20"/>
          <w:szCs w:val="20"/>
          <w:color w:val="auto"/>
        </w:rPr>
      </w:pPr>
    </w:p>
    <w:p>
      <w:pPr>
        <w:jc w:val="both"/>
        <w:ind w:firstLine="8"/>
        <w:spacing w:after="0" w:line="255" w:lineRule="auto"/>
        <w:tabs>
          <w:tab w:leader="none" w:pos="39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8" w:right="239" w:bottom="1440" w:gutter="0" w:footer="0" w:header="0"/>
        </w:sectPr>
      </w:pPr>
    </w:p>
    <w:bookmarkStart w:id="88" w:name="page89"/>
    <w:bookmarkEnd w:id="88"/>
    <w:p>
      <w:pPr>
        <w:jc w:val="both"/>
        <w:spacing w:after="0" w:line="269"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8" w:right="2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6"/>
          <w:szCs w:val="16"/>
          <w:color w:val="auto"/>
        </w:rPr>
        <w:t>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8" w:right="239" w:bottom="1440" w:gutter="0" w:footer="0" w:header="0"/>
        </w:sectPr>
      </w:pPr>
    </w:p>
    <w:bookmarkStart w:id="90" w:name="page91"/>
    <w:bookmarkEnd w:id="90"/>
    <w:p>
      <w:pPr>
        <w:ind w:right="60"/>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8"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PERFORMANCE STOCK UNIT AWARD – FINANCIAL MEASURES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Measures and Goals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[To be inserted]</w:t>
      </w:r>
    </w:p>
    <w:p>
      <w:pPr>
        <w:sectPr>
          <w:pgSz w:w="11900" w:h="16838" w:orient="portrait"/>
          <w:cols w:equalWidth="0" w:num="1">
            <w:col w:w="9019"/>
          </w:cols>
          <w:pgMar w:left="1440" w:top="369" w:right="1440"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20"/>
          <w:szCs w:val="20"/>
          <w:b w:val="1"/>
          <w:bCs w:val="1"/>
          <w:u w:val="single" w:color="auto"/>
          <w:color w:val="auto"/>
        </w:rPr>
        <w:t>APPENDIX A</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 to issue or deliver the shares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360" w:right="259" w:bottom="1440" w:gutter="0" w:footer="0" w:header="0"/>
        </w:sectPr>
      </w:pPr>
    </w:p>
    <w:bookmarkStart w:id="93" w:name="page94"/>
    <w:bookmarkEnd w:id="93"/>
    <w:p>
      <w:pPr>
        <w:ind w:right="100"/>
        <w:spacing w:after="0" w:line="277" w:lineRule="auto"/>
        <w:rPr>
          <w:sz w:val="20"/>
          <w:szCs w:val="20"/>
          <w:color w:val="auto"/>
        </w:rPr>
      </w:pPr>
      <w:r>
        <w:rPr>
          <w:rFonts w:ascii="Arial" w:cs="Arial" w:eastAsia="Arial" w:hAnsi="Arial"/>
          <w:sz w:val="18"/>
          <w:szCs w:val="18"/>
          <w:color w:val="auto"/>
        </w:rPr>
        <w:t>of Common Stock or the proceeds of the sale of shares if the Participant fails to comply with the Participant’s obligations in connection with the Tax-Related Items.</w:t>
      </w:r>
    </w:p>
    <w:p>
      <w:pPr>
        <w:spacing w:after="0" w:line="18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right="20" w:firstLine="1305"/>
        <w:spacing w:after="0" w:line="324" w:lineRule="auto"/>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right="320" w:firstLine="1305"/>
        <w:spacing w:after="0" w:line="324" w:lineRule="auto"/>
        <w:tabs>
          <w:tab w:leader="none" w:pos="18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1840" w:hanging="535"/>
        <w:spacing w:after="0"/>
        <w:tabs>
          <w:tab w:leader="none" w:pos="1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firstLine="1305"/>
        <w:spacing w:after="0" w:line="324" w:lineRule="auto"/>
        <w:tabs>
          <w:tab w:leader="none" w:pos="1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ind w:firstLine="1305"/>
        <w:spacing w:after="0" w:line="304" w:lineRule="auto"/>
        <w:tabs>
          <w:tab w:leader="none" w:pos="1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01" w:lineRule="exact"/>
        <w:rPr>
          <w:rFonts w:ascii="Arial" w:cs="Arial" w:eastAsia="Arial" w:hAnsi="Arial"/>
          <w:sz w:val="18"/>
          <w:szCs w:val="18"/>
          <w:color w:val="auto"/>
        </w:rPr>
      </w:pPr>
    </w:p>
    <w:p>
      <w:pPr>
        <w:ind w:left="1740" w:hanging="435"/>
        <w:spacing w:after="0"/>
        <w:tabs>
          <w:tab w:leader="none" w:pos="1740" w:val="left"/>
        </w:tabs>
        <w:numPr>
          <w:ilvl w:val="1"/>
          <w:numId w:val="36"/>
        </w:numPr>
        <w:rPr>
          <w:rFonts w:ascii="Arial" w:cs="Arial" w:eastAsia="Arial" w:hAnsi="Arial"/>
          <w:sz w:val="19"/>
          <w:szCs w:val="19"/>
          <w:color w:val="auto"/>
        </w:rPr>
      </w:pPr>
      <w:r>
        <w:rPr>
          <w:rFonts w:ascii="Arial" w:cs="Arial" w:eastAsia="Arial" w:hAnsi="Arial"/>
          <w:sz w:val="16"/>
          <w:szCs w:val="16"/>
          <w:color w:val="auto"/>
        </w:rPr>
        <w:t>the future value of the shares of Common Stock underlying the Stock Units is unknown, indeterminable, and cannot be predicted with</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certainty;</w:t>
      </w:r>
    </w:p>
    <w:p>
      <w:pPr>
        <w:spacing w:after="0" w:line="279" w:lineRule="exact"/>
        <w:rPr>
          <w:rFonts w:ascii="Arial" w:cs="Arial" w:eastAsia="Arial" w:hAnsi="Arial"/>
          <w:sz w:val="19"/>
          <w:szCs w:val="19"/>
          <w:color w:val="auto"/>
        </w:rPr>
      </w:pPr>
    </w:p>
    <w:p>
      <w:pPr>
        <w:ind w:right="60" w:firstLine="1305"/>
        <w:spacing w:after="0" w:line="350" w:lineRule="auto"/>
        <w:tabs>
          <w:tab w:leader="none" w:pos="1728" w:val="left"/>
        </w:tabs>
        <w:numPr>
          <w:ilvl w:val="1"/>
          <w:numId w:val="36"/>
        </w:numPr>
        <w:rPr>
          <w:rFonts w:ascii="Arial" w:cs="Arial" w:eastAsia="Arial" w:hAnsi="Arial"/>
          <w:sz w:val="19"/>
          <w:szCs w:val="19"/>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55" w:lineRule="exact"/>
        <w:rPr>
          <w:rFonts w:ascii="Arial" w:cs="Arial" w:eastAsia="Arial" w:hAnsi="Arial"/>
          <w:sz w:val="19"/>
          <w:szCs w:val="19"/>
          <w:color w:val="auto"/>
        </w:rPr>
      </w:pPr>
    </w:p>
    <w:p>
      <w:pPr>
        <w:ind w:right="20" w:firstLine="1305"/>
        <w:spacing w:after="0" w:line="301" w:lineRule="auto"/>
        <w:tabs>
          <w:tab w:leader="none" w:pos="1680" w:val="left"/>
        </w:tabs>
        <w:numPr>
          <w:ilvl w:val="1"/>
          <w:numId w:val="36"/>
        </w:numPr>
        <w:rPr>
          <w:rFonts w:ascii="Arial" w:cs="Arial" w:eastAsia="Arial" w:hAnsi="Arial"/>
          <w:sz w:val="21"/>
          <w:szCs w:val="21"/>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206" w:lineRule="exact"/>
        <w:rPr>
          <w:rFonts w:ascii="Arial" w:cs="Arial" w:eastAsia="Arial" w:hAnsi="Arial"/>
          <w:sz w:val="21"/>
          <w:szCs w:val="21"/>
          <w:color w:val="auto"/>
        </w:rPr>
      </w:pPr>
    </w:p>
    <w:p>
      <w:pPr>
        <w:ind w:right="100" w:firstLine="1305"/>
        <w:spacing w:after="0" w:line="280" w:lineRule="auto"/>
        <w:tabs>
          <w:tab w:leader="none" w:pos="1680" w:val="left"/>
        </w:tabs>
        <w:numPr>
          <w:ilvl w:val="1"/>
          <w:numId w:val="36"/>
        </w:numPr>
        <w:rPr>
          <w:rFonts w:ascii="Arial" w:cs="Arial" w:eastAsia="Arial" w:hAnsi="Arial"/>
          <w:sz w:val="22"/>
          <w:szCs w:val="22"/>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221" w:lineRule="exact"/>
        <w:rPr>
          <w:rFonts w:ascii="Arial" w:cs="Arial" w:eastAsia="Arial" w:hAnsi="Arial"/>
          <w:sz w:val="22"/>
          <w:szCs w:val="22"/>
          <w:color w:val="auto"/>
        </w:rPr>
      </w:pPr>
    </w:p>
    <w:p>
      <w:pPr>
        <w:ind w:right="40" w:firstLine="1305"/>
        <w:spacing w:after="0" w:line="280" w:lineRule="auto"/>
        <w:tabs>
          <w:tab w:leader="none" w:pos="1728" w:val="left"/>
        </w:tabs>
        <w:numPr>
          <w:ilvl w:val="1"/>
          <w:numId w:val="36"/>
        </w:numPr>
        <w:rPr>
          <w:rFonts w:ascii="Arial" w:cs="Arial" w:eastAsia="Arial" w:hAnsi="Arial"/>
          <w:sz w:val="22"/>
          <w:szCs w:val="22"/>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98" w:lineRule="exact"/>
        <w:rPr>
          <w:rFonts w:ascii="Arial" w:cs="Arial" w:eastAsia="Arial" w:hAnsi="Arial"/>
          <w:sz w:val="22"/>
          <w:szCs w:val="22"/>
          <w:color w:val="auto"/>
        </w:rPr>
      </w:pPr>
    </w:p>
    <w:p>
      <w:pPr>
        <w:ind w:left="360" w:hanging="352"/>
        <w:spacing w:after="0"/>
        <w:tabs>
          <w:tab w:leader="none" w:pos="360" w:val="left"/>
        </w:tabs>
        <w:numPr>
          <w:ilvl w:val="0"/>
          <w:numId w:val="37"/>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68" w:right="259" w:bottom="1440" w:gutter="0" w:footer="0" w:header="0"/>
        </w:sectPr>
      </w:pPr>
    </w:p>
    <w:bookmarkStart w:id="94" w:name="page95"/>
    <w:bookmarkEnd w:id="94"/>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81" w:lineRule="exact"/>
        <w:rPr>
          <w:sz w:val="20"/>
          <w:szCs w:val="20"/>
          <w:color w:val="auto"/>
        </w:rPr>
      </w:pPr>
    </w:p>
    <w:p>
      <w:pPr>
        <w:jc w:val="both"/>
        <w:ind w:firstLine="1305"/>
        <w:spacing w:after="0" w:line="304" w:lineRule="auto"/>
        <w:tabs>
          <w:tab w:leader="none" w:pos="2155"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firstLine="1305"/>
        <w:spacing w:after="0" w:line="322" w:lineRule="auto"/>
        <w:tabs>
          <w:tab w:leader="none" w:pos="2155"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firstLine="1305"/>
        <w:spacing w:after="0" w:line="370" w:lineRule="auto"/>
        <w:tabs>
          <w:tab w:leader="none" w:pos="2144" w:val="left"/>
        </w:tabs>
        <w:numPr>
          <w:ilvl w:val="0"/>
          <w:numId w:val="3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firstLine="1305"/>
        <w:spacing w:after="0" w:line="340" w:lineRule="auto"/>
        <w:tabs>
          <w:tab w:leader="none" w:pos="2155"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firstLine="1305"/>
        <w:spacing w:after="0" w:line="349" w:lineRule="auto"/>
        <w:tabs>
          <w:tab w:leader="none" w:pos="2144"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w:t>
      </w:r>
    </w:p>
    <w:p>
      <w:pPr>
        <w:spacing w:after="0" w:line="38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8"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i w:val="1"/>
          <w:iCs w:val="1"/>
          <w:color w:val="auto"/>
        </w:rPr>
        <w:t>Participant’s Personal Data for any of the above purposes, the Participant understands the Corporation will remove it from its systems.</w:t>
      </w:r>
    </w:p>
    <w:p>
      <w:pPr>
        <w:spacing w:after="0" w:line="277" w:lineRule="exact"/>
        <w:rPr>
          <w:sz w:val="20"/>
          <w:szCs w:val="20"/>
          <w:color w:val="auto"/>
        </w:rPr>
      </w:pPr>
    </w:p>
    <w:p>
      <w:pPr>
        <w:jc w:val="both"/>
        <w:ind w:firstLine="1305"/>
        <w:spacing w:after="0" w:line="322" w:lineRule="auto"/>
        <w:tabs>
          <w:tab w:leader="none" w:pos="2125" w:val="left"/>
        </w:tabs>
        <w:numPr>
          <w:ilvl w:val="1"/>
          <w:numId w:val="3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6" w:lineRule="exact"/>
        <w:rPr>
          <w:rFonts w:ascii="Arial" w:cs="Arial" w:eastAsia="Arial" w:hAnsi="Arial"/>
          <w:sz w:val="17"/>
          <w:szCs w:val="17"/>
          <w:b w:val="1"/>
          <w:bCs w:val="1"/>
          <w:i w:val="1"/>
          <w:iCs w:val="1"/>
          <w:color w:val="auto"/>
        </w:rPr>
      </w:pPr>
    </w:p>
    <w:p>
      <w:pPr>
        <w:jc w:val="both"/>
        <w:ind w:firstLine="1305"/>
        <w:spacing w:after="0" w:line="357" w:lineRule="auto"/>
        <w:tabs>
          <w:tab w:leader="none" w:pos="2155" w:val="left"/>
        </w:tabs>
        <w:numPr>
          <w:ilvl w:val="1"/>
          <w:numId w:val="3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5" w:right="239" w:bottom="1440" w:gutter="0" w:footer="0" w:header="0"/>
        </w:sectPr>
      </w:pPr>
    </w:p>
    <w:bookmarkStart w:id="96" w:name="page97"/>
    <w:bookmarkEnd w:id="96"/>
    <w:p>
      <w:pPr>
        <w:ind w:right="60"/>
        <w:spacing w:after="0" w:line="270" w:lineRule="auto"/>
        <w:rPr>
          <w:sz w:val="20"/>
          <w:szCs w:val="20"/>
          <w:color w:val="auto"/>
        </w:rPr>
      </w:pPr>
      <w:r>
        <w:rPr>
          <w:rFonts w:ascii="Arial" w:cs="Arial" w:eastAsia="Arial" w:hAnsi="Arial"/>
          <w:sz w:val="17"/>
          <w:szCs w:val="17"/>
          <w:color w:val="auto"/>
        </w:rPr>
        <w:t>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7"/>
          <w:szCs w:val="17"/>
          <w:i w:val="1"/>
          <w:iCs w:val="1"/>
          <w:color w:val="auto"/>
        </w:rPr>
        <w:t>e.g.</w:t>
      </w:r>
      <w:r>
        <w:rPr>
          <w:rFonts w:ascii="Arial" w:cs="Arial" w:eastAsia="Arial" w:hAnsi="Arial"/>
          <w:sz w:val="17"/>
          <w:szCs w:val="17"/>
          <w:color w:val="auto"/>
        </w:rPr>
        <w:t>, the Stock Units) or rights linked to the value of Common Stock (</w:t>
      </w:r>
      <w:r>
        <w:rPr>
          <w:rFonts w:ascii="Arial" w:cs="Arial" w:eastAsia="Arial" w:hAnsi="Arial"/>
          <w:sz w:val="17"/>
          <w:szCs w:val="17"/>
          <w:i w:val="1"/>
          <w:iCs w:val="1"/>
          <w:color w:val="auto"/>
        </w:rPr>
        <w:t>e.g.</w:t>
      </w:r>
      <w:r>
        <w:rPr>
          <w:rFonts w:ascii="Arial" w:cs="Arial" w:eastAsia="Arial" w:hAnsi="Arial"/>
          <w:sz w:val="17"/>
          <w:szCs w:val="17"/>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0"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368" w:right="27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2689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8268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Western Digital Corporation</w:t>
      </w:r>
    </w:p>
    <w:p>
      <w:pPr>
        <w:spacing w:after="0" w:line="17"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5601 Great Oaks Parkway</w:t>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San Jose, California 95119</w:t>
      </w:r>
    </w:p>
    <w:p>
      <w:pPr>
        <w:spacing w:after="0" w:line="69"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(408) 717-6000</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Performance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Performance Stock Unit Award Agreement – TSR Measure</w:t>
      </w:r>
    </w:p>
    <w:p>
      <w:pPr>
        <w:spacing w:after="0" w:line="200" w:lineRule="exact"/>
        <w:rPr>
          <w:sz w:val="20"/>
          <w:szCs w:val="20"/>
          <w:color w:val="auto"/>
        </w:rPr>
      </w:pPr>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&lt;&lt;Name&gt;&gt;</w:t>
      </w:r>
      <w:r>
        <w:rPr>
          <w:sz w:val="20"/>
          <w:szCs w:val="20"/>
          <w:color w:val="auto"/>
        </w:rPr>
        <w:tab/>
      </w:r>
      <w:r>
        <w:rPr>
          <w:rFonts w:ascii="Arial" w:cs="Arial" w:eastAsia="Arial" w:hAnsi="Arial"/>
          <w:sz w:val="19"/>
          <w:szCs w:val="19"/>
          <w:b w:val="1"/>
          <w:bCs w:val="1"/>
          <w:color w:val="auto"/>
        </w:rPr>
        <w:t>Award Number:</w:t>
      </w:r>
    </w:p>
    <w:p>
      <w:pPr>
        <w:spacing w:after="0" w:line="28"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1&gt;&gt;</w:t>
      </w:r>
      <w:r>
        <w:rPr>
          <w:sz w:val="20"/>
          <w:szCs w:val="20"/>
          <w:color w:val="auto"/>
        </w:rPr>
        <w:tab/>
      </w:r>
      <w:r>
        <w:rPr>
          <w:rFonts w:ascii="Arial" w:cs="Arial" w:eastAsia="Arial" w:hAnsi="Arial"/>
          <w:sz w:val="19"/>
          <w:szCs w:val="19"/>
          <w:b w:val="1"/>
          <w:bCs w:val="1"/>
          <w:color w:val="auto"/>
        </w:rPr>
        <w:t>Plan: 2017 Performance Incentive Plan</w:t>
      </w:r>
    </w:p>
    <w:p>
      <w:pPr>
        <w:spacing w:after="0" w:line="17"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b w:val="1"/>
          <w:bCs w:val="1"/>
          <w:color w:val="auto"/>
        </w:rPr>
        <w:t>&lt;&lt;Address 2&gt;&gt;</w:t>
        <w:tab/>
        <w:t>ID: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“Performance Stock Units”) of Western Digital Corporation (the “Corporation”). These Performance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Target Number of Performance Stock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Vesting Date: </w:t>
      </w:r>
      <w:r>
        <w:rPr>
          <w:rFonts w:ascii="Arial" w:cs="Arial" w:eastAsia="Arial" w:hAnsi="Arial"/>
          <w:sz w:val="22"/>
          <w:szCs w:val="22"/>
          <w:color w:val="auto"/>
        </w:rPr>
        <w:t>&lt;&lt;vesting date&gt;&gt;</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Measurement Period covered by grant: </w:t>
      </w:r>
      <w:r>
        <w:rPr>
          <w:rFonts w:ascii="Arial" w:cs="Arial" w:eastAsia="Arial" w:hAnsi="Arial"/>
          <w:sz w:val="19"/>
          <w:szCs w:val="19"/>
          <w:color w:val="auto"/>
        </w:rPr>
        <w:t>The “Measurement Period” applicable to the Performance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is the performance measurement period that begins &lt;&lt;______________&gt;&gt; and ends &lt;&lt;______________&gt;&gt;. The actual</w:t>
      </w:r>
    </w:p>
    <w:p>
      <w:pPr>
        <w:jc w:val="both"/>
        <w:spacing w:after="0" w:line="244" w:lineRule="auto"/>
        <w:rPr>
          <w:sz w:val="20"/>
          <w:szCs w:val="20"/>
          <w:color w:val="auto"/>
        </w:rPr>
      </w:pPr>
      <w:r>
        <w:rPr>
          <w:rFonts w:ascii="Arial" w:cs="Arial" w:eastAsia="Arial" w:hAnsi="Arial"/>
          <w:sz w:val="22"/>
          <w:szCs w:val="22"/>
          <w:color w:val="auto"/>
        </w:rPr>
        <w:t xml:space="preserve">number of Performance Stock Units that may become eligible to vest on the Vesting Date based on performance during the Measurement Period may range from [0%] to [200%] of the Total Target Number of Performance Stock Units subject to the award, subject to forfeiture under Section 8 of the attached Standard Terms and Conditions for Performance Stock Unit Award </w:t>
      </w:r>
      <w:r>
        <w:rPr>
          <w:rFonts w:ascii="Arial" w:cs="Arial" w:eastAsia="Arial" w:hAnsi="Arial"/>
          <w:sz w:val="22"/>
          <w:szCs w:val="22"/>
          <w:b w:val="1"/>
          <w:bCs w:val="1"/>
          <w:color w:val="auto"/>
        </w:rPr>
        <w:t>–</w:t>
      </w:r>
      <w:r>
        <w:rPr>
          <w:rFonts w:ascii="Arial" w:cs="Arial" w:eastAsia="Arial" w:hAnsi="Arial"/>
          <w:sz w:val="22"/>
          <w:szCs w:val="22"/>
          <w:color w:val="auto"/>
        </w:rPr>
        <w:t xml:space="preserve"> TSR Measure (the “Standard Terms”).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Your Performance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Performance Stock Units will be cancelled.</w:t>
      </w:r>
    </w:p>
    <w:p>
      <w:pPr>
        <w:spacing w:after="0" w:line="180"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PERFORMANCE STOCK UNIT AWARD - TSR MEASURE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2017 Performance Incentive Plan</w:t>
      </w:r>
    </w:p>
    <w:p>
      <w:pPr>
        <w:spacing w:after="0" w:line="232"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Units Subject to Amended and Restated 2017 Performance Incentive Plan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Stock Unit Award (the “Award”) referred to in the attached Notice of Grant of Performance Stock Units and Performance Stock Unit Award Agreement (the “Notice”) was awarded under Western Digital Corporation’s (the “Corporation’s”) Amended and Restated 2017 Performance Incentive Plan, as amended (the “Plan”). Each Performance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The target number of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Performance Stock Unit Award – TSR Measure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 later than seventy-five (75) days following the end of the Measurement Period as set forth in the Notice, the Administrator shall determine, in accordance with the performance goals and related criteria and methodology established by the Administrator for the Measurement Period, the extent to which the performance goals have been achieved and the actual number of Stock Units becoming eligible to vest (subject to the following paragraph) based on performance during the Measurement Period. Any Stock Units (including any related Stock Units credited as dividend equivalents pursuant to Section 4) that do not become eligible to vest based on performance during the Measurement Period shall terminate following the end of the Measurement Period when the Administrator has determined the extent to which the performance goal has not been achieved for the Measurement Period (not later than seventy-five (75) days following the end of the Measurement Period), and the Participant shall have no further rights with respect to such terminated Stock Units.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otherwise provided in this Award Agreement, and subject to Section 8 below, the number of Stock Units becoming eligible to vest based on performance during the Measurement Period shall vest on the Vesting Date. Except as expressly provided in Sections 7 and 8 below, vesting requires continued employment or service with the Corporation or one of its Subsidiaries through the Vesting Date as a condition to the vesting of any Stock Units subject to the Award and the rights and benefits under this Award Agreement. Except as expressly provided in Sections 7 and 8 below,</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98" w:right="239" w:bottom="1440" w:gutter="0" w:footer="0" w:header="0"/>
        </w:sectPr>
      </w:pPr>
    </w:p>
    <w:bookmarkStart w:id="99" w:name="page100"/>
    <w:bookmarkEnd w:id="99"/>
    <w:p>
      <w:pPr>
        <w:jc w:val="both"/>
        <w:spacing w:after="0" w:line="264" w:lineRule="auto"/>
        <w:rPr>
          <w:sz w:val="20"/>
          <w:szCs w:val="20"/>
          <w:color w:val="auto"/>
        </w:rPr>
      </w:pPr>
      <w:r>
        <w:rPr>
          <w:rFonts w:ascii="Arial" w:cs="Arial" w:eastAsia="Arial" w:hAnsi="Arial"/>
          <w:sz w:val="18"/>
          <w:szCs w:val="18"/>
          <w:color w:val="auto"/>
        </w:rPr>
        <w:t>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53" w:lineRule="auto"/>
        <w:tabs>
          <w:tab w:leader="none" w:pos="2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Stock Units remaining subject to the Award as of the related dividend payment record date, divided by (iii) the Fair Market Value of a share of Common Stock on the date of payment of such dividend. For these purposes, any Stock Units that vest and become payable in excess of the target number of Stock Units shall be considered to have been granted on the Grant Date set forth in the Notice. The Stock Units credited pursuant to the foregoing provisions of this Section 5 shall be subject to the same vesting, payment and other terms, conditions and restrictions as the original Stock Units to which they relate.</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Section 7 below, any Stock Unit granted (or credited pursuant to Section 5) to the Participant that becomes vested (whether pursuant to Section 4, Section 7 or Section 8 hereof), shall be paid to the Participant on or within sixty (60) days following the Vesting Date.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(i) payment for each Stock Unit that is otherwise outstanding on the date of such event and that becomes vested may be made in the form of cash in an amount equal to the fair market value of a share of Common Stock as of the date of the closing of such transaction, and/or (ii) that, as to any Stock Units outstanding with respect to a Measurement Period that has not ended on or prior to the date of such transaction,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(as to any Stock Units outstanding with respect to a Measurement Period that has not ended on or prior to the date of Change in Control Event, the performance measures applicable to such Measurement Period shall be deemed satisfied at the applicable “target” level (attainment of 100% of the applicable performance goal resulting in a 100% payout or vesting percentage as to that goal) or such greater level as the Administrator, in its sole discretion, may deem appropriate in the circumstances), and (B) such acceleration, termination and payment of the Award satisfies the requirements of Treas. Reg. Section 1.409A-3(j)(4)(ix) (which requirements include the Change in Control Event qualifying as a change</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in the ownership or effective control of the Corporation, or a change in the ownership of a substantial portion of the assets of the Corporation, within the meaning of Treas. Reg. Section 1.409A-3(i)(5)).</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jc w:val="both"/>
        <w:ind w:firstLine="8"/>
        <w:spacing w:after="0" w:line="291" w:lineRule="auto"/>
        <w:tabs>
          <w:tab w:leader="none" w:pos="40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before the Vesting Date, the Participant’s Stock Units shall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as of immediately following the Separation Date.</w:t>
      </w:r>
    </w:p>
    <w:p>
      <w:pPr>
        <w:spacing w:after="0" w:line="167" w:lineRule="exact"/>
        <w:rPr>
          <w:rFonts w:ascii="Arial" w:cs="Arial" w:eastAsia="Arial" w:hAnsi="Arial"/>
          <w:sz w:val="16"/>
          <w:szCs w:val="16"/>
          <w:color w:val="auto"/>
        </w:rPr>
      </w:pPr>
    </w:p>
    <w:p>
      <w:pPr>
        <w:jc w:val="both"/>
        <w:ind w:firstLine="8"/>
        <w:spacing w:after="0" w:line="288" w:lineRule="auto"/>
        <w:tabs>
          <w:tab w:leader="none" w:pos="40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prior to the Vesting Date and at a time when the Participant is employed by or providing services to the Corporation or any of its Subsidiaries, a portion of the Award shall vest on the Vesting Date and shall be paid to the Participant as provided in Section 6 above. In such event, the number of Stock Units that shall become vested on the Vesting Date equals (i) the Employment Fraction (determined as set forth below) multiplied by (ii) the number of Stock Units subject to the Award that would have otherwise (had the Separation Date not occurred prior to the Vesting Date) become vested on the Vesting Date (determined before taking the acceleration contemplated by this Section 8(b)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 For purposes of this Section 8, the “Employment Fraction” equals a fraction (not greater than one), the numerator of which is the total number of calendar days in the period beginning with the first day of the Measurement Period through and including the Participant’s Separation Date, and the denominator of which is the total number of calendar days in the Measurement Period ([_______] days).</w:t>
      </w:r>
    </w:p>
    <w:p>
      <w:pPr>
        <w:spacing w:after="0" w:line="169" w:lineRule="exact"/>
        <w:rPr>
          <w:rFonts w:ascii="Arial" w:cs="Arial" w:eastAsia="Arial" w:hAnsi="Arial"/>
          <w:sz w:val="16"/>
          <w:szCs w:val="16"/>
          <w:color w:val="auto"/>
        </w:rPr>
      </w:pPr>
    </w:p>
    <w:p>
      <w:pPr>
        <w:jc w:val="both"/>
        <w:ind w:firstLine="8"/>
        <w:spacing w:after="0" w:line="291" w:lineRule="auto"/>
        <w:tabs>
          <w:tab w:leader="none" w:pos="43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Retirement of the Participant</w:t>
      </w:r>
      <w:r>
        <w:rPr>
          <w:rFonts w:ascii="Arial" w:cs="Arial" w:eastAsia="Arial" w:hAnsi="Arial"/>
          <w:sz w:val="16"/>
          <w:szCs w:val="16"/>
          <w:color w:val="auto"/>
        </w:rPr>
        <w:t>. If the Participant Retires (as defined below) from the Corporation or one of its Subsidiaries before the Vesting Date, a portion of the Award shall vest on the Vesting Date and shall be paid to the Participant as provided in Section 6 above. In such event, the number of Stock Units that shall become vested on the Vesting Date equals (i) the Employment Fraction (determined as set forth in Section 8(b) above) multiplied by (ii) the number of Stock Units subject to the Award that would have otherwise (had the Separation Date not occurred prior to the Vesting Date) become vested on the Vesting Date (determined before taking the acceleration contemplated by this Section 8(c) into account and before taking the crediting of dividend equivalent Stock Units pursuant to Section 5 above into account). To the extent any Stock Units become vested on the Vesting Date pursuant to the preceding sentence, the dividend equivalent Stock Units credited pursuant to Section 5 above with respect to such Stock Units shall also become vested on the Vesting Date.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 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remaining portion of the Award not eligible to vest in connection with such Retirement shall remain eligible to vest through and until the Participant’s Separation Date should it occur before the Vesting Date (in connection with any such Separation Date the</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77" w:lineRule="auto"/>
        <w:rPr>
          <w:sz w:val="20"/>
          <w:szCs w:val="20"/>
          <w:color w:val="auto"/>
        </w:rPr>
      </w:pPr>
      <w:r>
        <w:rPr>
          <w:rFonts w:ascii="Arial" w:cs="Arial" w:eastAsia="Arial" w:hAnsi="Arial"/>
          <w:sz w:val="18"/>
          <w:szCs w:val="18"/>
          <w:color w:val="auto"/>
        </w:rPr>
        <w:t>other provisions of this Section 8 shall apply as to such portion of the Award; in the event the Participant is entitled to accelerated vesting pursuant to Section 8(b), the provisions of Section 8(b) and not this Section 8(c) shall apply).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Award Agreement, “Cause” is used as defined in the Western Digital Corporation Executive Severance Plan or, if the Participant’s Separation Date occurs on or after a Change in Control Event, as defined in the Western Digital Corporation Amended and Restated Change of Control Severance Plan.</w:t>
      </w:r>
    </w:p>
    <w:p>
      <w:pPr>
        <w:spacing w:after="0" w:line="181" w:lineRule="exact"/>
        <w:rPr>
          <w:sz w:val="20"/>
          <w:szCs w:val="20"/>
          <w:color w:val="auto"/>
        </w:rPr>
      </w:pPr>
    </w:p>
    <w:p>
      <w:pPr>
        <w:jc w:val="both"/>
        <w:ind w:firstLine="8"/>
        <w:spacing w:after="0" w:line="255" w:lineRule="auto"/>
        <w:tabs>
          <w:tab w:leader="none" w:pos="39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w:t>
      </w:r>
      <w:r>
        <w:rPr>
          <w:rFonts w:ascii="Arial" w:cs="Arial" w:eastAsia="Arial" w:hAnsi="Arial"/>
          <w:sz w:val="18"/>
          <w:szCs w:val="18"/>
          <w:color w:val="auto"/>
        </w:rPr>
        <w:t>. In the event the Participant’s employment terminates in circumstances as to which the Participant is entitled to severance benefits pursuant to the Western Digital Corporation Executive Severance Plan (or any applicable successor executive severance plan, as each is in effect at the time of such termination of employment, and only if such severance plan then otherwise applies with respect to the Participant) (“Pre-CIC Severance Plan”), the Participant shall be treated for purposes of the Award as though the Participant Retired on the Participant’s Separation Date and Section 8(c) shall apply; provided, however, that if any Stock Units subject to the Award would (before taking this paragraph into consideration) also be subject to accelerated vesting pursuant to Section 8(b) or 8(c) above, the Stock Units shall be subject to accelerated vesting pursuant to the section (Section 8(b) or 8(c) above) that would otherwise apply in the circumstances.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Participant’s employment terminates in circumstances as to which the Participant is entitled to severance benefits pursuant to the Western Digital Corporation Amended and Restated Change of Control Severance Plan (or any applicable successor change of control severance plan, as each is in effect at the time of such termination of employment, and only if such severance plan then otherwise applies with respect to the Participant) (“CIC Severance Plan”), the extent to which the Award vests will be determined in accordance with the applicable provisions of the CIC Severance Plan. If the Stock Units subject to the Award would (before taking this paragraph into consideration) also be subject to accelerated vesting pursuant to the immediately preceding paragraph or Section 8(b) or 8(c) above, this paragraph (and not the immediately preceding paragraph or Section 8(b) or 8(c) above) shall apply; provided, however, that if the Participant does not satisfy any applicable conditions to severance benefits set forth in the applicable CIC Severance Plan, then the Participant shall remain entitled to any accelerated vesting that would otherwise apply pursuant to Section 8(b) or 8(c) above, as applicable.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clarity, any accelerated or additional vesting contemplated by this Section 8(d), whether with respect to a Pre-CIC Severance Plan or a CIC Severance Plan, is subject to the Participant satisfying any applicable conditions to severance benefits set forth in the applicable Pre-CIC Severance Plan or CIC Severance Plan (such as, without limitation, any eligibility and release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treatment of the Award in any circumstances as to which the Participant is entitled to severance benefits pursuant to a Pre-CIC Severance Plan (including, without limitation, the extent (if any) to which the Award vests or accelerates in such circumstances as well as the timing of payment of the Award), and the timing of payment of the Award in any circumstances as to which the Participant is entitled to severance benefits pursuant to a CIC Severance Plan, shall be governed by this Award Agreement and not by the Pre-CIC Severance Plan or CIC Severance Plan, as the case may be. As to the Award, this Award Agreement controls in the event of any inconsistency or conflict with a Pre-CIC Severance Plan or CIC Severance Plan, and to that extent this Award Agreement amends any applicable Pre-CIC Severance Plan or CIC Severance Plan as to the Award.</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or in connection with the crediting, vesting or payment of Stock Units, or any other time when tax withholding may be required with respect to the Award, the Corporation (or the Subsidiary last employing the Participant) shall</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2" w:name="page103"/>
    <w:bookmarkEnd w:id="102"/>
    <w:p>
      <w:pPr>
        <w:jc w:val="both"/>
        <w:spacing w:after="0" w:line="270" w:lineRule="auto"/>
        <w:rPr>
          <w:sz w:val="20"/>
          <w:szCs w:val="20"/>
          <w:color w:val="auto"/>
        </w:rPr>
      </w:pPr>
      <w:r>
        <w:rPr>
          <w:rFonts w:ascii="Arial" w:cs="Arial" w:eastAsia="Arial" w:hAnsi="Arial"/>
          <w:sz w:val="17"/>
          <w:szCs w:val="17"/>
          <w:color w:val="auto"/>
        </w:rPr>
        <w:t>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7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(i.e.,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03" w:name="page104"/>
    <w:bookmarkEnd w:id="103"/>
    <w:p>
      <w:pPr>
        <w:jc w:val="both"/>
        <w:spacing w:after="0" w:line="268" w:lineRule="auto"/>
        <w:rPr>
          <w:sz w:val="20"/>
          <w:szCs w:val="20"/>
          <w:color w:val="auto"/>
        </w:rPr>
      </w:pPr>
      <w:r>
        <w:rPr>
          <w:rFonts w:ascii="Arial" w:cs="Arial" w:eastAsia="Arial" w:hAnsi="Arial"/>
          <w:sz w:val="17"/>
          <w:szCs w:val="17"/>
          <w:color w:val="auto"/>
        </w:rPr>
        <w:t>(“JAMS”),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04" w:name="page105"/>
    <w:bookmarkEnd w:id="104"/>
    <w:p>
      <w:pPr>
        <w:ind w:right="240"/>
        <w:spacing w:after="0" w:line="286" w:lineRule="auto"/>
        <w:rPr>
          <w:sz w:val="20"/>
          <w:szCs w:val="20"/>
          <w:color w:val="auto"/>
        </w:rPr>
      </w:pPr>
      <w:r>
        <w:rPr>
          <w:rFonts w:ascii="Arial" w:cs="Arial" w:eastAsia="Arial" w:hAnsi="Arial"/>
          <w:sz w:val="17"/>
          <w:szCs w:val="17"/>
          <w:color w:val="auto"/>
        </w:rPr>
        <w:t>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PERFORMANCE STOCK UNIT AWARD – TSR MEASURE</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Measures and Goals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[To be inserted]</w:t>
      </w:r>
    </w:p>
    <w:p>
      <w:pPr>
        <w:sectPr>
          <w:pgSz w:w="11900" w:h="16838" w:orient="portrait"/>
          <w:cols w:equalWidth="0" w:num="1">
            <w:col w:w="9019"/>
          </w:cols>
          <w:pgMar w:left="1440" w:top="625" w:right="1440"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22"/>
          <w:szCs w:val="22"/>
          <w:b w:val="1"/>
          <w:bCs w:val="1"/>
          <w:u w:val="single" w:color="auto"/>
          <w:color w:val="auto"/>
        </w:rPr>
        <w:t>APPENDIX A</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 Corporation may refuse to issue or deliver the</w:t>
      </w:r>
    </w:p>
    <w:p>
      <w:pPr>
        <w:sectPr>
          <w:pgSz w:w="11900" w:h="16838" w:orient="portrait"/>
          <w:cols w:equalWidth="0" w:num="1">
            <w:col w:w="11400"/>
          </w:cols>
          <w:pgMar w:left="240" w:top="625" w:right="259" w:bottom="1440" w:gutter="0" w:footer="0" w:header="0"/>
        </w:sectPr>
      </w:pPr>
    </w:p>
    <w:bookmarkStart w:id="107" w:name="page108"/>
    <w:bookmarkEnd w:id="107"/>
    <w:p>
      <w:pPr>
        <w:ind w:right="140"/>
        <w:spacing w:after="0" w:line="277" w:lineRule="auto"/>
        <w:rPr>
          <w:sz w:val="20"/>
          <w:szCs w:val="20"/>
          <w:color w:val="auto"/>
        </w:rPr>
      </w:pPr>
      <w:r>
        <w:rPr>
          <w:rFonts w:ascii="Arial" w:cs="Arial" w:eastAsia="Arial" w:hAnsi="Arial"/>
          <w:sz w:val="18"/>
          <w:szCs w:val="18"/>
          <w:color w:val="auto"/>
        </w:rPr>
        <w:t>shares of Common Stock or the proceeds of the sale of shares if the Participant fails to comply with the Participant’s obligations in connection with the Tax-Related Items.</w:t>
      </w:r>
    </w:p>
    <w:p>
      <w:pPr>
        <w:spacing w:after="0" w:line="188"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right="20" w:firstLine="1305"/>
        <w:spacing w:after="0" w:line="324" w:lineRule="auto"/>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right="320" w:firstLine="1305"/>
        <w:spacing w:after="0" w:line="324" w:lineRule="auto"/>
        <w:tabs>
          <w:tab w:leader="none" w:pos="18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1840" w:hanging="535"/>
        <w:spacing w:after="0"/>
        <w:tabs>
          <w:tab w:leader="none" w:pos="18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firstLine="1305"/>
        <w:spacing w:after="0" w:line="324" w:lineRule="auto"/>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ind w:firstLine="1305"/>
        <w:spacing w:after="0" w:line="304"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01" w:lineRule="exact"/>
        <w:rPr>
          <w:rFonts w:ascii="Arial" w:cs="Arial" w:eastAsia="Arial" w:hAnsi="Arial"/>
          <w:sz w:val="18"/>
          <w:szCs w:val="18"/>
          <w:color w:val="auto"/>
        </w:rPr>
      </w:pPr>
    </w:p>
    <w:p>
      <w:pPr>
        <w:ind w:left="1740" w:hanging="435"/>
        <w:spacing w:after="0"/>
        <w:tabs>
          <w:tab w:leader="none" w:pos="1740" w:val="left"/>
        </w:tabs>
        <w:numPr>
          <w:ilvl w:val="0"/>
          <w:numId w:val="52"/>
        </w:numPr>
        <w:rPr>
          <w:rFonts w:ascii="Arial" w:cs="Arial" w:eastAsia="Arial" w:hAnsi="Arial"/>
          <w:sz w:val="19"/>
          <w:szCs w:val="19"/>
          <w:color w:val="auto"/>
        </w:rPr>
      </w:pPr>
      <w:r>
        <w:rPr>
          <w:rFonts w:ascii="Arial" w:cs="Arial" w:eastAsia="Arial" w:hAnsi="Arial"/>
          <w:sz w:val="16"/>
          <w:szCs w:val="16"/>
          <w:color w:val="auto"/>
        </w:rPr>
        <w:t>the future value of the shares of Common Stock underlying the Stock Units is unknown, indeterminable, and cannot be predicted with</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certainty;</w:t>
      </w:r>
    </w:p>
    <w:p>
      <w:pPr>
        <w:spacing w:after="0" w:line="279" w:lineRule="exact"/>
        <w:rPr>
          <w:rFonts w:ascii="Arial" w:cs="Arial" w:eastAsia="Arial" w:hAnsi="Arial"/>
          <w:sz w:val="19"/>
          <w:szCs w:val="19"/>
          <w:color w:val="auto"/>
        </w:rPr>
      </w:pPr>
    </w:p>
    <w:p>
      <w:pPr>
        <w:ind w:right="60" w:firstLine="1305"/>
        <w:spacing w:after="0" w:line="350" w:lineRule="auto"/>
        <w:tabs>
          <w:tab w:leader="none" w:pos="1728" w:val="left"/>
        </w:tabs>
        <w:numPr>
          <w:ilvl w:val="0"/>
          <w:numId w:val="52"/>
        </w:numPr>
        <w:rPr>
          <w:rFonts w:ascii="Arial" w:cs="Arial" w:eastAsia="Arial" w:hAnsi="Arial"/>
          <w:sz w:val="19"/>
          <w:szCs w:val="19"/>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55" w:lineRule="exact"/>
        <w:rPr>
          <w:rFonts w:ascii="Arial" w:cs="Arial" w:eastAsia="Arial" w:hAnsi="Arial"/>
          <w:sz w:val="19"/>
          <w:szCs w:val="19"/>
          <w:color w:val="auto"/>
        </w:rPr>
      </w:pPr>
    </w:p>
    <w:p>
      <w:pPr>
        <w:ind w:right="20" w:firstLine="1305"/>
        <w:spacing w:after="0" w:line="301" w:lineRule="auto"/>
        <w:tabs>
          <w:tab w:leader="none" w:pos="1680" w:val="left"/>
        </w:tabs>
        <w:numPr>
          <w:ilvl w:val="0"/>
          <w:numId w:val="52"/>
        </w:numPr>
        <w:rPr>
          <w:rFonts w:ascii="Arial" w:cs="Arial" w:eastAsia="Arial" w:hAnsi="Arial"/>
          <w:sz w:val="21"/>
          <w:szCs w:val="21"/>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206" w:lineRule="exact"/>
        <w:rPr>
          <w:rFonts w:ascii="Arial" w:cs="Arial" w:eastAsia="Arial" w:hAnsi="Arial"/>
          <w:sz w:val="21"/>
          <w:szCs w:val="21"/>
          <w:color w:val="auto"/>
        </w:rPr>
      </w:pPr>
    </w:p>
    <w:p>
      <w:pPr>
        <w:ind w:right="100" w:firstLine="1305"/>
        <w:spacing w:after="0" w:line="280" w:lineRule="auto"/>
        <w:tabs>
          <w:tab w:leader="none" w:pos="1680" w:val="left"/>
        </w:tabs>
        <w:numPr>
          <w:ilvl w:val="0"/>
          <w:numId w:val="52"/>
        </w:numPr>
        <w:rPr>
          <w:rFonts w:ascii="Arial" w:cs="Arial" w:eastAsia="Arial" w:hAnsi="Arial"/>
          <w:sz w:val="22"/>
          <w:szCs w:val="22"/>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221" w:lineRule="exact"/>
        <w:rPr>
          <w:rFonts w:ascii="Arial" w:cs="Arial" w:eastAsia="Arial" w:hAnsi="Arial"/>
          <w:sz w:val="22"/>
          <w:szCs w:val="22"/>
          <w:color w:val="auto"/>
        </w:rPr>
      </w:pPr>
    </w:p>
    <w:p>
      <w:pPr>
        <w:ind w:right="40" w:firstLine="1305"/>
        <w:spacing w:after="0" w:line="280" w:lineRule="auto"/>
        <w:tabs>
          <w:tab w:leader="none" w:pos="1728" w:val="left"/>
        </w:tabs>
        <w:numPr>
          <w:ilvl w:val="0"/>
          <w:numId w:val="52"/>
        </w:numPr>
        <w:rPr>
          <w:rFonts w:ascii="Arial" w:cs="Arial" w:eastAsia="Arial" w:hAnsi="Arial"/>
          <w:sz w:val="22"/>
          <w:szCs w:val="22"/>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25" w:right="259" w:bottom="1440" w:gutter="0" w:footer="0" w:header="0"/>
        </w:sectPr>
      </w:pPr>
    </w:p>
    <w:bookmarkStart w:id="108" w:name="page109"/>
    <w:bookmarkEnd w:id="108"/>
    <w:p>
      <w:pPr>
        <w:ind w:left="360" w:hanging="352"/>
        <w:spacing w:after="0"/>
        <w:tabs>
          <w:tab w:leader="none" w:pos="360" w:val="left"/>
        </w:tabs>
        <w:numPr>
          <w:ilvl w:val="0"/>
          <w:numId w:val="53"/>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81" w:lineRule="exact"/>
        <w:rPr>
          <w:sz w:val="20"/>
          <w:szCs w:val="20"/>
          <w:color w:val="auto"/>
        </w:rPr>
      </w:pPr>
    </w:p>
    <w:p>
      <w:pPr>
        <w:jc w:val="both"/>
        <w:ind w:firstLine="1305"/>
        <w:spacing w:after="0" w:line="304" w:lineRule="auto"/>
        <w:tabs>
          <w:tab w:leader="none" w:pos="2155"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firstLine="1305"/>
        <w:spacing w:after="0" w:line="322" w:lineRule="auto"/>
        <w:tabs>
          <w:tab w:leader="none" w:pos="2155" w:val="left"/>
        </w:tabs>
        <w:numPr>
          <w:ilvl w:val="0"/>
          <w:numId w:val="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firstLine="1305"/>
        <w:spacing w:after="0" w:line="370" w:lineRule="auto"/>
        <w:tabs>
          <w:tab w:leader="none" w:pos="2144" w:val="left"/>
        </w:tabs>
        <w:numPr>
          <w:ilvl w:val="0"/>
          <w:numId w:val="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firstLine="1305"/>
        <w:spacing w:after="0" w:line="340" w:lineRule="auto"/>
        <w:tabs>
          <w:tab w:leader="none" w:pos="2155"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firstLine="1305"/>
        <w:spacing w:after="0" w:line="383" w:lineRule="auto"/>
        <w:tabs>
          <w:tab w:leader="none" w:pos="2144" w:val="left"/>
        </w:tabs>
        <w:numPr>
          <w:ilvl w:val="0"/>
          <w:numId w:val="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w:t>
      </w: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43" w:right="239" w:bottom="1440" w:gutter="0" w:footer="0" w:header="0"/>
        </w:sectPr>
      </w:pPr>
    </w:p>
    <w:bookmarkStart w:id="109" w:name="page110"/>
    <w:bookmarkEnd w:id="109"/>
    <w:p>
      <w:pPr>
        <w:spacing w:after="0" w:line="324" w:lineRule="auto"/>
        <w:rPr>
          <w:sz w:val="20"/>
          <w:szCs w:val="20"/>
          <w:color w:val="auto"/>
        </w:rPr>
      </w:pPr>
      <w:r>
        <w:rPr>
          <w:rFonts w:ascii="Arial" w:cs="Arial" w:eastAsia="Arial" w:hAnsi="Arial"/>
          <w:sz w:val="18"/>
          <w:szCs w:val="18"/>
          <w:b w:val="1"/>
          <w:bCs w:val="1"/>
          <w:i w:val="1"/>
          <w:iCs w:val="1"/>
          <w:color w:val="auto"/>
        </w:rPr>
        <w:t>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70" w:lineRule="exact"/>
        <w:rPr>
          <w:sz w:val="20"/>
          <w:szCs w:val="20"/>
          <w:color w:val="auto"/>
        </w:rPr>
      </w:pPr>
    </w:p>
    <w:p>
      <w:pPr>
        <w:jc w:val="both"/>
        <w:ind w:firstLine="1305"/>
        <w:spacing w:after="0" w:line="322" w:lineRule="auto"/>
        <w:tabs>
          <w:tab w:leader="none" w:pos="2125" w:val="left"/>
        </w:tabs>
        <w:numPr>
          <w:ilvl w:val="1"/>
          <w:numId w:val="5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6" w:lineRule="exact"/>
        <w:rPr>
          <w:rFonts w:ascii="Arial" w:cs="Arial" w:eastAsia="Arial" w:hAnsi="Arial"/>
          <w:sz w:val="17"/>
          <w:szCs w:val="17"/>
          <w:b w:val="1"/>
          <w:bCs w:val="1"/>
          <w:i w:val="1"/>
          <w:iCs w:val="1"/>
          <w:color w:val="auto"/>
        </w:rPr>
      </w:pPr>
    </w:p>
    <w:p>
      <w:pPr>
        <w:jc w:val="both"/>
        <w:ind w:firstLine="1305"/>
        <w:spacing w:after="0" w:line="357" w:lineRule="auto"/>
        <w:tabs>
          <w:tab w:leader="none" w:pos="2155" w:val="left"/>
        </w:tabs>
        <w:numPr>
          <w:ilvl w:val="1"/>
          <w:numId w:val="5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52" w:right="239" w:bottom="1440" w:gutter="0" w:footer="0" w:header="0"/>
        </w:sectPr>
      </w:pPr>
    </w:p>
    <w:bookmarkStart w:id="110" w:name="page111"/>
    <w:bookmarkEnd w:id="110"/>
    <w:p>
      <w:pPr>
        <w:spacing w:after="0" w:line="253"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the Stock Units)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11"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25" w:right="2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172085</wp:posOffset>
            </wp:positionV>
            <wp:extent cx="183515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8351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Western Digital Corporation</w:t>
      </w:r>
    </w:p>
    <w:p>
      <w:pPr>
        <w:spacing w:after="0" w:line="4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5601 Great Oaks Parkway</w:t>
      </w:r>
    </w:p>
    <w:p>
      <w:pPr>
        <w:spacing w:after="0" w:line="4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San Jose, California 95119</w:t>
      </w:r>
    </w:p>
    <w:p>
      <w:pPr>
        <w:spacing w:after="0" w:line="5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(408) 717-6000</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Notice of Grant of Restricted Stock Units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and Restricted Stock Unit Award Agreement – Vice President and Above</w:t>
      </w:r>
    </w:p>
    <w:p>
      <w:pPr>
        <w:spacing w:after="0" w:line="200" w:lineRule="exact"/>
        <w:rPr>
          <w:sz w:val="20"/>
          <w:szCs w:val="20"/>
          <w:color w:val="auto"/>
        </w:rPr>
      </w:pPr>
    </w:p>
    <w:p>
      <w:pPr>
        <w:spacing w:after="0" w:line="252" w:lineRule="exact"/>
        <w:rPr>
          <w:sz w:val="20"/>
          <w:szCs w:val="20"/>
          <w:color w:val="auto"/>
        </w:rPr>
      </w:pPr>
    </w:p>
    <w:p>
      <w:pPr>
        <w:spacing w:after="0"/>
        <w:tabs>
          <w:tab w:leader="none" w:pos="1620" w:val="left"/>
          <w:tab w:leader="none" w:pos="3360" w:val="left"/>
        </w:tabs>
        <w:rPr>
          <w:sz w:val="20"/>
          <w:szCs w:val="20"/>
          <w:color w:val="auto"/>
        </w:rPr>
      </w:pPr>
      <w:r>
        <w:rPr>
          <w:rFonts w:ascii="Arial" w:cs="Arial" w:eastAsia="Arial" w:hAnsi="Arial"/>
          <w:sz w:val="22"/>
          <w:szCs w:val="22"/>
          <w:b w:val="1"/>
          <w:bCs w:val="1"/>
          <w:color w:val="auto"/>
        </w:rPr>
        <w:t>«fn» «mn» «ln»</w:t>
        <w:tab/>
        <w:t>Award Number:</w:t>
      </w:r>
      <w:r>
        <w:rPr>
          <w:sz w:val="20"/>
          <w:szCs w:val="20"/>
          <w:color w:val="auto"/>
        </w:rPr>
        <w:tab/>
      </w:r>
      <w:r>
        <w:rPr>
          <w:rFonts w:ascii="Arial" w:cs="Arial" w:eastAsia="Arial" w:hAnsi="Arial"/>
          <w:sz w:val="19"/>
          <w:szCs w:val="19"/>
          <w:b w:val="1"/>
          <w:bCs w:val="1"/>
          <w:color w:val="auto"/>
        </w:rPr>
        <w:t>«nbr»</w:t>
      </w:r>
    </w:p>
    <w:p>
      <w:pPr>
        <w:spacing w:after="0" w:line="28" w:lineRule="exact"/>
        <w:rPr>
          <w:sz w:val="20"/>
          <w:szCs w:val="20"/>
          <w:color w:val="auto"/>
        </w:rPr>
      </w:pPr>
    </w:p>
    <w:p>
      <w:pPr>
        <w:spacing w:after="0"/>
        <w:tabs>
          <w:tab w:leader="none" w:pos="760" w:val="left"/>
          <w:tab w:leader="none" w:pos="1460" w:val="left"/>
        </w:tabs>
        <w:rPr>
          <w:sz w:val="20"/>
          <w:szCs w:val="20"/>
          <w:color w:val="auto"/>
        </w:rPr>
      </w:pPr>
      <w:r>
        <w:rPr>
          <w:rFonts w:ascii="Arial" w:cs="Arial" w:eastAsia="Arial" w:hAnsi="Arial"/>
          <w:sz w:val="22"/>
          <w:szCs w:val="22"/>
          <w:b w:val="1"/>
          <w:bCs w:val="1"/>
          <w:color w:val="auto"/>
        </w:rPr>
        <w:t>«ad1»</w:t>
        <w:tab/>
        <w:t>Plan:</w:t>
      </w:r>
      <w:r>
        <w:rPr>
          <w:sz w:val="20"/>
          <w:szCs w:val="20"/>
          <w:color w:val="auto"/>
        </w:rPr>
        <w:tab/>
      </w:r>
      <w:r>
        <w:rPr>
          <w:rFonts w:ascii="Arial" w:cs="Arial" w:eastAsia="Arial" w:hAnsi="Arial"/>
          <w:sz w:val="19"/>
          <w:szCs w:val="19"/>
          <w:b w:val="1"/>
          <w:bCs w:val="1"/>
          <w:color w:val="auto"/>
        </w:rPr>
        <w:t>2017 Performance Incentive Plan</w:t>
      </w:r>
    </w:p>
    <w:p>
      <w:pPr>
        <w:spacing w:after="0" w:line="4" w:lineRule="exact"/>
        <w:rPr>
          <w:sz w:val="20"/>
          <w:szCs w:val="20"/>
          <w:color w:val="auto"/>
        </w:rPr>
      </w:pPr>
    </w:p>
    <w:p>
      <w:pPr>
        <w:spacing w:after="0"/>
        <w:tabs>
          <w:tab w:leader="none" w:pos="760" w:val="left"/>
          <w:tab w:leader="none" w:pos="1280" w:val="left"/>
        </w:tabs>
        <w:rPr>
          <w:sz w:val="20"/>
          <w:szCs w:val="20"/>
          <w:color w:val="auto"/>
        </w:rPr>
      </w:pPr>
      <w:r>
        <w:rPr>
          <w:rFonts w:ascii="Arial" w:cs="Arial" w:eastAsia="Arial" w:hAnsi="Arial"/>
          <w:sz w:val="22"/>
          <w:szCs w:val="22"/>
          <w:b w:val="1"/>
          <w:bCs w:val="1"/>
          <w:color w:val="auto"/>
        </w:rPr>
        <w:t>«ad2»</w:t>
        <w:tab/>
        <w:t>ID:</w:t>
      </w:r>
      <w:r>
        <w:rPr>
          <w:sz w:val="20"/>
          <w:szCs w:val="20"/>
          <w:color w:val="auto"/>
        </w:rPr>
        <w:tab/>
      </w:r>
      <w:r>
        <w:rPr>
          <w:rFonts w:ascii="Arial" w:cs="Arial" w:eastAsia="Arial" w:hAnsi="Arial"/>
          <w:sz w:val="19"/>
          <w:szCs w:val="19"/>
          <w:b w:val="1"/>
          <w:bCs w:val="1"/>
          <w:color w:val="auto"/>
        </w:rPr>
        <w:t>«id»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«cty», «st» «z»</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“Restricted Stock Units”) of Western Digital Corporation. These Restricted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345" w:lineRule="exact"/>
        <w:rPr>
          <w:sz w:val="20"/>
          <w:szCs w:val="20"/>
          <w:color w:val="auto"/>
        </w:rPr>
      </w:pPr>
    </w:p>
    <w:tbl>
      <w:tblPr>
        <w:tblLayout w:type="fixed"/>
        <w:tblInd w:w="2140" w:type="dxa"/>
        <w:tblCellMar>
          <w:top w:w="0" w:type="dxa"/>
          <w:left w:w="0" w:type="dxa"/>
          <w:bottom w:w="0" w:type="dxa"/>
          <w:right w:w="0" w:type="dxa"/>
        </w:tblCellMar>
      </w:tblPr>
      <w:tr>
        <w:trPr>
          <w:trHeight w:val="253"/>
        </w:trPr>
        <w:tc>
          <w:tcPr>
            <w:tcW w:w="1820" w:type="dxa"/>
            <w:vAlign w:val="bottom"/>
            <w:gridSpan w:val="2"/>
          </w:tcPr>
          <w:p>
            <w:pPr>
              <w:jc w:val="center"/>
              <w:ind w:right="800"/>
              <w:spacing w:after="0"/>
              <w:rPr>
                <w:sz w:val="20"/>
                <w:szCs w:val="20"/>
                <w:color w:val="auto"/>
              </w:rPr>
            </w:pPr>
            <w:r>
              <w:rPr>
                <w:rFonts w:ascii="Arial" w:cs="Arial" w:eastAsia="Arial" w:hAnsi="Arial"/>
                <w:sz w:val="22"/>
                <w:szCs w:val="22"/>
                <w:color w:val="auto"/>
                <w:w w:val="91"/>
              </w:rPr>
              <w:t>Stock Units</w:t>
            </w:r>
          </w:p>
        </w:tc>
        <w:tc>
          <w:tcPr>
            <w:tcW w:w="2460" w:type="dxa"/>
            <w:vAlign w:val="bottom"/>
            <w:gridSpan w:val="3"/>
          </w:tcPr>
          <w:p>
            <w:pPr>
              <w:ind w:left="820"/>
              <w:spacing w:after="0"/>
              <w:rPr>
                <w:sz w:val="20"/>
                <w:szCs w:val="20"/>
                <w:color w:val="auto"/>
              </w:rPr>
            </w:pPr>
            <w:r>
              <w:rPr>
                <w:rFonts w:ascii="Arial" w:cs="Arial" w:eastAsia="Arial" w:hAnsi="Arial"/>
                <w:sz w:val="22"/>
                <w:szCs w:val="22"/>
                <w:color w:val="auto"/>
              </w:rPr>
              <w:t>Vest Type</w:t>
            </w:r>
          </w:p>
        </w:tc>
        <w:tc>
          <w:tcPr>
            <w:tcW w:w="1560" w:type="dxa"/>
            <w:vAlign w:val="bottom"/>
            <w:gridSpan w:val="2"/>
          </w:tcPr>
          <w:p>
            <w:pPr>
              <w:jc w:val="center"/>
              <w:ind w:left="672"/>
              <w:spacing w:after="0"/>
              <w:rPr>
                <w:sz w:val="20"/>
                <w:szCs w:val="20"/>
                <w:color w:val="auto"/>
              </w:rPr>
            </w:pPr>
            <w:r>
              <w:rPr>
                <w:rFonts w:ascii="Arial" w:cs="Arial" w:eastAsia="Arial" w:hAnsi="Arial"/>
                <w:sz w:val="22"/>
                <w:szCs w:val="22"/>
                <w:color w:val="auto"/>
                <w:w w:val="91"/>
              </w:rPr>
              <w:t>Full Vest</w:t>
            </w:r>
          </w:p>
        </w:tc>
      </w:tr>
      <w:tr>
        <w:trPr>
          <w:trHeight w:val="32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6"/>
              </w:rPr>
              <w:t>«sp1»</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2"/>
              </w:rPr>
              <w:t>«vtpr1»</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«vdp1»</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«sp2»</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«vtp2»</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«vdp2»</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«sp3»</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«vtp3»</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«vdp3»</w:t>
            </w:r>
          </w:p>
        </w:tc>
      </w:tr>
      <w:tr>
        <w:trPr>
          <w:trHeight w:val="297"/>
        </w:trPr>
        <w:tc>
          <w:tcPr>
            <w:tcW w:w="1820" w:type="dxa"/>
            <w:vAlign w:val="bottom"/>
            <w:gridSpan w:val="2"/>
          </w:tcPr>
          <w:p>
            <w:pPr>
              <w:jc w:val="center"/>
              <w:ind w:right="780"/>
              <w:spacing w:after="0"/>
              <w:rPr>
                <w:sz w:val="20"/>
                <w:szCs w:val="20"/>
                <w:color w:val="auto"/>
              </w:rPr>
            </w:pPr>
            <w:r>
              <w:rPr>
                <w:rFonts w:ascii="Arial" w:cs="Arial" w:eastAsia="Arial" w:hAnsi="Arial"/>
                <w:sz w:val="22"/>
                <w:szCs w:val="22"/>
                <w:color w:val="auto"/>
                <w:w w:val="86"/>
              </w:rPr>
              <w:t>«sp4»</w:t>
            </w:r>
          </w:p>
        </w:tc>
        <w:tc>
          <w:tcPr>
            <w:tcW w:w="820" w:type="dxa"/>
            <w:vAlign w:val="bottom"/>
          </w:tcPr>
          <w:p>
            <w:pPr>
              <w:spacing w:after="0"/>
              <w:rPr>
                <w:sz w:val="24"/>
                <w:szCs w:val="2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22"/>
                <w:szCs w:val="22"/>
                <w:color w:val="auto"/>
                <w:w w:val="90"/>
              </w:rPr>
              <w:t>«vtp4»</w:t>
            </w:r>
          </w:p>
        </w:tc>
        <w:tc>
          <w:tcPr>
            <w:tcW w:w="7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color w:val="auto"/>
                <w:w w:val="88"/>
              </w:rPr>
              <w:t>«vdp4»</w:t>
            </w:r>
          </w:p>
        </w:tc>
      </w:tr>
    </w:tbl>
    <w:p>
      <w:pPr>
        <w:spacing w:after="0" w:line="200" w:lineRule="exact"/>
        <w:rPr>
          <w:sz w:val="20"/>
          <w:szCs w:val="20"/>
          <w:color w:val="auto"/>
        </w:rPr>
      </w:pPr>
    </w:p>
    <w:p>
      <w:pPr>
        <w:spacing w:after="0" w:line="2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Your Restricted Stock Unit award is subject to the terms and conditions of this Notice, the attached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You do not have to accept your award. If you do not agree to the terms of your award, you should promptly return this Notice to the Western Digital Corporation Stock Plans Administrator indicating that you do not wish to accept the award and your Restricted Stock Units will be cancelled.</w:t>
      </w:r>
    </w:p>
    <w:p>
      <w:pPr>
        <w:spacing w:after="0" w:line="16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RESTRICTED STOCK UNIT AWARD – VICE PRESIDENT AND ABOVE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2017 Performance Incentive Plan</w:t>
      </w:r>
    </w:p>
    <w:p>
      <w:pPr>
        <w:spacing w:after="0" w:line="232" w:lineRule="exact"/>
        <w:rPr>
          <w:sz w:val="20"/>
          <w:szCs w:val="20"/>
          <w:color w:val="auto"/>
        </w:rPr>
      </w:pPr>
    </w:p>
    <w:p>
      <w:pPr>
        <w:ind w:left="800" w:hanging="792"/>
        <w:spacing w:after="0"/>
        <w:tabs>
          <w:tab w:leader="none" w:pos="8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 Subject to Amended and Restated 2017 Performance Incentive Plan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Restricted Stock Unit Award (the “Award”) referred to in the attached Notice of Grant of Restricted Stock Units and Restricted Stock Unit Award Agreement – Vice President and Above (the “Notice”) was awarded under Western Digital Corporation’s (the “Corporation’s”) Amended and Restated 2017 Performance Incentive Plan, as amended (the “Plan”). Each Restricted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Restricted Stock Unit Award – Vice President and Above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as otherwise provided in this Award Agreement, the Award shall vest and become nonforfeitable in percentage installments of the aggregate number of Stock Units as set forth in the Notice. Except as expressly provided in Sections 7 and 8 below, the vesting schedule requires continued employment or service with the Corporation or one of its Subsidiaries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77" w:lineRule="auto"/>
        <w:tabs>
          <w:tab w:leader="none" w:pos="26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268" w:lineRule="auto"/>
        <w:rPr>
          <w:sz w:val="20"/>
          <w:szCs w:val="20"/>
          <w:color w:val="auto"/>
        </w:rPr>
      </w:pPr>
      <w:r>
        <w:rPr>
          <w:rFonts w:ascii="Arial" w:cs="Arial" w:eastAsia="Arial" w:hAnsi="Arial"/>
          <w:sz w:val="17"/>
          <w:szCs w:val="17"/>
          <w:color w:val="auto"/>
        </w:rPr>
        <w:t>Subject to Section 7 below and the following paragraph of this Section 6, any Stock Unit granted (or credited pursuant to Section 5) to the Participant that becomes vested (whether pursuant to Section 4, Section 7 or Section 8 hereof) shall be paid to the Participant on or within sixty (60) days following the first to occur of: (a) the date that such Stock Unit was scheduled to vest as set forth in the Notice, (b) the date of the Participant’s Separation from Service (as defined below), or (c) the Participant’s death. The Corporation shall make payment of a Stock Unit that has vested by delivering to the Participant a share of Common Stock (either by delivering one or more certificates for the shares deliverable or by entering such shares in book entry form, as determined by the Corporation in its sole discretion),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Section 7 hereof, or that are terminated pursuant to Section 7 or Section 8 hereof,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payment is triggered by the Participant’s Separation from Service and, as of the date of such Separation from Service the Participant is a Specified Employee, then any Stock Units that would otherwise become payable on the Participant’s Separation from Service shall be paid on (or as soon as administratively practicable following) the first day of the seventh month following the month in which the Participant’s Separation from Service occurs. The determination of whether the Participant is a “Specified Employee” shall be made in accordance with the definition of “Specified Employee” as set forth in the Western Digital Corporation Deferred Compensation Plan, as amended and restated (the “Deferred Compensation Plan”), regardless of whether the Participant participates in the Deferred Compensation Plan.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purposes of this Award Agreement, the term “Separation from Service” (which generally means that the Participant ceases to be employed by the Corporation and its affiliates) is used as defined in the Deferred Compensation Plan and the determination of whether a Separation from Service has occurred shall be made in accordance with the rules set forth in the definition of “Separation from Service” in the Deferred Compensation Plan, regardless of whether the Participant participates in the Deferred Compensation Plan, except that for purposes of this Award Agreement a “Separation from Service” shall include a separation from service due to Disability (as such term is used in the Deferred Compensation Plan).</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a transaction referenced in Section 7.2 of the Plan in connection with which the Corporation will not survive or will not survive as a public company in respect of its Common Stock, the Administrator may (without limiting the adjustment authority of Section 7.1 of the Plan and without limiting the flexibility of the Administrator to provide for the assumption, substitution or exchange of the Award pursuant to Section 7.2 of the Plan) provide that payment for each Stock Unit that is otherwise outstanding on the date of such event and that becomes vested may be made in the form of cash in an amount equal to the fair market value of a share of Common Stock as of the date of the closing of such transaction. However, notwithstanding anything otherwise provided in Section 7.2 of the Plan but subject to the following sentence, the time of payment of the Award may not be changed and shall be as set forth in Section 6 above. The Administrator may (notwithstanding the time of payment provisions of Sections 6 and 8 hereof) provide for the termination of the Stock Units subject to the Award in connection with the occurrence of a Change in Control Event in connection with which the Administrator has not made a provision for the substitution, assumption, exchange or other continuation of the Award; provided that (A) in such event, the portion of the Award that is outstanding and unvested immediately prior to such termination shall vest and become payable, and (B) such acceleration, termination and payment of the Award satisfies the requirements of Treas. Reg. Section 1.409A-3(j)(4)(ix) (which requirements include the Change in Control Event qualifying as a change in the ownership or effective control of the Corporation, or a change in the ownership of a substantial portion of the assets of the Corporation, within the meaning of Treas. Reg. Section 1.409A-3(i)(5)).</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14" w:name="page115"/>
    <w:bookmarkEnd w:id="114"/>
    <w:p>
      <w:pPr>
        <w:jc w:val="both"/>
        <w:ind w:firstLine="8"/>
        <w:spacing w:after="0" w:line="291" w:lineRule="auto"/>
        <w:tabs>
          <w:tab w:leader="none" w:pos="40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the Participant’s Stock Units shall, to the extent such Stock Units have not become vested upon the Separation Date, automatically be forfeited to the Corporation effective immediately following the Separation Date. If the Participant is entitled to any accelerated vesting pursuant to any provision below in this Section 8, any remaining unvested portion of the Participant’s Stock Units (after giving effect to such acceleration) shall automatically be forfeited to the Corporation effective immediately following the Separation Date.</w:t>
      </w:r>
    </w:p>
    <w:p>
      <w:pPr>
        <w:spacing w:after="0" w:line="167" w:lineRule="exact"/>
        <w:rPr>
          <w:rFonts w:ascii="Arial" w:cs="Arial" w:eastAsia="Arial" w:hAnsi="Arial"/>
          <w:sz w:val="16"/>
          <w:szCs w:val="16"/>
          <w:color w:val="auto"/>
        </w:rPr>
      </w:pPr>
    </w:p>
    <w:p>
      <w:pPr>
        <w:jc w:val="both"/>
        <w:ind w:firstLine="8"/>
        <w:spacing w:after="0" w:line="286" w:lineRule="auto"/>
        <w:tabs>
          <w:tab w:leader="none" w:pos="39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at a time when the Participant is employed by or providing services to the Corporation or any of its Subsidiaries, a portion of the otherwise outstanding and unvested Stock Units subject to the Award shall automatically become vested as of the date of the Participant’s death, and shall be paid to the Participant as provided in Section 6 above. In such event, the number of Stock Units that shall become vested on the date of the date of the Participant’s death equals (i) minus (ii) (but not less than zero), where (i) is the Employment Fraction (determined as set forth below)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date of the Separation Date (before taking the acceleration contemplated by this Section 8(b) into account and before taking the crediting of dividend equivalent Stock Units pursuant to Section 5 above into account). To the extent any Stock Units accelerate in connection with the Participant’s death pursuant to the preceding sentence, the dividend equivalent Stock Units credited pursuant to Section 5 above with respect to such Stock Units shall also accelerate and become vested as of the Separation Date. For purposes of this Section 8, the “Employment Fraction” equals a fraction (not greater than one), the numerator of which is the total number of calendar days in the period beginning with the Grant Date as set forth in the Notice through and including the Participant’s Separation Date, and the denominator of which is the total number of calendar days in the period beginning with the Grant Date as set forth in the Notice through and including the last scheduled vesting date applicable to the Award as set forth in the Notice.</w:t>
      </w:r>
    </w:p>
    <w:p>
      <w:pPr>
        <w:spacing w:after="0" w:line="174" w:lineRule="exact"/>
        <w:rPr>
          <w:rFonts w:ascii="Arial" w:cs="Arial" w:eastAsia="Arial" w:hAnsi="Arial"/>
          <w:sz w:val="16"/>
          <w:szCs w:val="16"/>
          <w:color w:val="auto"/>
        </w:rPr>
      </w:pPr>
    </w:p>
    <w:p>
      <w:pPr>
        <w:jc w:val="both"/>
        <w:ind w:firstLine="8"/>
        <w:spacing w:after="0" w:line="253" w:lineRule="auto"/>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Retirement of the Participant</w:t>
      </w:r>
      <w:r>
        <w:rPr>
          <w:rFonts w:ascii="Arial" w:cs="Arial" w:eastAsia="Arial" w:hAnsi="Arial"/>
          <w:sz w:val="18"/>
          <w:szCs w:val="18"/>
          <w:color w:val="auto"/>
        </w:rPr>
        <w:t>. If the Participant Retires (as defined below) from the Corporation or one of its Subsidiaries, a portion of the otherwise outstanding and unvested Stock Units subject to the Award shall automatically become vested as of the date of such retirement, and shall be paid to the Participant as provided in Section 6 above. In such event, the number of Stock Units that shall become vested on the date of the Participant’s Retirement equals (i) minus (ii) (but not less than zero), where (i) is the Employment Fraction (determined as set forth above in Section 8(b))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Separation Date (before taking the acceleration contemplated by this Section 8(c) into account and before taking the crediting of dividend equivalent Stock Units pursuant to Section 5 above into account). To the extent any Stock Units accelerate in connection with a Retirement pursuant to the foregoing provisions of this Section 8(c), the dividend equivalent Stock Units credited pursuant to Section 5 above with respect to such Stock Units shall also accelerate and become vested as of the Separation Date.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Award Agreement, the Participant shall be deemed to have “Retired” (which term shall include “Retirement,” “Retire” and “Retires”) if the Participant retires from employment with the Corporation or one of its Subsidiaries for any reason other than Cause (as defined below) and other than due to the Participant’s death after satisfying all of the following requirements at the time of such retirement: (i) the Participant is at least 55 years of age, (ii) the Participant has five (5) or more whole years of credited service with the Corporation or any of its Subsidiaries ending on the date of such retirement, and (iii) the Participant’s age plus years of credited service with the Corporation or any of its Subsidiaries (including only whole years in the case of both age and credited service for purposes of this requirement) totals at least 70. The Administrator shall determine the Participant’s “years of credited service” under clauses (ii) and (iii) above; provided that, for such purposes, in no event shall the Participant accrue more than one year of service with respect to any period of twelve consecutive months (that is, concurrent employment by both the Corporation and one or more of its Subsidiaries, or by multiple Subsidiaries, for a month shall not be counted as more than one month of service).</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15" w:name="page116"/>
    <w:bookmarkEnd w:id="115"/>
    <w:p>
      <w:pPr>
        <w:jc w:val="both"/>
        <w:spacing w:after="0" w:line="293" w:lineRule="auto"/>
        <w:rPr>
          <w:sz w:val="20"/>
          <w:szCs w:val="20"/>
          <w:color w:val="auto"/>
        </w:rPr>
      </w:pPr>
      <w:r>
        <w:rPr>
          <w:rFonts w:ascii="Arial" w:cs="Arial" w:eastAsia="Arial" w:hAnsi="Arial"/>
          <w:sz w:val="16"/>
          <w:szCs w:val="16"/>
          <w:color w:val="auto"/>
        </w:rPr>
        <w:t>For clarity, Retirement is based on a termination of employment and not a termination of any other service relationship. However, if the Participant Retires and continues in another service capacity such that the Participant does not have a Separation Date in connection with his or her Retirement, the portion of the Award (if any) that accelerates in connection with such Retirement shall be deemed to correspond to the first vesting date scheduled to occur after the date of such Retirement and the portion of the Award not vested on the Participant’s Retirement shall remain eligible to vest through and until the Participant’s Separation Date (in connection with any such Separation Date the other provisions of this Section 8 shall apply as to such portion of the Award; in the event the Participant is entitled to accelerated vesting pursuant to Section 8(b), the provisions of Section 8(b) and not this Section 8(c) shall apply).</w:t>
      </w:r>
    </w:p>
    <w:p>
      <w:pPr>
        <w:spacing w:after="0" w:line="165" w:lineRule="exact"/>
        <w:rPr>
          <w:sz w:val="20"/>
          <w:szCs w:val="20"/>
          <w:color w:val="auto"/>
        </w:rPr>
      </w:pPr>
    </w:p>
    <w:p>
      <w:pPr>
        <w:jc w:val="both"/>
        <w:ind w:firstLine="8"/>
        <w:spacing w:after="0" w:line="273" w:lineRule="auto"/>
        <w:tabs>
          <w:tab w:leader="none" w:pos="43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in Connection with a Change in Control Event</w:t>
      </w:r>
      <w:r>
        <w:rPr>
          <w:rFonts w:ascii="Arial" w:cs="Arial" w:eastAsia="Arial" w:hAnsi="Arial"/>
          <w:sz w:val="17"/>
          <w:szCs w:val="17"/>
          <w:color w:val="auto"/>
        </w:rPr>
        <w:t>. In the event the Participant ceases to be employed by the Corporation or any of its Subsidiaries as a result of either a termination of employment by the Corporation or one of its Subsidiaries without “Cause” (as defined below) or the resignation of the Participant for “Good Reason” (as defined below), in either case upon or within the one (1) year period following the occurrence of a Change in Control Event, the Award (to the extent outstanding and not previously vested) shall fully vest on the Participant’s Separation Date and shall be paid to the Participant as provided in Section 6 above. If the Participant’s employment terminates in the circumstances described in the preceding sentence and the Participant also qualifies for Retirement under Section 8(c) above, this Section 8(d) shall apply.</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Award Agreement, the term “Cause” is used as defined in the Western Digital Corporation Amended and Restated Change of Control Severance Plan (for clarity, including if the Participant does not participate in such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Award Agreement, the term “Good Reason” shall mean any of the following without the Participant’s express written consent:</w:t>
      </w:r>
    </w:p>
    <w:p>
      <w:pPr>
        <w:spacing w:after="0" w:line="237" w:lineRule="exact"/>
        <w:rPr>
          <w:sz w:val="20"/>
          <w:szCs w:val="20"/>
          <w:color w:val="auto"/>
        </w:rPr>
      </w:pPr>
    </w:p>
    <w:p>
      <w:pPr>
        <w:ind w:left="1740" w:hanging="435"/>
        <w:spacing w:after="0"/>
        <w:tabs>
          <w:tab w:leader="none" w:pos="1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material diminution in the Participant’s authority, duties or responsibilities in effect immediately prior to the Change in Control</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left="660" w:firstLine="645"/>
        <w:spacing w:after="0" w:line="277" w:lineRule="auto"/>
        <w:tabs>
          <w:tab w:leader="none" w:pos="17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diminution by the Employer (as defined below) in the Participant’s base compensation in effect immediately prior to a Change in Control Event;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material breach by the Corporation or the Employer of any right that the Participant has under a written severance plan of the Corporation or the Employer in which the Participant participates or by the Corporation or the Employer of any written employment agreement either of them may be a party to with the Participant; or</w:t>
      </w:r>
    </w:p>
    <w:p>
      <w:pPr>
        <w:spacing w:after="0" w:line="181" w:lineRule="exact"/>
        <w:rPr>
          <w:rFonts w:ascii="Arial" w:cs="Arial" w:eastAsia="Arial" w:hAnsi="Arial"/>
          <w:sz w:val="18"/>
          <w:szCs w:val="18"/>
          <w:color w:val="auto"/>
        </w:rPr>
      </w:pPr>
    </w:p>
    <w:p>
      <w:pPr>
        <w:ind w:left="660" w:firstLine="645"/>
        <w:spacing w:after="0" w:line="277" w:lineRule="auto"/>
        <w:tabs>
          <w:tab w:leader="none" w:pos="17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requirement by the Employer that the Participant’s principal place of employment be relocated more than fifty (50) miles from his or her place of employment immediately prior to a Change in Control Event;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provided, however, that any such condition shall not constitute “Good Reason” unless both (i) the Participant provides written notice to the Corporation of the condition claimed to constitute Good Reason within ninety (90) days of the initial existence of such condition, and (ii) the Corporation fails to remedy such condition within thirty (30) days of receiving such written notice thereof; and provided, further, that in all events the termination of the Participant’s employment with the Corporation shall not be treated as a termination for “Good Reason” unless such termination occurs not more than one (1) year following the initial existence of the condition claimed to constitute “Good Reason.”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Award Agreement, “Employer” shall mean the Corporation or its Subsidiary employing the Participant; provided however, that nothing contained herein shall prohibit the Corporation or another of its Subsidiaries fulfilling any obligation of the employing entity to the Participant and for such purposes will be deemed the act of the Employer.</w:t>
      </w:r>
    </w:p>
    <w:p>
      <w:pPr>
        <w:spacing w:after="0" w:line="181" w:lineRule="exact"/>
        <w:rPr>
          <w:sz w:val="20"/>
          <w:szCs w:val="20"/>
          <w:color w:val="auto"/>
        </w:rPr>
      </w:pPr>
    </w:p>
    <w:p>
      <w:pPr>
        <w:jc w:val="both"/>
        <w:ind w:firstLine="8"/>
        <w:spacing w:after="0" w:line="312" w:lineRule="auto"/>
        <w:tabs>
          <w:tab w:leader="none" w:pos="46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Severance Plan Benefits</w:t>
      </w:r>
      <w:r>
        <w:rPr>
          <w:rFonts w:ascii="Arial" w:cs="Arial" w:eastAsia="Arial" w:hAnsi="Arial"/>
          <w:sz w:val="16"/>
          <w:szCs w:val="16"/>
          <w:color w:val="auto"/>
        </w:rPr>
        <w:t>. In the event the Participant’s employment terminates in circumstances as to which the Participant is entitled to severance benefits pursuant to the Western Digital Corporation Executive Severance Plan or the Western Digital Corporation Amended and Restated Change of Control Severance Plan (or any applicable successor executive severance plan, as each is in effect at the time of such termination of employment,</w:t>
      </w:r>
    </w:p>
    <w:p>
      <w:pPr>
        <w:spacing w:after="0" w:line="39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16" w:name="page117"/>
    <w:bookmarkEnd w:id="116"/>
    <w:p>
      <w:pPr>
        <w:jc w:val="both"/>
        <w:spacing w:after="0" w:line="270" w:lineRule="auto"/>
        <w:rPr>
          <w:sz w:val="20"/>
          <w:szCs w:val="20"/>
          <w:color w:val="auto"/>
        </w:rPr>
      </w:pPr>
      <w:r>
        <w:rPr>
          <w:rFonts w:ascii="Arial" w:cs="Arial" w:eastAsia="Arial" w:hAnsi="Arial"/>
          <w:sz w:val="17"/>
          <w:szCs w:val="17"/>
          <w:color w:val="auto"/>
        </w:rPr>
        <w:t>and only if such severance plan then otherwise applies with respect to the Participant) (“Severance Plan”), the Participant shall be entitled to any accelerated vesting of the Stock Units subject to the Award that may be provided for in the circumstances in the applicable Severance Plan; provided, however, that if any Stock Units subject to the Award would also be subject to accelerated vesting pursuant to Section 8(b), 8(c) or 8(d) above, the Stock Units shall be subject to accelerated vesting pursuant to the section (Section 8(b), 8(c) or 8(d) above, or this Section 8(e)) that results in the greatest number of Stock Units becoming vested, but in no event shall the Stock Units be subject to accelerated vesting pursuant to more than one such provision. For clarity, any accelerated vesting contemplated by this Section 8(e) is subject to the Participant satisfying any applicable conditions to severance benefits set forth in the applicable Severance Plan (such as, without limitation, any eligibility and release requirements). The timing of payment of any Stock Units the vesting of which is accelerated pursuant to this Section 8(e) shall, however, be governed by this Award Agreement and not by the Severance Plan, and to that extent this Award Agreement amends the applicable Severance Plan as to the Award.</w:t>
      </w:r>
    </w:p>
    <w:p>
      <w:pPr>
        <w:spacing w:after="0" w:line="1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Administrator may accelerate the vesting of the Stock Units in such circumstances as it, in its sole discretion, may determine; provided that the time of payment of the Stock Units as otherwise set forth herein may not be changed.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but only to the extent consistent with Treas. Reg. Section 1.409A-3(j)(4)(vi),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w:t>
      </w:r>
      <w:r>
        <w:rPr>
          <w:rFonts w:ascii="Arial" w:cs="Arial" w:eastAsia="Arial" w:hAnsi="Arial"/>
          <w:sz w:val="17"/>
          <w:szCs w:val="17"/>
          <w:i w:val="1"/>
          <w:iCs w:val="1"/>
          <w:color w:val="auto"/>
        </w:rPr>
        <w:t>i.e.</w:t>
      </w:r>
      <w:r>
        <w:rPr>
          <w:rFonts w:ascii="Arial" w:cs="Arial" w:eastAsia="Arial" w:hAnsi="Arial"/>
          <w:sz w:val="17"/>
          <w:szCs w:val="17"/>
          <w:color w:val="auto"/>
        </w:rPr>
        <w:t>,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17" w:name="page118"/>
    <w:bookmarkEnd w:id="117"/>
    <w:p>
      <w:pPr>
        <w:jc w:val="both"/>
        <w:ind w:firstLine="648"/>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notice to be given under the terms of this Award Agreement shall be in writing and addressed to the Corporation at its principal office to the attention of the Secretary, and to the Participant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18" w:name="page119"/>
    <w:bookmarkEnd w:id="118"/>
    <w:p>
      <w:pPr>
        <w:jc w:val="both"/>
        <w:spacing w:after="0" w:line="286" w:lineRule="auto"/>
        <w:rPr>
          <w:sz w:val="20"/>
          <w:szCs w:val="20"/>
          <w:color w:val="auto"/>
        </w:rPr>
      </w:pPr>
      <w:r>
        <w:rPr>
          <w:rFonts w:ascii="Arial" w:cs="Arial" w:eastAsia="Arial" w:hAnsi="Arial"/>
          <w:sz w:val="17"/>
          <w:szCs w:val="17"/>
          <w:color w:val="auto"/>
        </w:rPr>
        <w:t>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No Advice Regarding Grant</w:t>
      </w:r>
    </w:p>
    <w:p>
      <w:pPr>
        <w:spacing w:after="0" w:line="229" w:lineRule="exact"/>
        <w:rPr>
          <w:rFonts w:ascii="Arial" w:cs="Arial" w:eastAsia="Arial" w:hAnsi="Arial"/>
          <w:sz w:val="18"/>
          <w:szCs w:val="18"/>
          <w:b w:val="1"/>
          <w:bCs w:val="1"/>
          <w:color w:val="auto"/>
        </w:rPr>
      </w:pPr>
    </w:p>
    <w:p>
      <w:pPr>
        <w:jc w:val="both"/>
        <w:ind w:firstLine="8"/>
        <w:spacing w:after="0" w:line="297"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621" w:right="259" w:bottom="1440" w:gutter="0" w:footer="0" w:header="0"/>
        </w:sectPr>
      </w:pPr>
    </w:p>
    <w:bookmarkStart w:id="120" w:name="page121"/>
    <w:bookmarkEnd w:id="120"/>
    <w:p>
      <w:pPr>
        <w:ind w:right="600"/>
        <w:spacing w:after="0" w:line="277" w:lineRule="auto"/>
        <w:rPr>
          <w:sz w:val="20"/>
          <w:szCs w:val="20"/>
          <w:color w:val="auto"/>
        </w:rPr>
      </w:pPr>
      <w:r>
        <w:rPr>
          <w:rFonts w:ascii="Arial" w:cs="Arial" w:eastAsia="Arial" w:hAnsi="Arial"/>
          <w:sz w:val="18"/>
          <w:szCs w:val="18"/>
          <w:color w:val="auto"/>
        </w:rPr>
        <w:t>Corporation may refuse to issue or deliver the shares of Common Stock or the proceeds of the sale of shares if the Participant fails to comply with the Participant’s obligations in connection with the Tax-Related Items.</w:t>
      </w:r>
    </w:p>
    <w:p>
      <w:pPr>
        <w:spacing w:after="0" w:line="188"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66" w:lineRule="exact"/>
        <w:rPr>
          <w:sz w:val="20"/>
          <w:szCs w:val="20"/>
          <w:color w:val="auto"/>
        </w:rPr>
      </w:pPr>
    </w:p>
    <w:p>
      <w:pPr>
        <w:ind w:right="140" w:firstLine="1305"/>
        <w:spacing w:after="0" w:line="271" w:lineRule="auto"/>
        <w:tabs>
          <w:tab w:leader="none" w:pos="1716"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223" w:lineRule="exact"/>
        <w:rPr>
          <w:rFonts w:ascii="Arial" w:cs="Arial" w:eastAsia="Arial" w:hAnsi="Arial"/>
          <w:sz w:val="22"/>
          <w:szCs w:val="22"/>
          <w:color w:val="auto"/>
        </w:rPr>
      </w:pPr>
    </w:p>
    <w:p>
      <w:pPr>
        <w:ind w:right="420" w:firstLine="1305"/>
        <w:spacing w:after="0" w:line="271"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200" w:lineRule="exact"/>
        <w:rPr>
          <w:rFonts w:ascii="Arial" w:cs="Arial" w:eastAsia="Arial" w:hAnsi="Arial"/>
          <w:sz w:val="22"/>
          <w:szCs w:val="22"/>
          <w:color w:val="auto"/>
        </w:rPr>
      </w:pPr>
    </w:p>
    <w:p>
      <w:pPr>
        <w:ind w:left="1720" w:hanging="415"/>
        <w:spacing w:after="0"/>
        <w:tabs>
          <w:tab w:leader="none" w:pos="1720" w:val="left"/>
        </w:tabs>
        <w:numPr>
          <w:ilvl w:val="0"/>
          <w:numId w:val="72"/>
        </w:numPr>
        <w:rPr>
          <w:rFonts w:ascii="Arial" w:cs="Arial" w:eastAsia="Arial" w:hAnsi="Arial"/>
          <w:sz w:val="22"/>
          <w:szCs w:val="22"/>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Participant is voluntary participating in the Plan;</w:t>
      </w:r>
    </w:p>
    <w:p>
      <w:pPr>
        <w:spacing w:after="0" w:line="255" w:lineRule="exact"/>
        <w:rPr>
          <w:rFonts w:ascii="Arial" w:cs="Arial" w:eastAsia="Arial" w:hAnsi="Arial"/>
          <w:sz w:val="22"/>
          <w:szCs w:val="22"/>
          <w:color w:val="auto"/>
        </w:rPr>
      </w:pPr>
    </w:p>
    <w:p>
      <w:pPr>
        <w:ind w:right="100" w:firstLine="1305"/>
        <w:spacing w:after="0" w:line="271" w:lineRule="auto"/>
        <w:tabs>
          <w:tab w:leader="none" w:pos="1716"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223" w:lineRule="exact"/>
        <w:rPr>
          <w:rFonts w:ascii="Arial" w:cs="Arial" w:eastAsia="Arial" w:hAnsi="Arial"/>
          <w:sz w:val="22"/>
          <w:szCs w:val="22"/>
          <w:color w:val="auto"/>
        </w:rPr>
      </w:pPr>
    </w:p>
    <w:p>
      <w:pPr>
        <w:ind w:firstLine="1305"/>
        <w:spacing w:after="0" w:line="288" w:lineRule="auto"/>
        <w:tabs>
          <w:tab w:leader="none" w:pos="1692" w:val="left"/>
        </w:tabs>
        <w:numPr>
          <w:ilvl w:val="0"/>
          <w:numId w:val="72"/>
        </w:numPr>
        <w:rPr>
          <w:rFonts w:ascii="Arial" w:cs="Arial" w:eastAsia="Arial" w:hAnsi="Arial"/>
          <w:sz w:val="22"/>
          <w:szCs w:val="22"/>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0"/>
          <w:numId w:val="72"/>
        </w:numPr>
        <w:rPr>
          <w:rFonts w:ascii="Arial" w:cs="Arial" w:eastAsia="Arial" w:hAnsi="Arial"/>
          <w:sz w:val="19"/>
          <w:szCs w:val="19"/>
          <w:color w:val="auto"/>
        </w:rPr>
      </w:pPr>
      <w:r>
        <w:rPr>
          <w:rFonts w:ascii="Arial" w:cs="Arial" w:eastAsia="Arial" w:hAnsi="Arial"/>
          <w:sz w:val="16"/>
          <w:szCs w:val="16"/>
          <w:color w:val="auto"/>
        </w:rPr>
        <w:t>the future value of the shares of Common Stock underlying the Stock Units is unknown, indeterminable, and cannot be predicted with</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certainty;</w:t>
      </w:r>
    </w:p>
    <w:p>
      <w:pPr>
        <w:spacing w:after="0" w:line="279" w:lineRule="exact"/>
        <w:rPr>
          <w:rFonts w:ascii="Arial" w:cs="Arial" w:eastAsia="Arial" w:hAnsi="Arial"/>
          <w:sz w:val="19"/>
          <w:szCs w:val="19"/>
          <w:color w:val="auto"/>
        </w:rPr>
      </w:pPr>
    </w:p>
    <w:p>
      <w:pPr>
        <w:ind w:right="60" w:firstLine="1305"/>
        <w:spacing w:after="0" w:line="350" w:lineRule="auto"/>
        <w:tabs>
          <w:tab w:leader="none" w:pos="1728" w:val="left"/>
        </w:tabs>
        <w:numPr>
          <w:ilvl w:val="0"/>
          <w:numId w:val="72"/>
        </w:numPr>
        <w:rPr>
          <w:rFonts w:ascii="Arial" w:cs="Arial" w:eastAsia="Arial" w:hAnsi="Arial"/>
          <w:sz w:val="19"/>
          <w:szCs w:val="19"/>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55" w:lineRule="exact"/>
        <w:rPr>
          <w:rFonts w:ascii="Arial" w:cs="Arial" w:eastAsia="Arial" w:hAnsi="Arial"/>
          <w:sz w:val="19"/>
          <w:szCs w:val="19"/>
          <w:color w:val="auto"/>
        </w:rPr>
      </w:pPr>
    </w:p>
    <w:p>
      <w:pPr>
        <w:ind w:right="20" w:firstLine="1305"/>
        <w:spacing w:after="0" w:line="301" w:lineRule="auto"/>
        <w:tabs>
          <w:tab w:leader="none" w:pos="1680" w:val="left"/>
        </w:tabs>
        <w:numPr>
          <w:ilvl w:val="0"/>
          <w:numId w:val="72"/>
        </w:numPr>
        <w:rPr>
          <w:rFonts w:ascii="Arial" w:cs="Arial" w:eastAsia="Arial" w:hAnsi="Arial"/>
          <w:sz w:val="21"/>
          <w:szCs w:val="21"/>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206" w:lineRule="exact"/>
        <w:rPr>
          <w:rFonts w:ascii="Arial" w:cs="Arial" w:eastAsia="Arial" w:hAnsi="Arial"/>
          <w:sz w:val="21"/>
          <w:szCs w:val="21"/>
          <w:color w:val="auto"/>
        </w:rPr>
      </w:pPr>
    </w:p>
    <w:p>
      <w:pPr>
        <w:ind w:right="100" w:firstLine="1305"/>
        <w:spacing w:after="0" w:line="280" w:lineRule="auto"/>
        <w:tabs>
          <w:tab w:leader="none" w:pos="1680" w:val="left"/>
        </w:tabs>
        <w:numPr>
          <w:ilvl w:val="0"/>
          <w:numId w:val="72"/>
        </w:numPr>
        <w:rPr>
          <w:rFonts w:ascii="Arial" w:cs="Arial" w:eastAsia="Arial" w:hAnsi="Arial"/>
          <w:sz w:val="22"/>
          <w:szCs w:val="22"/>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221" w:lineRule="exact"/>
        <w:rPr>
          <w:rFonts w:ascii="Arial" w:cs="Arial" w:eastAsia="Arial" w:hAnsi="Arial"/>
          <w:sz w:val="22"/>
          <w:szCs w:val="22"/>
          <w:color w:val="auto"/>
        </w:rPr>
      </w:pPr>
    </w:p>
    <w:p>
      <w:pPr>
        <w:ind w:right="40" w:firstLine="1305"/>
        <w:spacing w:after="0" w:line="28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25" w:right="259" w:bottom="1440" w:gutter="0" w:footer="0" w:header="0"/>
        </w:sectPr>
      </w:pPr>
    </w:p>
    <w:bookmarkStart w:id="121" w:name="page122"/>
    <w:bookmarkEnd w:id="121"/>
    <w:p>
      <w:pPr>
        <w:ind w:left="360" w:hanging="352"/>
        <w:spacing w:after="0"/>
        <w:tabs>
          <w:tab w:leader="none" w:pos="360" w:val="left"/>
        </w:tabs>
        <w:numPr>
          <w:ilvl w:val="0"/>
          <w:numId w:val="73"/>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95" w:lineRule="exact"/>
        <w:rPr>
          <w:sz w:val="20"/>
          <w:szCs w:val="20"/>
          <w:color w:val="auto"/>
        </w:rPr>
      </w:pPr>
    </w:p>
    <w:p>
      <w:pPr>
        <w:jc w:val="both"/>
        <w:ind w:firstLine="1305"/>
        <w:spacing w:after="0" w:line="288" w:lineRule="auto"/>
        <w:tabs>
          <w:tab w:leader="none" w:pos="1877" w:val="left"/>
        </w:tabs>
        <w:numPr>
          <w:ilvl w:val="0"/>
          <w:numId w:val="74"/>
        </w:numPr>
        <w:rPr>
          <w:rFonts w:ascii="Arial" w:cs="Arial" w:eastAsia="Arial" w:hAnsi="Arial"/>
          <w:sz w:val="22"/>
          <w:szCs w:val="22"/>
          <w:b w:val="1"/>
          <w:b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215" w:lineRule="exact"/>
        <w:rPr>
          <w:rFonts w:ascii="Arial" w:cs="Arial" w:eastAsia="Arial" w:hAnsi="Arial"/>
          <w:sz w:val="22"/>
          <w:szCs w:val="22"/>
          <w:b w:val="1"/>
          <w:bCs w:val="1"/>
          <w:color w:val="auto"/>
        </w:rPr>
      </w:pPr>
    </w:p>
    <w:p>
      <w:pPr>
        <w:jc w:val="both"/>
        <w:ind w:firstLine="1305"/>
        <w:spacing w:after="0" w:line="310" w:lineRule="auto"/>
        <w:tabs>
          <w:tab w:leader="none" w:pos="1741" w:val="left"/>
        </w:tabs>
        <w:numPr>
          <w:ilvl w:val="0"/>
          <w:numId w:val="74"/>
        </w:numPr>
        <w:rPr>
          <w:rFonts w:ascii="Arial" w:cs="Arial" w:eastAsia="Arial" w:hAnsi="Arial"/>
          <w:sz w:val="21"/>
          <w:szCs w:val="21"/>
          <w:b w:val="1"/>
          <w:b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98" w:lineRule="exact"/>
        <w:rPr>
          <w:rFonts w:ascii="Arial" w:cs="Arial" w:eastAsia="Arial" w:hAnsi="Arial"/>
          <w:sz w:val="21"/>
          <w:szCs w:val="21"/>
          <w:b w:val="1"/>
          <w:bCs w:val="1"/>
          <w:color w:val="auto"/>
        </w:rPr>
      </w:pPr>
    </w:p>
    <w:p>
      <w:pPr>
        <w:jc w:val="both"/>
        <w:ind w:firstLine="1305"/>
        <w:spacing w:after="0" w:line="358" w:lineRule="auto"/>
        <w:tabs>
          <w:tab w:leader="none" w:pos="1865" w:val="left"/>
        </w:tabs>
        <w:numPr>
          <w:ilvl w:val="0"/>
          <w:numId w:val="74"/>
        </w:numPr>
        <w:rPr>
          <w:rFonts w:ascii="Arial" w:cs="Arial" w:eastAsia="Arial" w:hAnsi="Arial"/>
          <w:sz w:val="18"/>
          <w:szCs w:val="18"/>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73" w:lineRule="exact"/>
        <w:rPr>
          <w:rFonts w:ascii="Arial" w:cs="Arial" w:eastAsia="Arial" w:hAnsi="Arial"/>
          <w:sz w:val="18"/>
          <w:szCs w:val="18"/>
          <w:b w:val="1"/>
          <w:bCs w:val="1"/>
          <w:color w:val="auto"/>
        </w:rPr>
      </w:pPr>
    </w:p>
    <w:p>
      <w:pPr>
        <w:jc w:val="both"/>
        <w:ind w:firstLine="1305"/>
        <w:spacing w:after="0" w:line="334" w:lineRule="auto"/>
        <w:tabs>
          <w:tab w:leader="none" w:pos="1835" w:val="left"/>
        </w:tabs>
        <w:numPr>
          <w:ilvl w:val="0"/>
          <w:numId w:val="74"/>
        </w:numPr>
        <w:rPr>
          <w:rFonts w:ascii="Arial" w:cs="Arial" w:eastAsia="Arial" w:hAnsi="Arial"/>
          <w:sz w:val="19"/>
          <w:szCs w:val="19"/>
          <w:b w:val="1"/>
          <w:b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88" w:lineRule="exact"/>
        <w:rPr>
          <w:rFonts w:ascii="Arial" w:cs="Arial" w:eastAsia="Arial" w:hAnsi="Arial"/>
          <w:sz w:val="19"/>
          <w:szCs w:val="19"/>
          <w:b w:val="1"/>
          <w:bCs w:val="1"/>
          <w:color w:val="auto"/>
        </w:rPr>
      </w:pPr>
    </w:p>
    <w:p>
      <w:pPr>
        <w:jc w:val="both"/>
        <w:ind w:firstLine="1305"/>
        <w:spacing w:after="0" w:line="333" w:lineRule="auto"/>
        <w:tabs>
          <w:tab w:leader="none" w:pos="1797" w:val="left"/>
        </w:tabs>
        <w:numPr>
          <w:ilvl w:val="0"/>
          <w:numId w:val="74"/>
        </w:numPr>
        <w:rPr>
          <w:rFonts w:ascii="Arial" w:cs="Arial" w:eastAsia="Arial" w:hAnsi="Arial"/>
          <w:sz w:val="19"/>
          <w:szCs w:val="19"/>
          <w:b w:val="1"/>
          <w:b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43" w:right="239" w:bottom="1440" w:gutter="0" w:footer="0" w:header="0"/>
        </w:sectPr>
      </w:pPr>
    </w:p>
    <w:bookmarkStart w:id="122" w:name="page123"/>
    <w:bookmarkEnd w:id="122"/>
    <w:p>
      <w:pPr>
        <w:jc w:val="both"/>
        <w:spacing w:after="0" w:line="312" w:lineRule="auto"/>
        <w:rPr>
          <w:sz w:val="20"/>
          <w:szCs w:val="20"/>
          <w:color w:val="auto"/>
        </w:rPr>
      </w:pPr>
      <w:r>
        <w:rPr>
          <w:rFonts w:ascii="Arial" w:cs="Arial" w:eastAsia="Arial" w:hAnsi="Arial"/>
          <w:sz w:val="16"/>
          <w:szCs w:val="16"/>
          <w:b w:val="1"/>
          <w:bCs w:val="1"/>
          <w:i w:val="1"/>
          <w:iCs w:val="1"/>
          <w:color w:val="auto"/>
        </w:rPr>
        <w:t>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187" w:lineRule="exact"/>
        <w:rPr>
          <w:sz w:val="20"/>
          <w:szCs w:val="20"/>
          <w:color w:val="auto"/>
        </w:rPr>
      </w:pPr>
    </w:p>
    <w:p>
      <w:pPr>
        <w:jc w:val="both"/>
        <w:ind w:firstLine="1305"/>
        <w:spacing w:after="0" w:line="310" w:lineRule="auto"/>
        <w:tabs>
          <w:tab w:leader="none" w:pos="1922" w:val="left"/>
        </w:tabs>
        <w:numPr>
          <w:ilvl w:val="1"/>
          <w:numId w:val="75"/>
        </w:numPr>
        <w:rPr>
          <w:rFonts w:ascii="Arial" w:cs="Arial" w:eastAsia="Arial" w:hAnsi="Arial"/>
          <w:sz w:val="21"/>
          <w:szCs w:val="21"/>
          <w:b w:val="1"/>
          <w:b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98" w:lineRule="exact"/>
        <w:rPr>
          <w:rFonts w:ascii="Arial" w:cs="Arial" w:eastAsia="Arial" w:hAnsi="Arial"/>
          <w:sz w:val="21"/>
          <w:szCs w:val="21"/>
          <w:b w:val="1"/>
          <w:bCs w:val="1"/>
          <w:color w:val="auto"/>
        </w:rPr>
      </w:pPr>
    </w:p>
    <w:p>
      <w:pPr>
        <w:jc w:val="both"/>
        <w:ind w:firstLine="1305"/>
        <w:spacing w:after="0" w:line="348" w:lineRule="auto"/>
        <w:tabs>
          <w:tab w:leader="none" w:pos="1877" w:val="left"/>
        </w:tabs>
        <w:numPr>
          <w:ilvl w:val="1"/>
          <w:numId w:val="75"/>
        </w:numPr>
        <w:rPr>
          <w:rFonts w:ascii="Arial" w:cs="Arial" w:eastAsia="Arial" w:hAnsi="Arial"/>
          <w:sz w:val="18"/>
          <w:szCs w:val="18"/>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spacing w:after="0" w:line="1" w:lineRule="exact"/>
        <w:rPr>
          <w:rFonts w:ascii="Arial" w:cs="Arial" w:eastAsia="Arial" w:hAnsi="Arial"/>
          <w:sz w:val="18"/>
          <w:szCs w:val="18"/>
          <w:b w:val="1"/>
          <w:bCs w:val="1"/>
          <w:color w:val="auto"/>
        </w:rPr>
      </w:pPr>
    </w:p>
    <w:p>
      <w:pPr>
        <w:jc w:val="both"/>
        <w:ind w:firstLine="8"/>
        <w:spacing w:after="0" w:line="323" w:lineRule="auto"/>
        <w:tabs>
          <w:tab w:leader="none" w:pos="247" w:val="left"/>
        </w:tabs>
        <w:numPr>
          <w:ilvl w:val="0"/>
          <w:numId w:val="7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90" w:lineRule="exact"/>
        <w:rPr>
          <w:rFonts w:ascii="Arial" w:cs="Arial" w:eastAsia="Arial" w:hAnsi="Arial"/>
          <w:sz w:val="17"/>
          <w:szCs w:val="17"/>
          <w:b w:val="1"/>
          <w:bCs w:val="1"/>
          <w:i w:val="1"/>
          <w:iCs w:val="1"/>
          <w:color w:val="auto"/>
        </w:rPr>
      </w:pPr>
    </w:p>
    <w:p>
      <w:pPr>
        <w:jc w:val="both"/>
        <w:ind w:firstLine="1305"/>
        <w:spacing w:after="0" w:line="310" w:lineRule="auto"/>
        <w:tabs>
          <w:tab w:leader="none" w:pos="1768" w:val="left"/>
        </w:tabs>
        <w:numPr>
          <w:ilvl w:val="1"/>
          <w:numId w:val="76"/>
        </w:numPr>
        <w:rPr>
          <w:rFonts w:ascii="Arial" w:cs="Arial" w:eastAsia="Arial" w:hAnsi="Arial"/>
          <w:sz w:val="21"/>
          <w:szCs w:val="21"/>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176"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199"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23" w:name="page124"/>
    <w:bookmarkEnd w:id="123"/>
    <w:p>
      <w:pPr>
        <w:ind w:right="20"/>
        <w:spacing w:after="0" w:line="290" w:lineRule="auto"/>
        <w:rPr>
          <w:sz w:val="20"/>
          <w:szCs w:val="20"/>
          <w:color w:val="auto"/>
        </w:rPr>
      </w:pPr>
      <w:r>
        <w:rPr>
          <w:rFonts w:ascii="Arial" w:cs="Arial" w:eastAsia="Arial" w:hAnsi="Arial"/>
          <w:sz w:val="16"/>
          <w:szCs w:val="16"/>
          <w:color w:val="auto"/>
        </w:rPr>
        <w:t>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Stock Units)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184"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25" w:right="2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10.4</w:t>
      </w:r>
    </w:p>
    <w:p>
      <w:pPr>
        <w:spacing w:after="0" w:line="270" w:lineRule="exact"/>
        <w:rPr>
          <w:sz w:val="20"/>
          <w:szCs w:val="20"/>
          <w:color w:val="auto"/>
        </w:rPr>
      </w:pPr>
    </w:p>
    <w:p>
      <w:pPr>
        <w:ind w:left="80"/>
        <w:spacing w:after="0"/>
        <w:rPr>
          <w:sz w:val="20"/>
          <w:szCs w:val="20"/>
          <w:color w:val="auto"/>
        </w:rPr>
      </w:pPr>
      <w:r>
        <w:rPr>
          <w:sz w:val="1"/>
          <w:szCs w:val="1"/>
          <w:color w:val="auto"/>
        </w:rPr>
        <w:drawing>
          <wp:inline distT="0" distB="0" distL="0" distR="0">
            <wp:extent cx="1835150" cy="3175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835150" cy="317500"/>
                    </a:xfrm>
                    <a:prstGeom prst="rect">
                      <a:avLst/>
                    </a:prstGeom>
                    <a:noFill/>
                    <a:ln>
                      <a:noFill/>
                    </a:ln>
                  </pic:spPr>
                </pic:pic>
              </a:graphicData>
            </a:graphic>
          </wp:inline>
        </w:drawing>
      </w:r>
      <w:r>
        <w:rPr>
          <w:rFonts w:ascii="Arial" w:cs="Arial" w:eastAsia="Arial" w:hAnsi="Arial"/>
          <w:sz w:val="14"/>
          <w:szCs w:val="14"/>
          <w:b w:val="1"/>
          <w:bCs w:val="1"/>
          <w:color w:val="auto"/>
        </w:rPr>
        <w:t xml:space="preserve"> Western Digital Corporation</w:t>
      </w:r>
    </w:p>
    <w:p>
      <w:pPr>
        <w:spacing w:after="0" w:line="3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5601 Great Oaks Parkway</w:t>
      </w:r>
    </w:p>
    <w:p>
      <w:pPr>
        <w:spacing w:after="0" w:line="4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San Jose, California 95119</w:t>
      </w:r>
    </w:p>
    <w:p>
      <w:pPr>
        <w:spacing w:after="0" w:line="5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(408) 717-6000</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Grant of Restricted Stock Units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Restricted Stock Unit Award Agreement</w:t>
      </w:r>
    </w:p>
    <w:p>
      <w:pPr>
        <w:spacing w:after="0" w:line="200" w:lineRule="exact"/>
        <w:rPr>
          <w:sz w:val="20"/>
          <w:szCs w:val="20"/>
          <w:color w:val="auto"/>
        </w:rPr>
      </w:pPr>
    </w:p>
    <w:p>
      <w:pPr>
        <w:spacing w:after="0" w:line="252" w:lineRule="exact"/>
        <w:rPr>
          <w:sz w:val="20"/>
          <w:szCs w:val="20"/>
          <w:color w:val="auto"/>
        </w:rPr>
      </w:pPr>
    </w:p>
    <w:p>
      <w:pPr>
        <w:spacing w:after="0"/>
        <w:tabs>
          <w:tab w:leader="none" w:pos="1620" w:val="left"/>
          <w:tab w:leader="none" w:pos="3360" w:val="left"/>
        </w:tabs>
        <w:rPr>
          <w:sz w:val="20"/>
          <w:szCs w:val="20"/>
          <w:color w:val="auto"/>
        </w:rPr>
      </w:pPr>
      <w:r>
        <w:rPr>
          <w:rFonts w:ascii="Arial" w:cs="Arial" w:eastAsia="Arial" w:hAnsi="Arial"/>
          <w:sz w:val="22"/>
          <w:szCs w:val="22"/>
          <w:b w:val="1"/>
          <w:bCs w:val="1"/>
          <w:color w:val="auto"/>
        </w:rPr>
        <w:t>«fn» «mn» «ln»</w:t>
        <w:tab/>
        <w:t>Award Number:</w:t>
      </w:r>
      <w:r>
        <w:rPr>
          <w:sz w:val="20"/>
          <w:szCs w:val="20"/>
          <w:color w:val="auto"/>
        </w:rPr>
        <w:tab/>
      </w:r>
      <w:r>
        <w:rPr>
          <w:rFonts w:ascii="Arial" w:cs="Arial" w:eastAsia="Arial" w:hAnsi="Arial"/>
          <w:sz w:val="19"/>
          <w:szCs w:val="19"/>
          <w:b w:val="1"/>
          <w:bCs w:val="1"/>
          <w:color w:val="auto"/>
        </w:rPr>
        <w:t>«nbr»</w:t>
      </w:r>
    </w:p>
    <w:p>
      <w:pPr>
        <w:spacing w:after="0" w:line="28" w:lineRule="exact"/>
        <w:rPr>
          <w:sz w:val="20"/>
          <w:szCs w:val="20"/>
          <w:color w:val="auto"/>
        </w:rPr>
      </w:pPr>
    </w:p>
    <w:p>
      <w:pPr>
        <w:spacing w:after="0"/>
        <w:tabs>
          <w:tab w:leader="none" w:pos="760" w:val="left"/>
          <w:tab w:leader="none" w:pos="1460" w:val="left"/>
        </w:tabs>
        <w:rPr>
          <w:sz w:val="20"/>
          <w:szCs w:val="20"/>
          <w:color w:val="auto"/>
        </w:rPr>
      </w:pPr>
      <w:r>
        <w:rPr>
          <w:rFonts w:ascii="Arial" w:cs="Arial" w:eastAsia="Arial" w:hAnsi="Arial"/>
          <w:sz w:val="22"/>
          <w:szCs w:val="22"/>
          <w:b w:val="1"/>
          <w:bCs w:val="1"/>
          <w:color w:val="auto"/>
        </w:rPr>
        <w:t>«ad1»</w:t>
        <w:tab/>
        <w:t>Plan:</w:t>
      </w:r>
      <w:r>
        <w:rPr>
          <w:sz w:val="20"/>
          <w:szCs w:val="20"/>
          <w:color w:val="auto"/>
        </w:rPr>
        <w:tab/>
      </w:r>
      <w:r>
        <w:rPr>
          <w:rFonts w:ascii="Arial" w:cs="Arial" w:eastAsia="Arial" w:hAnsi="Arial"/>
          <w:sz w:val="19"/>
          <w:szCs w:val="19"/>
          <w:b w:val="1"/>
          <w:bCs w:val="1"/>
          <w:color w:val="auto"/>
        </w:rPr>
        <w:t>2017 Performance Incentive Plan</w:t>
      </w:r>
    </w:p>
    <w:p>
      <w:pPr>
        <w:spacing w:after="0" w:line="4" w:lineRule="exact"/>
        <w:rPr>
          <w:sz w:val="20"/>
          <w:szCs w:val="20"/>
          <w:color w:val="auto"/>
        </w:rPr>
      </w:pPr>
    </w:p>
    <w:p>
      <w:pPr>
        <w:spacing w:after="0"/>
        <w:tabs>
          <w:tab w:leader="none" w:pos="760" w:val="left"/>
          <w:tab w:leader="none" w:pos="1280" w:val="left"/>
        </w:tabs>
        <w:rPr>
          <w:sz w:val="20"/>
          <w:szCs w:val="20"/>
          <w:color w:val="auto"/>
        </w:rPr>
      </w:pPr>
      <w:r>
        <w:rPr>
          <w:rFonts w:ascii="Arial" w:cs="Arial" w:eastAsia="Arial" w:hAnsi="Arial"/>
          <w:sz w:val="22"/>
          <w:szCs w:val="22"/>
          <w:b w:val="1"/>
          <w:bCs w:val="1"/>
          <w:color w:val="auto"/>
        </w:rPr>
        <w:t>«ad2»</w:t>
        <w:tab/>
        <w:t>ID:</w:t>
      </w:r>
      <w:r>
        <w:rPr>
          <w:sz w:val="20"/>
          <w:szCs w:val="20"/>
          <w:color w:val="auto"/>
        </w:rPr>
        <w:tab/>
      </w:r>
      <w:r>
        <w:rPr>
          <w:rFonts w:ascii="Arial" w:cs="Arial" w:eastAsia="Arial" w:hAnsi="Arial"/>
          <w:sz w:val="19"/>
          <w:szCs w:val="19"/>
          <w:b w:val="1"/>
          <w:bCs w:val="1"/>
          <w:color w:val="auto"/>
        </w:rPr>
        <w:t>«id»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«cty», «st» «z»</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Congratulations! Effective &lt;&lt;grant date&gt;&gt; (the “Grant Date”), you have been granted stock units (the “Restricted Stock Units”) of Western Digital Corporation. The Restricted Stock Units were granted under and are subject to the Corporation’s 2017 Performance Incentive Plan, as amended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345"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2700" w:type="dxa"/>
            <w:vAlign w:val="bottom"/>
            <w:gridSpan w:val="2"/>
          </w:tcPr>
          <w:p>
            <w:pPr>
              <w:spacing w:after="0"/>
              <w:rPr>
                <w:sz w:val="20"/>
                <w:szCs w:val="20"/>
                <w:color w:val="auto"/>
              </w:rPr>
            </w:pPr>
            <w:r>
              <w:rPr>
                <w:rFonts w:ascii="Arial" w:cs="Arial" w:eastAsia="Arial" w:hAnsi="Arial"/>
                <w:sz w:val="22"/>
                <w:szCs w:val="22"/>
                <w:color w:val="auto"/>
              </w:rPr>
              <w:t>Stock Units</w:t>
            </w:r>
          </w:p>
        </w:tc>
        <w:tc>
          <w:tcPr>
            <w:tcW w:w="840" w:type="dxa"/>
            <w:vAlign w:val="bottom"/>
          </w:tcPr>
          <w:p>
            <w:pPr>
              <w:spacing w:after="0"/>
              <w:rPr>
                <w:sz w:val="20"/>
                <w:szCs w:val="20"/>
                <w:color w:val="auto"/>
              </w:rPr>
            </w:pPr>
            <w:r>
              <w:rPr>
                <w:rFonts w:ascii="Arial" w:cs="Arial" w:eastAsia="Arial" w:hAnsi="Arial"/>
                <w:sz w:val="22"/>
                <w:szCs w:val="22"/>
                <w:color w:val="auto"/>
                <w:w w:val="82"/>
              </w:rPr>
              <w:t>Vest Type</w:t>
            </w:r>
          </w:p>
        </w:tc>
        <w:tc>
          <w:tcPr>
            <w:tcW w:w="2320" w:type="dxa"/>
            <w:vAlign w:val="bottom"/>
            <w:gridSpan w:val="2"/>
          </w:tcPr>
          <w:p>
            <w:pPr>
              <w:ind w:left="1540"/>
              <w:spacing w:after="0"/>
              <w:rPr>
                <w:sz w:val="20"/>
                <w:szCs w:val="20"/>
                <w:color w:val="auto"/>
              </w:rPr>
            </w:pPr>
            <w:r>
              <w:rPr>
                <w:rFonts w:ascii="Arial" w:cs="Arial" w:eastAsia="Arial" w:hAnsi="Arial"/>
                <w:sz w:val="22"/>
                <w:szCs w:val="22"/>
                <w:color w:val="auto"/>
                <w:w w:val="88"/>
              </w:rPr>
              <w:t>Full Vest</w:t>
            </w:r>
          </w:p>
        </w:tc>
      </w:tr>
      <w:tr>
        <w:trPr>
          <w:trHeight w:val="328"/>
        </w:trPr>
        <w:tc>
          <w:tcPr>
            <w:tcW w:w="10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«sp1»</w:t>
            </w:r>
          </w:p>
        </w:tc>
        <w:tc>
          <w:tcPr>
            <w:tcW w:w="1700" w:type="dxa"/>
            <w:vAlign w:val="bottom"/>
          </w:tcPr>
          <w:p>
            <w:pPr>
              <w:spacing w:after="0"/>
              <w:rPr>
                <w:sz w:val="24"/>
                <w:szCs w:val="24"/>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«vtpr1»</w:t>
            </w:r>
          </w:p>
        </w:tc>
        <w:tc>
          <w:tcPr>
            <w:tcW w:w="1540" w:type="dxa"/>
            <w:vAlign w:val="bottom"/>
          </w:tcPr>
          <w:p>
            <w:pPr>
              <w:spacing w:after="0"/>
              <w:rPr>
                <w:sz w:val="24"/>
                <w:szCs w:val="24"/>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«vdp1»</w:t>
            </w:r>
          </w:p>
        </w:tc>
      </w:tr>
      <w:tr>
        <w:trPr>
          <w:trHeight w:val="297"/>
        </w:trPr>
        <w:tc>
          <w:tcPr>
            <w:tcW w:w="2700" w:type="dxa"/>
            <w:vAlign w:val="bottom"/>
            <w:gridSpan w:val="2"/>
          </w:tcPr>
          <w:p>
            <w:pPr>
              <w:spacing w:after="0"/>
              <w:rPr>
                <w:sz w:val="20"/>
                <w:szCs w:val="20"/>
                <w:color w:val="auto"/>
              </w:rPr>
            </w:pPr>
            <w:r>
              <w:rPr>
                <w:rFonts w:ascii="Arial" w:cs="Arial" w:eastAsia="Arial" w:hAnsi="Arial"/>
                <w:sz w:val="22"/>
                <w:szCs w:val="22"/>
                <w:color w:val="auto"/>
              </w:rPr>
              <w:t>«sp2»</w:t>
            </w:r>
          </w:p>
        </w:tc>
        <w:tc>
          <w:tcPr>
            <w:tcW w:w="840" w:type="dxa"/>
            <w:vAlign w:val="bottom"/>
          </w:tcPr>
          <w:p>
            <w:pPr>
              <w:spacing w:after="0"/>
              <w:rPr>
                <w:sz w:val="20"/>
                <w:szCs w:val="20"/>
                <w:color w:val="auto"/>
              </w:rPr>
            </w:pPr>
            <w:r>
              <w:rPr>
                <w:rFonts w:ascii="Arial" w:cs="Arial" w:eastAsia="Arial" w:hAnsi="Arial"/>
                <w:sz w:val="22"/>
                <w:szCs w:val="22"/>
                <w:color w:val="auto"/>
              </w:rPr>
              <w:t>«vtp2»</w:t>
            </w:r>
          </w:p>
        </w:tc>
        <w:tc>
          <w:tcPr>
            <w:tcW w:w="2320" w:type="dxa"/>
            <w:vAlign w:val="bottom"/>
            <w:gridSpan w:val="2"/>
          </w:tcPr>
          <w:p>
            <w:pPr>
              <w:ind w:left="1540"/>
              <w:spacing w:after="0"/>
              <w:rPr>
                <w:sz w:val="20"/>
                <w:szCs w:val="20"/>
                <w:color w:val="auto"/>
              </w:rPr>
            </w:pPr>
            <w:r>
              <w:rPr>
                <w:rFonts w:ascii="Arial" w:cs="Arial" w:eastAsia="Arial" w:hAnsi="Arial"/>
                <w:sz w:val="22"/>
                <w:szCs w:val="22"/>
                <w:color w:val="auto"/>
              </w:rPr>
              <w:t>«vdp2»</w:t>
            </w:r>
          </w:p>
        </w:tc>
      </w:tr>
      <w:tr>
        <w:trPr>
          <w:trHeight w:val="297"/>
        </w:trPr>
        <w:tc>
          <w:tcPr>
            <w:tcW w:w="2700" w:type="dxa"/>
            <w:vAlign w:val="bottom"/>
            <w:gridSpan w:val="2"/>
          </w:tcPr>
          <w:p>
            <w:pPr>
              <w:spacing w:after="0"/>
              <w:rPr>
                <w:sz w:val="20"/>
                <w:szCs w:val="20"/>
                <w:color w:val="auto"/>
              </w:rPr>
            </w:pPr>
            <w:r>
              <w:rPr>
                <w:rFonts w:ascii="Arial" w:cs="Arial" w:eastAsia="Arial" w:hAnsi="Arial"/>
                <w:sz w:val="22"/>
                <w:szCs w:val="22"/>
                <w:color w:val="auto"/>
              </w:rPr>
              <w:t>«sp3»</w:t>
            </w:r>
          </w:p>
        </w:tc>
        <w:tc>
          <w:tcPr>
            <w:tcW w:w="840" w:type="dxa"/>
            <w:vAlign w:val="bottom"/>
          </w:tcPr>
          <w:p>
            <w:pPr>
              <w:spacing w:after="0"/>
              <w:rPr>
                <w:sz w:val="20"/>
                <w:szCs w:val="20"/>
                <w:color w:val="auto"/>
              </w:rPr>
            </w:pPr>
            <w:r>
              <w:rPr>
                <w:rFonts w:ascii="Arial" w:cs="Arial" w:eastAsia="Arial" w:hAnsi="Arial"/>
                <w:sz w:val="22"/>
                <w:szCs w:val="22"/>
                <w:color w:val="auto"/>
              </w:rPr>
              <w:t>«vtp3»</w:t>
            </w:r>
          </w:p>
        </w:tc>
        <w:tc>
          <w:tcPr>
            <w:tcW w:w="2320" w:type="dxa"/>
            <w:vAlign w:val="bottom"/>
            <w:gridSpan w:val="2"/>
          </w:tcPr>
          <w:p>
            <w:pPr>
              <w:ind w:left="1540"/>
              <w:spacing w:after="0"/>
              <w:rPr>
                <w:sz w:val="20"/>
                <w:szCs w:val="20"/>
                <w:color w:val="auto"/>
              </w:rPr>
            </w:pPr>
            <w:r>
              <w:rPr>
                <w:rFonts w:ascii="Arial" w:cs="Arial" w:eastAsia="Arial" w:hAnsi="Arial"/>
                <w:sz w:val="22"/>
                <w:szCs w:val="22"/>
                <w:color w:val="auto"/>
              </w:rPr>
              <w:t>«vdp3»</w:t>
            </w:r>
          </w:p>
        </w:tc>
      </w:tr>
      <w:tr>
        <w:trPr>
          <w:trHeight w:val="297"/>
        </w:trPr>
        <w:tc>
          <w:tcPr>
            <w:tcW w:w="2700" w:type="dxa"/>
            <w:vAlign w:val="bottom"/>
            <w:gridSpan w:val="2"/>
          </w:tcPr>
          <w:p>
            <w:pPr>
              <w:spacing w:after="0"/>
              <w:rPr>
                <w:sz w:val="20"/>
                <w:szCs w:val="20"/>
                <w:color w:val="auto"/>
              </w:rPr>
            </w:pPr>
            <w:r>
              <w:rPr>
                <w:rFonts w:ascii="Arial" w:cs="Arial" w:eastAsia="Arial" w:hAnsi="Arial"/>
                <w:sz w:val="22"/>
                <w:szCs w:val="22"/>
                <w:color w:val="auto"/>
              </w:rPr>
              <w:t>«sp4»</w:t>
            </w:r>
          </w:p>
        </w:tc>
        <w:tc>
          <w:tcPr>
            <w:tcW w:w="840" w:type="dxa"/>
            <w:vAlign w:val="bottom"/>
          </w:tcPr>
          <w:p>
            <w:pPr>
              <w:spacing w:after="0"/>
              <w:rPr>
                <w:sz w:val="20"/>
                <w:szCs w:val="20"/>
                <w:color w:val="auto"/>
              </w:rPr>
            </w:pPr>
            <w:r>
              <w:rPr>
                <w:rFonts w:ascii="Arial" w:cs="Arial" w:eastAsia="Arial" w:hAnsi="Arial"/>
                <w:sz w:val="22"/>
                <w:szCs w:val="22"/>
                <w:color w:val="auto"/>
              </w:rPr>
              <w:t>«vtp4»</w:t>
            </w:r>
          </w:p>
        </w:tc>
        <w:tc>
          <w:tcPr>
            <w:tcW w:w="2320" w:type="dxa"/>
            <w:vAlign w:val="bottom"/>
            <w:gridSpan w:val="2"/>
          </w:tcPr>
          <w:p>
            <w:pPr>
              <w:ind w:left="1540"/>
              <w:spacing w:after="0"/>
              <w:rPr>
                <w:sz w:val="20"/>
                <w:szCs w:val="20"/>
                <w:color w:val="auto"/>
              </w:rPr>
            </w:pPr>
            <w:r>
              <w:rPr>
                <w:rFonts w:ascii="Arial" w:cs="Arial" w:eastAsia="Arial" w:hAnsi="Arial"/>
                <w:sz w:val="22"/>
                <w:szCs w:val="22"/>
                <w:color w:val="auto"/>
              </w:rPr>
              <w:t>«vdp4»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Your Restricted Stock Unit award is subject to the terms and conditions of this Notice, the attached Standard Terms and Conditions for Restricted Stock Unit Award (including any terms and conditions set forth in any appendices attached hereto collectively, the “Standard Terms”) and the Plan. By accepting the award, you are agreeing to the terms of the award as set forth in those documents. You should read the Plan, the Prospectus for the Plan, and the Standard Terms. The Standard Terms and the Plan are each incorporated into and made a part of this Notice by this reference. If you do not agree to the terms of your award, you should promptly return this Notice to the Western Digital Corporation Stock Plans Administrator indicating that you do not wish to accept the award and your Restricted Stock Units will be cancelled.</w:t>
      </w:r>
    </w:p>
    <w:p>
      <w:pPr>
        <w:spacing w:after="0" w:line="16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 copy of the Plan, the Prospectus for the Plan, and the Standard Terms have been provided to you. If you need another copy of these documents, or if you would like to confirm that you have the most recent version, please contact the Corporation’s Stock Plans Administrator.</w:t>
      </w:r>
    </w:p>
    <w:p>
      <w:pPr>
        <w:sectPr>
          <w:pgSz w:w="11900" w:h="16838" w:orient="portrait"/>
          <w:cols w:equalWidth="0" w:num="1">
            <w:col w:w="11420"/>
          </w:cols>
          <w:pgMar w:left="240" w:top="121" w:right="239" w:bottom="1440" w:gutter="0" w:footer="0" w:header="0"/>
        </w:sectPr>
      </w:pPr>
    </w:p>
    <w:bookmarkStart w:id="125" w:name="page126"/>
    <w:bookmarkEnd w:id="125"/>
    <w:p>
      <w:pPr>
        <w:jc w:val="center"/>
        <w:ind w:right="60"/>
        <w:spacing w:after="0"/>
        <w:rPr>
          <w:sz w:val="20"/>
          <w:szCs w:val="20"/>
          <w:color w:val="auto"/>
        </w:rPr>
      </w:pPr>
      <w:r>
        <w:rPr>
          <w:rFonts w:ascii="Arial" w:cs="Arial" w:eastAsia="Arial" w:hAnsi="Arial"/>
          <w:sz w:val="22"/>
          <w:szCs w:val="22"/>
          <w:b w:val="1"/>
          <w:bCs w:val="1"/>
          <w:color w:val="auto"/>
        </w:rPr>
        <w:t>STANDARD TERMS AND CONDITIONS FOR</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RESTRICTED STOCK UNIT AWARD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2017 Performance Incentive Plan</w:t>
      </w:r>
    </w:p>
    <w:p>
      <w:pPr>
        <w:spacing w:after="0" w:line="200" w:lineRule="exact"/>
        <w:rPr>
          <w:sz w:val="20"/>
          <w:szCs w:val="20"/>
          <w:color w:val="auto"/>
        </w:rPr>
      </w:pPr>
    </w:p>
    <w:p>
      <w:pPr>
        <w:spacing w:after="0" w:line="248" w:lineRule="exact"/>
        <w:rPr>
          <w:sz w:val="20"/>
          <w:szCs w:val="20"/>
          <w:color w:val="auto"/>
        </w:rPr>
      </w:pPr>
    </w:p>
    <w:p>
      <w:pPr>
        <w:ind w:left="800" w:hanging="792"/>
        <w:spacing w:after="0"/>
        <w:tabs>
          <w:tab w:leader="none" w:pos="8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 Subject to Amended and Restated 2017 Performance Incentive Plan</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Restricted Stock Unit Award (the “Award”) referred to in the attached Notice of Grant of Restricted Stock Units and Restricted Stock Unit Award Agreement (the “Notice”) was awarded under Western Digital Corporation’s (the “Corporation’s”) Amended and Restated 2017 Performance Incentive Plan, as amended (the “Plan”). Each Restricted Stock Unit covered by the Award (“Stock Unit”) is a non-voting unit of measurement that is deemed for bookkeeping purposes to be equivalent to one outstanding share of Common Stock (subject to adjustment as provided in Section 7.1 of the Plan). The holder of the Stock Units is referred to herein as the “Participant.” Stock Units shall be used solely as a device for the determination of the number of shares of Common Stock to eventually be delivered to the Participant if Stock Units held by such Participant vest pursuant to Section 4, Section 7 or Section 8 and shall not be treated as property or as a trust fund of any kind. Stock Units granted to the Participant shall be credited to an unfunded bookkeeping account maintained by the Corporation on behalf of the Participant (a “Stock Unit Account”).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Units are subject to the terms and provisions of the Notice, these Standard Terms and Conditions for the Restricted Stock Unit Award (including any terms and conditions set forth in any appendices attached hereto) (collectively, these “Standard Terms”), and the Plan. To the extent any information in the Notice, the prospectus for the Plan, or other information provided by the Corporation conflicts with the Plan and/or these Standard Terms, the Plan or these Standard Terms, as applicable, shall control. To the extent any terms and provisions in these Standard Terms conflict with the terms and provisions of the Plan, the Plan shall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have the meanings set forth in the Plan or in the Notice, as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Award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and these Standard Terms, together (the “Award Agreement"), constitute the award agreement with respect to the Award pursuant to Section 5.2 of the Plan.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Deferral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Except as otherwise provided in this Award Agreement, the Award shall vest and become nonforfeitable in percentage installments of the aggregate number of Stock Units as set forth in the Notice. Except as expressly provided in Sections 7 and 8 below, the vesting schedule requires continued employment or service with the Corporation or one of its Subsidiaries through each applicable vesting date as a condition to the vesting of the applicable installment of the Award and the rights and benefits under this Award Agreement. Except as expressly provided in Sections 7 and 8 below, employment or service for only a portion of the vesting period, even if a substantial portion, will not entitle the Participant to any proportionate vesting or avoid or mitigate a termination of rights and benefits upon or following a termination of employment or services as provided in Section 8 below or under the Plan.</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Dividend Equivalent Rights Distributions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any date that the Corporation pays an ordinary cash dividend on its Common Stock, the Corporation shall credit the Participant’s Stock Unit Account with an additional number of Stock Units equal to (i) the per share cash dividend paid by the Corporation on its Common Stock on such date, multiplied by</w:t>
      </w:r>
    </w:p>
    <w:p>
      <w:pPr>
        <w:jc w:val="both"/>
        <w:ind w:firstLine="8"/>
        <w:spacing w:after="0" w:line="277" w:lineRule="auto"/>
        <w:tabs>
          <w:tab w:leader="none" w:pos="26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number of Stock Units remaining subject to the Award as of the related dividend payment record date, divided by (iii) the Fair Market Value of a share of Common Stock on the date of payment of such dividend. The Stock Units credited pursuant to the foregoing provisions of this Section 5 shall be subject to the same vesting, payment and other terms, conditions and restrictions as the original Stock Units to which they relate.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25" w:right="239" w:bottom="1440" w:gutter="0" w:footer="0" w:header="0"/>
        </w:sectPr>
      </w:pPr>
    </w:p>
    <w:bookmarkStart w:id="126" w:name="page127"/>
    <w:bookmarkEnd w:id="126"/>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Timing and Manner of Payment of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as expressly provided herein, on or within fifteen (15) business days following the vesting of any Stock Units granted (or credited pursuant to Section</w:t>
      </w:r>
    </w:p>
    <w:p>
      <w:pPr>
        <w:spacing w:after="0" w:line="46" w:lineRule="exact"/>
        <w:rPr>
          <w:sz w:val="20"/>
          <w:szCs w:val="20"/>
          <w:color w:val="auto"/>
        </w:rPr>
      </w:pPr>
    </w:p>
    <w:p>
      <w:pPr>
        <w:jc w:val="both"/>
        <w:ind w:firstLine="8"/>
        <w:spacing w:after="0" w:line="267" w:lineRule="auto"/>
        <w:tabs>
          <w:tab w:leader="none" w:pos="20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the Participant (whether pursuant to Section 4, Section 7 or Section 8 hereof or Section 7 of the Plan), the Corporation shall deliver to the Participant a number of shares of Common Stock (either by delivering one or more certificates for such shares or by entering such shares in book entry form, as determined by the Corporation in its sole discretion) equal to the number of Stock Units that vest on the applicable vesting date (including any Stock Units credited as dividend equivalents pursuant to Section 5 with respect to the Stock Units that vest), subject to adjustment as provided in Section 7.1 of the Plan. The Corporation’s obligation to deliver shares of Common Stock with respect to vested Stock Units is subject to the condition precedent that the Participant (or other person entitled under the Plan to receive any shares with respect to the vested Stock Units) delivers to the Corporation any representations or other documents or assurances required pursuant to Section 8.1 of the Plan in advance of the scheduled payment date. The Participant shall have no further rights with respect to any Stock Units that are paid pursuant to this Section 6 or that are terminated pursuant to Section 8 hereof or Section 7 of the Plan, and such Stock Units shall be removed from the Participant’s Stock Unit Account upon the date of such payment or termination. The Corporation may, in its sole discretion, settle any Stock Units credited as dividend equivalents by a cash payment equal to the fair market value of a share of Common Stock on the date of payment (as opposed to payment in the form of shares of Common Stock).</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Change in Control Event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(or, as may be necessary to effectuate the purposes of this acceleration, immediately prior to) the occurrence of a Change in Control Event in which the Stock Units subject to the Award are to terminate (i.e., the Administrator has not made a provision for the substitution, assumption, exchange or other continuation of the Award and the Award will not otherwise continue in accordance with its terms in the circumstances), the portion of the Award that is outstanding and unvested immediately prior to the Change in Control Event shall vest and become payable in accordance with Section 6.</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jc w:val="both"/>
        <w:ind w:firstLine="8"/>
        <w:spacing w:after="0" w:line="291" w:lineRule="auto"/>
        <w:tabs>
          <w:tab w:leader="none" w:pos="40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Generally</w:t>
      </w:r>
      <w:r>
        <w:rPr>
          <w:rFonts w:ascii="Arial" w:cs="Arial" w:eastAsia="Arial" w:hAnsi="Arial"/>
          <w:sz w:val="16"/>
          <w:szCs w:val="16"/>
          <w:color w:val="auto"/>
        </w:rPr>
        <w:t>. Except as expressly provided below in this Section 8, if the Participant ceases to be employed by or to provide services to the Corporation or its Subsidiaries for any reason (the last day that the Participant is employed by or provides services as a consultant or director to the Corporation or a Subsidiary prior to a period in which the Participant is not employed by, and does not have any such service relationship with, any such entity as determined by the Administrator is referred to as the Participant’s “Separation Date”), the Participant’s Stock Units shall, to the extent such Stock Units have not become vested upon the Separation Date, automatically be forfeited to the Corporation effective immediately following the Separation Date. If the Participant is entitled to any accelerated vesting pursuant to Section 8(b) below, any remaining unvested portion of the Participant’s Stock Units (after giving effect to such acceleration) shall automatically be forfeited to the Corporation effective immediately following the Separation Date.</w:t>
      </w:r>
    </w:p>
    <w:p>
      <w:pPr>
        <w:spacing w:after="0" w:line="167" w:lineRule="exact"/>
        <w:rPr>
          <w:rFonts w:ascii="Arial" w:cs="Arial" w:eastAsia="Arial" w:hAnsi="Arial"/>
          <w:sz w:val="16"/>
          <w:szCs w:val="16"/>
          <w:color w:val="auto"/>
        </w:rPr>
      </w:pPr>
    </w:p>
    <w:p>
      <w:pPr>
        <w:jc w:val="both"/>
        <w:ind w:firstLine="8"/>
        <w:spacing w:after="0" w:line="287" w:lineRule="auto"/>
        <w:tabs>
          <w:tab w:leader="none" w:pos="39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In the event of the Participant’s death at a time when the Participant is employed by or providing services to the Corporation or any of its Subsidiaries, a portion of the otherwise outstanding and unvested Stock Units subject to the Award shall automatically become vested as of the date of the Participant’s death, and shall be paid to the Participant as provided in Section 6 above. In such event, the number of Stock Units that shall become vested on the date of the date of the Participant’s death equals (i) minus (ii) (but not less than zero), where (i) is the Employment Fraction (determined as set forth below) multiplied by the total number of Stock Units originally subject to the Award (subject to adjustment as provided in Section 9 hereof but before taking the crediting of dividend equivalent Stock Units pursuant to Section 5 above into account), and (ii) is the number of Stock Units otherwise paid or payable on or prior to the date of the Separation Date (before taking the acceleration contemplated by this Section 8(b) into account and before taking the crediting of dividend equivalent Stock Units pursuant to Section 5 above into account). To the extent any Stock Units accelerate in connection with the Participant’s death pursuant to the preceding sentence, the dividend equivalent Stock Units credited pursuant to Section 5 above with respect to such Stock Units shall also accelerate and become vested as of the Separation Date. For purposes of this Section 8, the “Employment Fraction” equals a fraction (not greater than one), the numerator of which is the total number of calendar days in the period beginning with the Grant Date as set forth in the Notice through and including the Participant’s Separation Date, and the denominator of which is the total number of calendar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21" w:right="239" w:bottom="1440" w:gutter="0" w:footer="0" w:header="0"/>
        </w:sectPr>
      </w:pPr>
    </w:p>
    <w:bookmarkStart w:id="127" w:name="page128"/>
    <w:bookmarkEnd w:id="127"/>
    <w:p>
      <w:pPr>
        <w:jc w:val="both"/>
        <w:spacing w:after="0" w:line="277" w:lineRule="auto"/>
        <w:rPr>
          <w:sz w:val="20"/>
          <w:szCs w:val="20"/>
          <w:color w:val="auto"/>
        </w:rPr>
      </w:pPr>
      <w:r>
        <w:rPr>
          <w:rFonts w:ascii="Arial" w:cs="Arial" w:eastAsia="Arial" w:hAnsi="Arial"/>
          <w:sz w:val="18"/>
          <w:szCs w:val="18"/>
          <w:color w:val="auto"/>
        </w:rPr>
        <w:t>days in the period beginning with the Grant Date as set forth in the Notice through and including the last scheduled vesting date applicable to the Award as set forth in the Notice.</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Administrator may accelerate the vesting of the Stock Units in such circumstances as it, in its sole discretion, may determine. In addition, upon the occurrence of certain events relating to the Corporation’s stock contemplated by Section 7.1 of the Plan, the Administrator will make adjustments if appropriate in the number of Stock Units then outstanding and the number and kind of securities that may be issued in respect of the Award. No such adjustment shall be made with respect to any ordinary cash dividend for which dividend equivalents are credited or to be credited pursuant to Section 5 above.</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Withholding Taxes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Upon or in connection with the crediting, vesting or payment of Stock Units, or any other time when tax withholding may be required with respect to the Award, the Corporation (or the Subsidiary last employing the Participant) shall have the right at its option to (a) require the Participant to pay or provide for payment in cash of the amount of any taxes that the Corporation or the Subsidiary may be required to withhold with respect to such crediting, vesting, payment or other event, or (b) deduct from any amount payable to the Participant (pursuant to the Award or otherwise) the amount of any taxes that the Corporation or the Subsidiary may be required to withhold with respect to such crediting, vesting, payment or other event. In any case where a tax is required to be withheld in connection with the delivery of shares of Common Stock under this Award Agreement, the Administrator may, in its sole discretion, direct the Corporation or the Subsidiary to reduce the number of shares to be delivered by (or otherwise reacquire) the appropriate number of whole shares, valued at their then fair market value, to satisfy such withholding obligation at the applicable withholding rates. In addition, the Administrator may, in its sole discretion, reduce the number of Stock Units remaining subject to the Award, with each such Stock Unit to have a value for such purpose equal to the then fair market value of a share of Common Stock, to satisfy such withholding obligation at the applicable withholding rates.</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Neither the Award, nor any interest therein or amount or shares payable in respect thereof may be sold, assigned, transferred, pledged or otherwise disposed of, anticipated, alienated, encumbered, either voluntarily or involuntarily. The transfer restrictions in the preceding sentence shall not apply to (a) transfers to the Corporation (</w:t>
      </w:r>
      <w:r>
        <w:rPr>
          <w:rFonts w:ascii="Arial" w:cs="Arial" w:eastAsia="Arial" w:hAnsi="Arial"/>
          <w:sz w:val="17"/>
          <w:szCs w:val="17"/>
          <w:i w:val="1"/>
          <w:iCs w:val="1"/>
          <w:color w:val="auto"/>
        </w:rPr>
        <w:t>i.e.</w:t>
      </w:r>
      <w:r>
        <w:rPr>
          <w:rFonts w:ascii="Arial" w:cs="Arial" w:eastAsia="Arial" w:hAnsi="Arial"/>
          <w:sz w:val="17"/>
          <w:szCs w:val="17"/>
          <w:color w:val="auto"/>
        </w:rPr>
        <w:t>, upon the termination of a Stock Unit), or (b) transfers by will or the laws of descent and distribution.</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No Right to Employment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contained in this Award Agreement or the Plan constitutes an employment or service commitment by the Corporation or any of its Subsidiaries, affects the Participant’s status, if he or she is an employee,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Participant’s other compensation.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Rights as a Stockholder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provisions of the Plan, the Notice and these Standard Terms, the Participant shall have no rights as a stockholder of the Corporation, no dividend rights (except as expressly provided in Section 5 above with respect to dividend equivalent rights) and no voting rights with respect to Stock Units awarded to the Participant and any shares of Common Stock underlying or issuable in respect of such Stock Units until such shares of Common Stock are actually issued to and held of record by the Participant. No adjustments will be made for dividends or other rights of a holder for which the record date is prior to the date of such issuance of such shares.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notice to be given under the terms of this Award Agreement shall be in writing and addressed to the Corporation at its principal office to the attention of the Secretary, and to the Participant at the address last reflected on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5" w:right="239" w:bottom="1440" w:gutter="0" w:footer="0" w:header="0"/>
        </w:sectPr>
      </w:pPr>
    </w:p>
    <w:bookmarkStart w:id="128" w:name="page129"/>
    <w:bookmarkEnd w:id="128"/>
    <w:p>
      <w:pPr>
        <w:jc w:val="both"/>
        <w:spacing w:after="0" w:line="255" w:lineRule="auto"/>
        <w:rPr>
          <w:sz w:val="20"/>
          <w:szCs w:val="20"/>
          <w:color w:val="auto"/>
        </w:rPr>
      </w:pPr>
      <w:r>
        <w:rPr>
          <w:rFonts w:ascii="Arial" w:cs="Arial" w:eastAsia="Arial" w:hAnsi="Arial"/>
          <w:sz w:val="18"/>
          <w:szCs w:val="18"/>
          <w:color w:val="auto"/>
        </w:rPr>
        <w:t>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or for non-U.S. employees, the government of the country where the Participant is working and/or residing. Any such notice shall be given only when received, but if the Participant is no longer employed by the Corporation or a Subsidiary, shall be deemed to have been duly given five business days after the date mailed in accordance with the foregoing provisions of this Section 14.</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Arbitration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Any controversy arising out of or relating to this Award Agreement (including these Standard Terms) and/or the Plan, their enforcement or interpretation, or because of an alleged breach, default, or misrepresentation in connection with any of their provisions, or any other controversy arising out of or related to the Award, including, but not limited to, any state or federal statutory claims, shall be submitted to arbitration in Orange County, California, U.S.A., before a sole arbitrator selected from Judicial Arbitration and Mediation Services, Inc., Orange, California, or its successor (“JAMS”), or if JAMS is no longer able to supply the arbitrator, such arbitrator shall be selected from the American Arbitration Association, and shall be conducted in accordance with the provisions of California Code of Civil Procedure §§ 1280 et seq. as the exclusive forum for the resolution of such dispute; provided, however, that provisional injunctive relief may, but need not, be sought by either party to this Award Agreement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U.S.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The parties acknowledge and agree that they are hereby waiving any rights to trial by jury in any action, proceeding or counterclaim brought by either of the parties against the other in connection with any matter whatsoever arising out of or in any way connected with any of the matters referenced in the first sentence above. The parties agree that Corporation shall be responsible for payment of the forum costs of any arbitration hereunder, including the arbitrator’s fee. The parties further agree that in any proceeding with respect to such matters, each party shall bear its own attorney’s fees and costs (other than forum costs associated with the arbitration) incurred by it or him or her in connection with the resolution of the dispute. By accepting the Award, the Participant consents to all of the terms and conditions of this Award Agreement (including, without limitation, this Section 15).</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Award Agreement, including these Standard Terms, shall be interpreted and construed in accordance with the laws of the State of Delaware (without regard to conflict of law principles thereunder) and applicable United States federal law.</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arbitrator selected in accordance with Section 15 above or a court of competent jurisdiction determines that any portion of this Award Agreement (including these Standard Terms) or the Plan is in violation of any statute or public policy, then only the portions of this Award Agreement or the Plan, as applicable, which are found to violate such statute or public policy shall be stricken, and all portions of this Award Agreement and the Plan which are not found to violate any statute or public policy shall continue in full force and effect. Furthermore, it is the parties’ intent that any order striking any portion of this Award Agreement and/or the Plan should modify the stricken terms as narrowly as possible to give as much effect as possible to the intentions of the parties hereunder.</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Award Agreement (including these Standard Terms) and the Plan together constitute the entire agreement and supersede all prior understandings and agreements, written or oral, of the parties hereto with respect to the subject matter hereof. The Plan and this Award Agreement may be amended pursuant to Section 8.6 of the Plan. Such amendment must be in writing and signed by the Corporation. The Corporation may, however, unilaterally waive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25" w:right="239" w:bottom="1440" w:gutter="0" w:footer="0" w:header="0"/>
        </w:sectPr>
      </w:pPr>
    </w:p>
    <w:bookmarkStart w:id="129" w:name="page130"/>
    <w:bookmarkEnd w:id="129"/>
    <w:p>
      <w:pPr>
        <w:jc w:val="both"/>
        <w:spacing w:after="0" w:line="257" w:lineRule="auto"/>
        <w:rPr>
          <w:sz w:val="20"/>
          <w:szCs w:val="20"/>
          <w:color w:val="auto"/>
        </w:rPr>
      </w:pPr>
      <w:r>
        <w:rPr>
          <w:rFonts w:ascii="Arial" w:cs="Arial" w:eastAsia="Arial" w:hAnsi="Arial"/>
          <w:sz w:val="18"/>
          <w:szCs w:val="18"/>
          <w:color w:val="auto"/>
        </w:rPr>
        <w:t>any provision hereof in writing to the extent such waiver does not adversely affect the interests of the Participant hereunder, but no such waiver shall operate as or be construed to be a subsequent waiver of the same provision or a waiver of any other provision hereof. Provisions of the Plan that confer discretionary authority on the Board or the Administrator do not and shall not be deemed to create any rights in the Participant unless such rights are expressly set forth herein or are otherwise in the sole discretion of the Board or the Administrator so conferred by appropriate action of the Board or the Administrator under the Plan after the Grant Date.</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of this Award Agreement are for convenience of reference only and shall not be deemed to alter or affect any provision hereof.</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Appendix</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Award shall be subject to any additional terms and conditions for non-U.S. employees set forth in Appendix A attached hereto (“Appendix A”) and any terms and conditions for the Participant’s country set forth in Appendix B attached hereto (“Appendix B”). Moreover, if the Participant relocates to one of the countries included in Appendix B, the terms and conditions for such country will apply to the Participant to the extent the Corporation determines that the application of such terms and conditions is necessary or advisable for legal or administrative reasons. Appendix A and Appendix B constitute part of the Award Agreement.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Imposition of Other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reserves the right to impose other requirements on the Participant’s participation in the Plan, on the Stock Units and on any shares of Common Stock acquired under the Plan, to the extent the Corporation determines it is necessary or advisable for legal or administrative reasons, and to require Participant to sign any additional agreements or undertakings that may be necessary to accomplish the foregoing.</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Award Agreement shall be construed and interpreted consistent with that intent.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Clawback Policy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are subject to the forfeiture and clawback provisions of Section 8.14(a) of the Plan.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No Advice Regarding Grant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Participant is hereby advised to consult with his or her own tax, legal and/or investment advisors with respect to any advice the Participant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Participant is solely responsible for any and all tax liability that may arise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625" w:right="2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TERMS AND CONDITIONS OF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22"/>
          <w:szCs w:val="22"/>
          <w:b w:val="1"/>
          <w:bCs w:val="1"/>
          <w:color w:val="auto"/>
        </w:rPr>
      </w:pPr>
      <w:r>
        <w:rPr>
          <w:rFonts w:ascii="Arial" w:cs="Arial" w:eastAsia="Arial" w:hAnsi="Arial"/>
          <w:sz w:val="18"/>
          <w:szCs w:val="18"/>
          <w:b w:val="1"/>
          <w:bCs w:val="1"/>
          <w:color w:val="auto"/>
        </w:rPr>
        <w:t>Terms of Plan Participation for Non-U.S. Participants</w:t>
      </w:r>
    </w:p>
    <w:p>
      <w:pPr>
        <w:spacing w:after="0" w:line="2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attached hereto. </w:t>
      </w:r>
      <w:r>
        <w:rPr>
          <w:rFonts w:ascii="Arial" w:cs="Arial" w:eastAsia="Arial" w:hAnsi="Arial"/>
          <w:sz w:val="16"/>
          <w:szCs w:val="16"/>
          <w:i w:val="1"/>
          <w:iCs w:val="1"/>
          <w:color w:val="auto"/>
        </w:rPr>
        <w:t>Capitalized terms used but not defined in this Appendix A shall have the same meanings assigned to them in the Plan and/or Award Agreement.</w:t>
      </w:r>
    </w:p>
    <w:p>
      <w:pPr>
        <w:spacing w:after="0" w:line="172"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22"/>
          <w:szCs w:val="22"/>
          <w:b w:val="1"/>
          <w:bCs w:val="1"/>
          <w:color w:val="auto"/>
        </w:rPr>
      </w:pPr>
      <w:r>
        <w:rPr>
          <w:rFonts w:ascii="Arial" w:cs="Arial" w:eastAsia="Arial" w:hAnsi="Arial"/>
          <w:sz w:val="18"/>
          <w:szCs w:val="18"/>
          <w:b w:val="1"/>
          <w:bCs w:val="1"/>
          <w:color w:val="auto"/>
        </w:rPr>
        <w:t>Withholding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10 of the Standard Terms: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(“Employer”), the ultimate liability for all income tax, social insurance, payroll tax, fringe benefits tax, payment on account or other tax-related items related to the Participant’s participation in the Plan and this Award and legally applicable to the Participant (“Tax-Related Items”)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Stock Units, including, but not limited to, the grant, vesting or settlement of the Stock Units, the subsequent sale of shares of Common Stock acquired pursuant to such settlement and the receipt of any dividends and/or any dividend equivalents; and (b) do not commit to and are under no obligation to structure the terms of the grant or any aspect of the Stock Units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6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or their respective agents, at the Corporation’s discretion, to satisfy the obligations with regard to all Tax-Related Items by one or a combination of the methods set forth in Section 8.5 of the Plan and Section 10 of the Standard Terms. In addition, the Participant authorizes withholding from proceeds of the sale of shares of Common Stock acquired upon settlement of the Stock Units either through a voluntary sale or through a mandatory sale arranged by the Corporation (on the Participant’s behalf pursuant to this authorization without further consent).</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in Common Stock. If the Tax-Related Items are satisfied by withholding in shares of Common Stock, for tax purposes, the Participant is deemed to have been issued the full number of shares subject to the vested Stock Units, notwithstanding that a number of the Shares are held back solely for the purpose of paying the Tax-Related Items.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00"/>
          </w:cols>
          <w:pgMar w:left="240" w:top="621" w:right="259" w:bottom="1440" w:gutter="0" w:footer="0" w:header="0"/>
        </w:sectPr>
      </w:pPr>
    </w:p>
    <w:bookmarkStart w:id="131" w:name="page132"/>
    <w:bookmarkEnd w:id="131"/>
    <w:p>
      <w:pPr>
        <w:ind w:right="620"/>
        <w:spacing w:after="0" w:line="277" w:lineRule="auto"/>
        <w:rPr>
          <w:sz w:val="20"/>
          <w:szCs w:val="20"/>
          <w:color w:val="auto"/>
        </w:rPr>
      </w:pPr>
      <w:r>
        <w:rPr>
          <w:rFonts w:ascii="Arial" w:cs="Arial" w:eastAsia="Arial" w:hAnsi="Arial"/>
          <w:sz w:val="18"/>
          <w:szCs w:val="18"/>
          <w:color w:val="auto"/>
        </w:rPr>
        <w:t>Corporation may refuse to issue or deliver the shares of Common Stock or the proceeds of the sale of shares if the Participant fails to comply with the Participant’s obligations in connection with the Tax-Related Items.</w:t>
      </w:r>
    </w:p>
    <w:p>
      <w:pPr>
        <w:spacing w:after="0" w:line="188"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22"/>
          <w:szCs w:val="22"/>
          <w:b w:val="1"/>
          <w:bCs w:val="1"/>
          <w:color w:val="auto"/>
        </w:rPr>
      </w:pPr>
      <w:r>
        <w:rPr>
          <w:rFonts w:ascii="Arial" w:cs="Arial" w:eastAsia="Arial" w:hAnsi="Arial"/>
          <w:sz w:val="18"/>
          <w:szCs w:val="18"/>
          <w:b w:val="1"/>
          <w:bCs w:val="1"/>
          <w:color w:val="auto"/>
        </w:rPr>
        <w:t>Nature of Grant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Stock Units and any shares of Common Stock, the Participant acknowledges, understands and agrees that:</w:t>
      </w:r>
    </w:p>
    <w:p>
      <w:pPr>
        <w:spacing w:after="0" w:line="252" w:lineRule="exact"/>
        <w:rPr>
          <w:sz w:val="20"/>
          <w:szCs w:val="20"/>
          <w:color w:val="auto"/>
        </w:rPr>
      </w:pPr>
    </w:p>
    <w:p>
      <w:pPr>
        <w:ind w:right="40" w:firstLine="1305"/>
        <w:spacing w:after="0" w:line="324" w:lineRule="auto"/>
        <w:tabs>
          <w:tab w:leader="none" w:pos="1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70" w:lineRule="exact"/>
        <w:rPr>
          <w:rFonts w:ascii="Arial" w:cs="Arial" w:eastAsia="Arial" w:hAnsi="Arial"/>
          <w:sz w:val="18"/>
          <w:szCs w:val="18"/>
          <w:color w:val="auto"/>
        </w:rPr>
      </w:pPr>
    </w:p>
    <w:p>
      <w:pPr>
        <w:ind w:right="340" w:firstLine="1305"/>
        <w:spacing w:after="0" w:line="324" w:lineRule="auto"/>
        <w:tabs>
          <w:tab w:leader="none" w:pos="183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grant of the Stock Units is exceptional, voluntary and occasional and does not create any contractual or other right to receive future grants of Stock Units, or benefits in lieu of Stock Units, even if Stock Units have been granted in the past;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decisions with respect to future Stock Units or other grants, if any, will be at the sole discretion of the Corporation;</w:t>
      </w:r>
    </w:p>
    <w:p>
      <w:pPr>
        <w:spacing w:after="0" w:line="265" w:lineRule="exact"/>
        <w:rPr>
          <w:rFonts w:ascii="Arial" w:cs="Arial" w:eastAsia="Arial" w:hAnsi="Arial"/>
          <w:sz w:val="18"/>
          <w:szCs w:val="18"/>
          <w:color w:val="auto"/>
        </w:rPr>
      </w:pPr>
    </w:p>
    <w:p>
      <w:pPr>
        <w:ind w:left="1840" w:hanging="535"/>
        <w:spacing w:after="0"/>
        <w:tabs>
          <w:tab w:leader="none" w:pos="18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Participant is voluntary participating in the Plan;</w:t>
      </w:r>
    </w:p>
    <w:p>
      <w:pPr>
        <w:spacing w:after="0" w:line="265" w:lineRule="exact"/>
        <w:rPr>
          <w:rFonts w:ascii="Arial" w:cs="Arial" w:eastAsia="Arial" w:hAnsi="Arial"/>
          <w:sz w:val="18"/>
          <w:szCs w:val="18"/>
          <w:color w:val="auto"/>
        </w:rPr>
      </w:pPr>
    </w:p>
    <w:p>
      <w:pPr>
        <w:ind w:right="20" w:firstLine="1305"/>
        <w:spacing w:after="0" w:line="324" w:lineRule="auto"/>
        <w:tabs>
          <w:tab w:leader="none" w:pos="1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intended to replace any pension rights or compensation;</w:t>
      </w:r>
    </w:p>
    <w:p>
      <w:pPr>
        <w:spacing w:after="0" w:line="170" w:lineRule="exact"/>
        <w:rPr>
          <w:rFonts w:ascii="Arial" w:cs="Arial" w:eastAsia="Arial" w:hAnsi="Arial"/>
          <w:sz w:val="18"/>
          <w:szCs w:val="18"/>
          <w:color w:val="auto"/>
        </w:rPr>
      </w:pPr>
    </w:p>
    <w:p>
      <w:pPr>
        <w:ind w:right="20" w:firstLine="1305"/>
        <w:spacing w:after="0" w:line="304"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Stock Units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01" w:lineRule="exact"/>
        <w:rPr>
          <w:rFonts w:ascii="Arial" w:cs="Arial" w:eastAsia="Arial" w:hAnsi="Arial"/>
          <w:sz w:val="18"/>
          <w:szCs w:val="18"/>
          <w:color w:val="auto"/>
        </w:rPr>
      </w:pPr>
    </w:p>
    <w:p>
      <w:pPr>
        <w:ind w:left="1740" w:hanging="435"/>
        <w:spacing w:after="0"/>
        <w:tabs>
          <w:tab w:leader="none" w:pos="1740" w:val="left"/>
        </w:tabs>
        <w:numPr>
          <w:ilvl w:val="0"/>
          <w:numId w:val="88"/>
        </w:numPr>
        <w:rPr>
          <w:rFonts w:ascii="Arial" w:cs="Arial" w:eastAsia="Arial" w:hAnsi="Arial"/>
          <w:sz w:val="19"/>
          <w:szCs w:val="19"/>
          <w:color w:val="auto"/>
        </w:rPr>
      </w:pPr>
      <w:r>
        <w:rPr>
          <w:rFonts w:ascii="Arial" w:cs="Arial" w:eastAsia="Arial" w:hAnsi="Arial"/>
          <w:sz w:val="16"/>
          <w:szCs w:val="16"/>
          <w:color w:val="auto"/>
        </w:rPr>
        <w:t>the future value of the shares of Common Stock underlying the Stock Units is unknown, indeterminable, and cannot be predicted with</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certainty;</w:t>
      </w:r>
    </w:p>
    <w:p>
      <w:pPr>
        <w:spacing w:after="0" w:line="279" w:lineRule="exact"/>
        <w:rPr>
          <w:rFonts w:ascii="Arial" w:cs="Arial" w:eastAsia="Arial" w:hAnsi="Arial"/>
          <w:sz w:val="19"/>
          <w:szCs w:val="19"/>
          <w:color w:val="auto"/>
        </w:rPr>
      </w:pPr>
    </w:p>
    <w:p>
      <w:pPr>
        <w:ind w:right="80" w:firstLine="1305"/>
        <w:spacing w:after="0" w:line="350" w:lineRule="auto"/>
        <w:tabs>
          <w:tab w:leader="none" w:pos="1728" w:val="left"/>
        </w:tabs>
        <w:numPr>
          <w:ilvl w:val="0"/>
          <w:numId w:val="88"/>
        </w:numPr>
        <w:rPr>
          <w:rFonts w:ascii="Arial" w:cs="Arial" w:eastAsia="Arial" w:hAnsi="Arial"/>
          <w:sz w:val="19"/>
          <w:szCs w:val="19"/>
          <w:color w:val="auto"/>
        </w:rPr>
      </w:pPr>
      <w:r>
        <w:rPr>
          <w:rFonts w:ascii="Arial" w:cs="Arial" w:eastAsia="Arial" w:hAnsi="Arial"/>
          <w:sz w:val="16"/>
          <w:szCs w:val="16"/>
          <w:color w:val="auto"/>
        </w:rPr>
        <w:t>unless otherwise agreed with the Corporation, the Stock Units and the shares of Common Stock acquired under the Plan, and the income and value of same, are not granted as consideration for, or in connection with, the service the Participant may provide as a director of any Subsidiary;</w:t>
      </w:r>
    </w:p>
    <w:p>
      <w:pPr>
        <w:spacing w:after="0" w:line="155" w:lineRule="exact"/>
        <w:rPr>
          <w:rFonts w:ascii="Arial" w:cs="Arial" w:eastAsia="Arial" w:hAnsi="Arial"/>
          <w:sz w:val="19"/>
          <w:szCs w:val="19"/>
          <w:color w:val="auto"/>
        </w:rPr>
      </w:pPr>
    </w:p>
    <w:p>
      <w:pPr>
        <w:ind w:right="40" w:firstLine="1305"/>
        <w:spacing w:after="0" w:line="301" w:lineRule="auto"/>
        <w:tabs>
          <w:tab w:leader="none" w:pos="1680" w:val="left"/>
        </w:tabs>
        <w:numPr>
          <w:ilvl w:val="0"/>
          <w:numId w:val="88"/>
        </w:numPr>
        <w:rPr>
          <w:rFonts w:ascii="Arial" w:cs="Arial" w:eastAsia="Arial" w:hAnsi="Arial"/>
          <w:sz w:val="21"/>
          <w:szCs w:val="21"/>
          <w:color w:val="auto"/>
        </w:rPr>
      </w:pPr>
      <w:r>
        <w:rPr>
          <w:rFonts w:ascii="Arial" w:cs="Arial" w:eastAsia="Arial" w:hAnsi="Arial"/>
          <w:sz w:val="17"/>
          <w:szCs w:val="17"/>
          <w:color w:val="auto"/>
        </w:rPr>
        <w:t>no claim or entitlement to compensation or damages shall arise from forfeiture of the Stock Units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206" w:lineRule="exact"/>
        <w:rPr>
          <w:rFonts w:ascii="Arial" w:cs="Arial" w:eastAsia="Arial" w:hAnsi="Arial"/>
          <w:sz w:val="21"/>
          <w:szCs w:val="21"/>
          <w:color w:val="auto"/>
        </w:rPr>
      </w:pPr>
    </w:p>
    <w:p>
      <w:pPr>
        <w:ind w:right="120" w:firstLine="1305"/>
        <w:spacing w:after="0" w:line="280" w:lineRule="auto"/>
        <w:tabs>
          <w:tab w:leader="none" w:pos="1680" w:val="left"/>
        </w:tabs>
        <w:numPr>
          <w:ilvl w:val="0"/>
          <w:numId w:val="88"/>
        </w:numPr>
        <w:rPr>
          <w:rFonts w:ascii="Arial" w:cs="Arial" w:eastAsia="Arial" w:hAnsi="Arial"/>
          <w:sz w:val="22"/>
          <w:szCs w:val="22"/>
          <w:color w:val="auto"/>
        </w:rPr>
      </w:pPr>
      <w:r>
        <w:rPr>
          <w:rFonts w:ascii="Arial" w:cs="Arial" w:eastAsia="Arial" w:hAnsi="Arial"/>
          <w:sz w:val="18"/>
          <w:szCs w:val="18"/>
          <w:color w:val="auto"/>
        </w:rPr>
        <w:t>unless otherwise provided in the Plan or by the Corporation in its discretion, the Stock Units and the benefits evidenced by the Award Agreement do not create any entitlement to have the Stock Units or any such benefits transferred to, or assumed by, another company nor to be exchanged, cashed out or substituted for, in connection with any corporate transaction affecting the shares; and</w:t>
      </w:r>
    </w:p>
    <w:p>
      <w:pPr>
        <w:spacing w:after="0" w:line="221" w:lineRule="exact"/>
        <w:rPr>
          <w:rFonts w:ascii="Arial" w:cs="Arial" w:eastAsia="Arial" w:hAnsi="Arial"/>
          <w:sz w:val="22"/>
          <w:szCs w:val="22"/>
          <w:color w:val="auto"/>
        </w:rPr>
      </w:pPr>
    </w:p>
    <w:p>
      <w:pPr>
        <w:ind w:right="60" w:firstLine="1305"/>
        <w:spacing w:after="0" w:line="280" w:lineRule="auto"/>
        <w:tabs>
          <w:tab w:leader="none" w:pos="1728" w:val="left"/>
        </w:tabs>
        <w:numPr>
          <w:ilvl w:val="0"/>
          <w:numId w:val="88"/>
        </w:numPr>
        <w:rPr>
          <w:rFonts w:ascii="Arial" w:cs="Arial" w:eastAsia="Arial" w:hAnsi="Arial"/>
          <w:sz w:val="22"/>
          <w:szCs w:val="22"/>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Stock Units or of any amounts due to the Participant pursuant to the vesting of the Stock Units or the subsequent sale of any shares of Common Stock acquired upon vesting.</w:t>
      </w:r>
    </w:p>
    <w:p>
      <w:pPr>
        <w:spacing w:after="0" w:line="199" w:lineRule="exact"/>
        <w:rPr>
          <w:sz w:val="20"/>
          <w:szCs w:val="20"/>
          <w:color w:val="auto"/>
        </w:rPr>
      </w:pPr>
    </w:p>
    <w:p>
      <w:pPr>
        <w:ind w:left="360" w:hanging="352"/>
        <w:spacing w:after="0"/>
        <w:tabs>
          <w:tab w:leader="none" w:pos="360" w:val="left"/>
        </w:tabs>
        <w:numPr>
          <w:ilvl w:val="0"/>
          <w:numId w:val="89"/>
        </w:numPr>
        <w:rPr>
          <w:rFonts w:ascii="Arial" w:cs="Arial" w:eastAsia="Arial" w:hAnsi="Arial"/>
          <w:sz w:val="22"/>
          <w:szCs w:val="22"/>
          <w:b w:val="1"/>
          <w:bCs w:val="1"/>
          <w:color w:val="auto"/>
        </w:rPr>
      </w:pPr>
      <w:r>
        <w:rPr>
          <w:rFonts w:ascii="Arial" w:cs="Arial" w:eastAsia="Arial" w:hAnsi="Arial"/>
          <w:sz w:val="18"/>
          <w:szCs w:val="18"/>
          <w:b w:val="1"/>
          <w:bCs w:val="1"/>
          <w:color w:val="auto"/>
        </w:rPr>
        <w:t>Data Privacy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By accepting the Stock Units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25" w:right="239" w:bottom="1440" w:gutter="0" w:footer="0" w:header="0"/>
        </w:sectPr>
      </w:pPr>
    </w:p>
    <w:bookmarkStart w:id="132" w:name="page133"/>
    <w:bookmarkEnd w:id="132"/>
    <w:p>
      <w:pPr>
        <w:spacing w:after="0" w:line="277" w:lineRule="auto"/>
        <w:rPr>
          <w:sz w:val="20"/>
          <w:szCs w:val="20"/>
          <w:color w:val="auto"/>
        </w:rPr>
      </w:pPr>
      <w:r>
        <w:rPr>
          <w:rFonts w:ascii="Arial" w:cs="Arial" w:eastAsia="Arial" w:hAnsi="Arial"/>
          <w:sz w:val="18"/>
          <w:szCs w:val="18"/>
          <w:b w:val="1"/>
          <w:bCs w:val="1"/>
          <w:i w:val="1"/>
          <w:iCs w:val="1"/>
          <w:color w:val="auto"/>
        </w:rPr>
        <w:t>mentioned herein, including recipients located in countries which do not adduce an adequate level of protection from a European (or other non-U.S.) data protection law perspective, for the purposes described herein.</w:t>
      </w:r>
    </w:p>
    <w:p>
      <w:pPr>
        <w:spacing w:after="0" w:line="197" w:lineRule="exact"/>
        <w:rPr>
          <w:sz w:val="20"/>
          <w:szCs w:val="20"/>
          <w:color w:val="auto"/>
        </w:rPr>
      </w:pPr>
    </w:p>
    <w:p>
      <w:pPr>
        <w:jc w:val="both"/>
        <w:ind w:firstLine="1305"/>
        <w:spacing w:after="0" w:line="304" w:lineRule="auto"/>
        <w:tabs>
          <w:tab w:leader="none" w:pos="2155"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Stock Unit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88" w:lineRule="exact"/>
        <w:rPr>
          <w:rFonts w:ascii="Arial" w:cs="Arial" w:eastAsia="Arial" w:hAnsi="Arial"/>
          <w:sz w:val="18"/>
          <w:szCs w:val="18"/>
          <w:b w:val="1"/>
          <w:bCs w:val="1"/>
          <w:i w:val="1"/>
          <w:iCs w:val="1"/>
          <w:color w:val="auto"/>
        </w:rPr>
      </w:pPr>
    </w:p>
    <w:p>
      <w:pPr>
        <w:jc w:val="both"/>
        <w:ind w:firstLine="1305"/>
        <w:spacing w:after="0" w:line="322" w:lineRule="auto"/>
        <w:tabs>
          <w:tab w:leader="none" w:pos="2155"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Stock Units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76" w:lineRule="exact"/>
        <w:rPr>
          <w:rFonts w:ascii="Arial" w:cs="Arial" w:eastAsia="Arial" w:hAnsi="Arial"/>
          <w:sz w:val="17"/>
          <w:szCs w:val="17"/>
          <w:b w:val="1"/>
          <w:bCs w:val="1"/>
          <w:i w:val="1"/>
          <w:iCs w:val="1"/>
          <w:color w:val="auto"/>
        </w:rPr>
      </w:pPr>
    </w:p>
    <w:p>
      <w:pPr>
        <w:jc w:val="both"/>
        <w:ind w:firstLine="1305"/>
        <w:spacing w:after="0" w:line="370" w:lineRule="auto"/>
        <w:tabs>
          <w:tab w:leader="none" w:pos="2144" w:val="left"/>
        </w:tabs>
        <w:numPr>
          <w:ilvl w:val="0"/>
          <w:numId w:val="9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acquired under the Plan and that the Participant will be asked to agree on separate terms and data processing practices with the service provider, which is a condition of the Participant’s ability to participate in the Plan.</w:t>
      </w:r>
    </w:p>
    <w:p>
      <w:pPr>
        <w:spacing w:after="0" w:line="150" w:lineRule="exact"/>
        <w:rPr>
          <w:rFonts w:ascii="Arial" w:cs="Arial" w:eastAsia="Arial" w:hAnsi="Arial"/>
          <w:sz w:val="15"/>
          <w:szCs w:val="15"/>
          <w:b w:val="1"/>
          <w:bCs w:val="1"/>
          <w:i w:val="1"/>
          <w:iCs w:val="1"/>
          <w:color w:val="auto"/>
        </w:rPr>
      </w:pPr>
    </w:p>
    <w:p>
      <w:pPr>
        <w:jc w:val="both"/>
        <w:ind w:firstLine="1305"/>
        <w:spacing w:after="0" w:line="340" w:lineRule="auto"/>
        <w:tabs>
          <w:tab w:leader="none" w:pos="2155"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the Participant is located in the EU or EEA,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67" w:lineRule="exact"/>
        <w:rPr>
          <w:rFonts w:ascii="Arial" w:cs="Arial" w:eastAsia="Arial" w:hAnsi="Arial"/>
          <w:sz w:val="16"/>
          <w:szCs w:val="16"/>
          <w:b w:val="1"/>
          <w:bCs w:val="1"/>
          <w:i w:val="1"/>
          <w:iCs w:val="1"/>
          <w:color w:val="auto"/>
        </w:rPr>
      </w:pPr>
    </w:p>
    <w:p>
      <w:pPr>
        <w:jc w:val="both"/>
        <w:ind w:firstLine="1305"/>
        <w:spacing w:after="0" w:line="346" w:lineRule="auto"/>
        <w:tabs>
          <w:tab w:leader="none" w:pos="2144"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xml:space="preserve"> The Participant understands that the Corporation will use the Participant’s Personal Data only as long as is necessary to implement, administer and manage the Participant’s participation in the Plan, or to comply with legal or regulatory obligations, including under tax and securities laws. In the latter case, the Participant understands and acknowledges that the Corporation’s legal basis for the processing of the Participant’s Personal Data would be compliance with the relevant laws or regulations or the pursuit by the Corporation of respective legitimate interests not outweighed by the Participant’s interests, rights or freedoms. When the Corporation no longer needs the Participant’s Personal Data for any of the above purposes, the Participant understands the Corporation will remove it from its systems.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5" w:right="239" w:bottom="1440" w:gutter="0" w:footer="0" w:header="0"/>
        </w:sectPr>
      </w:pPr>
    </w:p>
    <w:bookmarkStart w:id="133" w:name="page134"/>
    <w:bookmarkEnd w:id="133"/>
    <w:p>
      <w:pPr>
        <w:jc w:val="both"/>
        <w:ind w:firstLine="1305"/>
        <w:spacing w:after="0" w:line="322" w:lineRule="auto"/>
        <w:tabs>
          <w:tab w:leader="none" w:pos="2125" w:val="left"/>
        </w:tabs>
        <w:numPr>
          <w:ilvl w:val="1"/>
          <w:numId w:val="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Voluntariness and Consequences of Denial/Withdrawal of Consent</w:t>
      </w:r>
      <w:r>
        <w:rPr>
          <w:rFonts w:ascii="Arial" w:cs="Arial" w:eastAsia="Arial" w:hAnsi="Arial"/>
          <w:sz w:val="17"/>
          <w:szCs w:val="17"/>
          <w:b w:val="1"/>
          <w:bCs w:val="1"/>
          <w:i w:val="1"/>
          <w:iCs w:val="1"/>
          <w:color w:val="auto"/>
        </w:rPr>
        <w:t>. The Participant understands that the Participant’s participation in the Plan and the Participant’s grant of consent is purely voluntary. The Participant may deny or later withdraw the Participant’s consent at any time, with future effect and for any or no reason. If the Participant denies or later withdraws the Participant’s consent, the Corporation can no longer offer the Participant participation in the Plan or offer other awards to the Participant or administer or maintain such awards and the Participant would no longer be able to participate in the Plan. The Participant further understands that denial or withdrawal of the Participant’s consent would not affect the Participant’s status or salary as an employee or the Participant’s career and that the Participant would merely forfeit the opportunities associated with the Plan.</w:t>
      </w:r>
    </w:p>
    <w:p>
      <w:pPr>
        <w:spacing w:after="0" w:line="176" w:lineRule="exact"/>
        <w:rPr>
          <w:rFonts w:ascii="Arial" w:cs="Arial" w:eastAsia="Arial" w:hAnsi="Arial"/>
          <w:sz w:val="17"/>
          <w:szCs w:val="17"/>
          <w:b w:val="1"/>
          <w:bCs w:val="1"/>
          <w:i w:val="1"/>
          <w:iCs w:val="1"/>
          <w:color w:val="auto"/>
        </w:rPr>
      </w:pPr>
    </w:p>
    <w:p>
      <w:pPr>
        <w:jc w:val="both"/>
        <w:ind w:firstLine="1305"/>
        <w:spacing w:after="0" w:line="357" w:lineRule="auto"/>
        <w:tabs>
          <w:tab w:leader="none" w:pos="2155" w:val="left"/>
        </w:tabs>
        <w:numPr>
          <w:ilvl w:val="1"/>
          <w:numId w:val="9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w:t>
      </w:r>
    </w:p>
    <w:p>
      <w:pPr>
        <w:jc w:val="both"/>
        <w:ind w:firstLine="8"/>
        <w:spacing w:after="0" w:line="323" w:lineRule="auto"/>
        <w:tabs>
          <w:tab w:leader="none" w:pos="247" w:val="left"/>
        </w:tabs>
        <w:numPr>
          <w:ilvl w:val="0"/>
          <w:numId w:val="9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7" w:lineRule="exact"/>
        <w:rPr>
          <w:rFonts w:ascii="Arial" w:cs="Arial" w:eastAsia="Arial" w:hAnsi="Arial"/>
          <w:sz w:val="17"/>
          <w:szCs w:val="17"/>
          <w:b w:val="1"/>
          <w:bCs w:val="1"/>
          <w:i w:val="1"/>
          <w:iCs w:val="1"/>
          <w:color w:val="auto"/>
        </w:rPr>
      </w:pPr>
    </w:p>
    <w:p>
      <w:pPr>
        <w:jc w:val="both"/>
        <w:ind w:firstLine="1305"/>
        <w:spacing w:after="0" w:line="322" w:lineRule="auto"/>
        <w:tabs>
          <w:tab w:leader="none" w:pos="2165" w:val="left"/>
        </w:tabs>
        <w:numPr>
          <w:ilvl w:val="1"/>
          <w:numId w:val="92"/>
        </w:numPr>
        <w:rPr>
          <w:rFonts w:ascii="Arial" w:cs="Arial" w:eastAsia="Arial" w:hAnsi="Arial"/>
          <w:sz w:val="17"/>
          <w:szCs w:val="17"/>
          <w:b w:val="1"/>
          <w:bCs w:val="1"/>
          <w:color w:val="auto"/>
        </w:rPr>
      </w:pPr>
      <w:r>
        <w:rPr>
          <w:rFonts w:ascii="Arial" w:cs="Arial" w:eastAsia="Arial" w:hAnsi="Arial"/>
          <w:sz w:val="17"/>
          <w:szCs w:val="17"/>
          <w:b w:val="1"/>
          <w:bCs w:val="1"/>
          <w:i w:val="1"/>
          <w:iCs w:val="1"/>
          <w:u w:val="single" w:color="auto"/>
          <w:color w:val="auto"/>
        </w:rPr>
        <w:t>Alternate Basis and Additional Consents.</w:t>
      </w:r>
      <w:r>
        <w:rPr>
          <w:rFonts w:ascii="Arial" w:cs="Arial" w:eastAsia="Arial" w:hAnsi="Arial"/>
          <w:sz w:val="17"/>
          <w:szCs w:val="17"/>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383"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 and Acceptance</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Stock Units. Further, the Participant agrees to participate in the Plan through an on-line or electronic system established and maintained by the Corporation or by a third party designated by the Corporation.</w:t>
      </w: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22"/>
          <w:szCs w:val="22"/>
          <w:b w:val="1"/>
          <w:bCs w:val="1"/>
          <w:color w:val="auto"/>
        </w:rPr>
      </w:pPr>
      <w:r>
        <w:rPr>
          <w:rFonts w:ascii="Arial" w:cs="Arial" w:eastAsia="Arial" w:hAnsi="Arial"/>
          <w:sz w:val="18"/>
          <w:szCs w:val="18"/>
          <w:b w:val="1"/>
          <w:bCs w:val="1"/>
          <w:color w:val="auto"/>
        </w:rPr>
        <w:t>Insider Trading/ Market Abuse Laws</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By participating in the Plan, 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8"/>
          <w:szCs w:val="18"/>
          <w:i w:val="1"/>
          <w:iCs w:val="1"/>
          <w:color w:val="auto"/>
        </w:rPr>
        <w:t>e.g.</w:t>
      </w:r>
      <w:r>
        <w:rPr>
          <w:rFonts w:ascii="Arial" w:cs="Arial" w:eastAsia="Arial" w:hAnsi="Arial"/>
          <w:sz w:val="18"/>
          <w:szCs w:val="18"/>
          <w:color w:val="auto"/>
        </w:rPr>
        <w:t>, the Stock Units) or rights linked to the value of Common Stock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during such times as the Participant is considered to have “inside information” regarding the Corporation (as defined by the laws or regulations in the Participant’s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52" w:right="239" w:bottom="1440" w:gutter="0" w:footer="0" w:header="0"/>
        </w:sectPr>
      </w:pPr>
    </w:p>
    <w:bookmarkStart w:id="134" w:name="page135"/>
    <w:bookmarkEnd w:id="134"/>
    <w:p>
      <w:pPr>
        <w:ind w:right="80"/>
        <w:spacing w:after="0" w:line="297" w:lineRule="auto"/>
        <w:rPr>
          <w:sz w:val="20"/>
          <w:szCs w:val="20"/>
          <w:color w:val="auto"/>
        </w:rPr>
      </w:pPr>
      <w:r>
        <w:rPr>
          <w:rFonts w:ascii="Arial" w:cs="Arial" w:eastAsia="Arial" w:hAnsi="Arial"/>
          <w:sz w:val="16"/>
          <w:szCs w:val="16"/>
          <w:color w:val="auto"/>
        </w:rPr>
        <w:t>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176"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22"/>
          <w:szCs w:val="22"/>
          <w:b w:val="1"/>
          <w:bCs w:val="1"/>
          <w:color w:val="auto"/>
        </w:rPr>
      </w:pPr>
      <w:r>
        <w:rPr>
          <w:rFonts w:ascii="Arial" w:cs="Arial" w:eastAsia="Arial" w:hAnsi="Arial"/>
          <w:sz w:val="18"/>
          <w:szCs w:val="18"/>
          <w:b w:val="1"/>
          <w:bCs w:val="1"/>
          <w:color w:val="auto"/>
        </w:rPr>
        <w:t>Exchange Control, Tax and/or Foreign Asset/Account Reporting</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Stock Units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7"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22"/>
          <w:szCs w:val="22"/>
          <w:b w:val="1"/>
          <w:bCs w:val="1"/>
          <w:color w:val="auto"/>
        </w:rPr>
      </w:pPr>
      <w:r>
        <w:rPr>
          <w:rFonts w:ascii="Arial" w:cs="Arial" w:eastAsia="Arial" w:hAnsi="Arial"/>
          <w:sz w:val="18"/>
          <w:szCs w:val="18"/>
          <w:b w:val="1"/>
          <w:bCs w:val="1"/>
          <w:color w:val="auto"/>
        </w:rPr>
        <w:t>Language</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 acknowledges that he or she is sufficiently proficient in English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80"/>
          </w:cols>
          <w:pgMar w:left="240" w:top="625" w:right="279" w:bottom="1440" w:gutter="0" w:footer="0" w:header="0"/>
        </w:sectPr>
      </w:pPr>
    </w:p>
    <w:bookmarkStart w:id="135" w:name="page136"/>
    <w:bookmarkEnd w:id="135"/>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ended September</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28, 2018</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Undistributed equity in income from</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w w:val="99"/>
              </w:rPr>
              <w:t>Interest relating to lease guarantee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Estimated interest portion of operating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lease expense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26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23.9x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1.9x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4.0x</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97"/>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2018</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2018</w:t>
      </w:r>
    </w:p>
    <w:p>
      <w:pPr>
        <w:sectPr>
          <w:pgSz w:w="11900" w:h="16838" w:orient="portrait"/>
          <w:cols w:equalWidth="0" w:num="1">
            <w:col w:w="11420"/>
          </w:cols>
          <w:pgMar w:left="240" w:top="580" w:right="239" w:bottom="1440" w:gutter="0" w:footer="0" w:header="0"/>
        </w:sectPr>
      </w:pPr>
    </w:p>
    <w:bookmarkStart w:id="138" w:name="page139"/>
    <w:bookmarkEnd w:id="13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40" w:firstLine="332"/>
        <w:spacing w:after="0" w:line="223" w:lineRule="exact"/>
        <w:tabs>
          <w:tab w:leader="none" w:pos="5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28, 2018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2018</w:t>
      </w:r>
    </w:p>
    <w:p>
      <w:pPr>
        <w:sectPr>
          <w:pgSz w:w="11900" w:h="16838" w:orient="portrait"/>
          <w:cols w:equalWidth="0" w:num="1">
            <w:col w:w="11420"/>
          </w:cols>
          <w:pgMar w:left="240" w:top="580" w:right="239" w:bottom="1440" w:gutter="0" w:footer="0" w:header="0"/>
        </w:sectPr>
      </w:pPr>
    </w:p>
    <w:bookmarkStart w:id="139" w:name="page140"/>
    <w:bookmarkEnd w:id="13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40" w:firstLine="332"/>
        <w:spacing w:after="0" w:line="223" w:lineRule="exact"/>
        <w:tabs>
          <w:tab w:leader="none" w:pos="5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28, 2018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lowerRoman"/>
      <w:start w:val="2"/>
    </w:lvl>
  </w:abstractNum>
  <w:abstractNum w:abstractNumId="25">
    <w:nsid w:val="579BE4F1"/>
    <w:multiLevelType w:val="hybridMultilevel"/>
    <w:lvl w:ilvl="0">
      <w:lvlJc w:val="left"/>
      <w:lvlText w:val="(%1)"/>
      <w:numFmt w:val="lowerRoman"/>
      <w:start w:val="4"/>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1)"/>
      <w:numFmt w:val="lowerRoman"/>
      <w:start w:val="2"/>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4"/>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2"/>
    </w:lvl>
  </w:abstractNum>
  <w:abstractNum w:abstractNumId="34">
    <w:nsid w:val="5DB70AE5"/>
    <w:multiLevelType w:val="hybridMultilevel"/>
    <w:lvl w:ilvl="0">
      <w:lvlJc w:val="left"/>
      <w:lvlText w:val="%1."/>
      <w:numFmt w:val="decimal"/>
      <w:start w:val="3"/>
    </w:lvl>
  </w:abstractNum>
  <w:abstractNum w:abstractNumId="35">
    <w:nsid w:val="100F8FCA"/>
    <w:multiLevelType w:val="hybridMultilevel"/>
    <w:lvl w:ilvl="0">
      <w:lvlJc w:val="left"/>
      <w:lvlText w:val="%1"/>
      <w:numFmt w:val="decimal"/>
      <w:start w:val="1"/>
    </w:lvl>
    <w:lvl w:ilvl="1">
      <w:lvlJc w:val="left"/>
      <w:lvlText w:val="(%2)"/>
      <w:numFmt w:val="lowerLetter"/>
      <w:start w:val="1"/>
    </w:lvl>
  </w:abstractNum>
  <w:abstractNum w:abstractNumId="36">
    <w:nsid w:val="6590700B"/>
    <w:multiLevelType w:val="hybridMultilevel"/>
    <w:lvl w:ilvl="0">
      <w:lvlJc w:val="left"/>
      <w:lvlText w:val="%1."/>
      <w:numFmt w:val="decimal"/>
      <w:start w:val="4"/>
    </w:lvl>
    <w:lvl w:ilvl="1">
      <w:lvlJc w:val="left"/>
      <w:lvlText w:val="%2"/>
      <w:numFmt w:val="lowerLetter"/>
      <w:start w:val="1"/>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1"/>
    </w:lvl>
    <w:lvl w:ilvl="1">
      <w:lvlJc w:val="left"/>
      <w:lvlText w:val="(%2)"/>
      <w:numFmt w:val="lowerLetter"/>
      <w:start w:val="6"/>
    </w:lvl>
  </w:abstractNum>
  <w:abstractNum w:abstractNumId="39">
    <w:nsid w:val="98A3148"/>
    <w:multiLevelType w:val="hybridMultilevel"/>
    <w:lvl w:ilvl="0">
      <w:lvlJc w:val="left"/>
      <w:lvlText w:val="(%1)"/>
      <w:numFmt w:val="lowerLetter"/>
      <w:start w:val="22"/>
    </w:lvl>
    <w:lvl w:ilvl="1">
      <w:lvlJc w:val="left"/>
      <w:lvlText w:val="(%2)"/>
      <w:numFmt w:val="lowerLetter"/>
      <w:start w:val="8"/>
    </w:lvl>
  </w:abstractNum>
  <w:abstractNum w:abstractNumId="40">
    <w:nsid w:val="799D0247"/>
    <w:multiLevelType w:val="hybridMultilevel"/>
    <w:lvl w:ilvl="0">
      <w:lvlJc w:val="left"/>
      <w:lvlText w:val="%1."/>
      <w:numFmt w:val="decimal"/>
      <w:start w:val="5"/>
    </w:lvl>
  </w:abstractNum>
  <w:abstractNum w:abstractNumId="41">
    <w:nsid w:val="6B94764"/>
    <w:multiLevelType w:val="hybridMultilevel"/>
    <w:lvl w:ilvl="0">
      <w:lvlJc w:val="left"/>
      <w:lvlText w:val="%1."/>
      <w:numFmt w:val="decimal"/>
      <w:start w:val="6"/>
    </w:lvl>
  </w:abstractNum>
  <w:abstractNum w:abstractNumId="42">
    <w:nsid w:val="42C296BD"/>
    <w:multiLevelType w:val="hybridMultilevel"/>
    <w:lvl w:ilvl="0">
      <w:lvlJc w:val="left"/>
      <w:lvlText w:val="%1."/>
      <w:numFmt w:val="decimal"/>
      <w:start w:val="7"/>
    </w:lvl>
  </w:abstractNum>
  <w:abstractNum w:abstractNumId="43">
    <w:nsid w:val="168E121F"/>
    <w:multiLevelType w:val="hybridMultilevel"/>
    <w:lvl w:ilvl="0">
      <w:lvlJc w:val="left"/>
      <w:lvlText w:val="%1."/>
      <w:numFmt w:val="decimal"/>
      <w:start w:val="8"/>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lowerRoman"/>
      <w:start w:val="2"/>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4"/>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2"/>
    </w:lvl>
  </w:abstractNum>
  <w:abstractNum w:abstractNumId="50">
    <w:nsid w:val="613EFDC5"/>
    <w:multiLevelType w:val="hybridMultilevel"/>
    <w:lvl w:ilvl="0">
      <w:lvlJc w:val="left"/>
      <w:lvlText w:val="%1."/>
      <w:numFmt w:val="decimal"/>
      <w:start w:val="3"/>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4"/>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1"/>
    </w:lvl>
    <w:lvl w:ilvl="1">
      <w:lvlJc w:val="left"/>
      <w:lvlText w:val="(%2)"/>
      <w:numFmt w:val="lowerLetter"/>
      <w:start w:val="6"/>
    </w:lvl>
  </w:abstractNum>
  <w:abstractNum w:abstractNumId="55">
    <w:nsid w:val="8F2B15E"/>
    <w:multiLevelType w:val="hybridMultilevel"/>
    <w:lvl w:ilvl="0">
      <w:lvlJc w:val="left"/>
      <w:lvlText w:val="(%1)"/>
      <w:numFmt w:val="lowerLetter"/>
      <w:start w:val="22"/>
    </w:lvl>
    <w:lvl w:ilvl="1">
      <w:lvlJc w:val="left"/>
      <w:lvlText w:val="(%2)"/>
      <w:numFmt w:val="lowerLetter"/>
      <w:start w:val="8"/>
    </w:lvl>
  </w:abstractNum>
  <w:abstractNum w:abstractNumId="56">
    <w:nsid w:val="1A32234B"/>
    <w:multiLevelType w:val="hybridMultilevel"/>
    <w:lvl w:ilvl="0">
      <w:lvlJc w:val="left"/>
      <w:lvlText w:val="%1."/>
      <w:numFmt w:val="decimal"/>
      <w:start w:val="5"/>
    </w:lvl>
  </w:abstractNum>
  <w:abstractNum w:abstractNumId="57">
    <w:nsid w:val="3B0FD379"/>
    <w:multiLevelType w:val="hybridMultilevel"/>
    <w:lvl w:ilvl="0">
      <w:lvlJc w:val="left"/>
      <w:lvlText w:val="%1."/>
      <w:numFmt w:val="decimal"/>
      <w:start w:val="6"/>
    </w:lvl>
  </w:abstractNum>
  <w:abstractNum w:abstractNumId="58">
    <w:nsid w:val="68EB2F63"/>
    <w:multiLevelType w:val="hybridMultilevel"/>
    <w:lvl w:ilvl="0">
      <w:lvlJc w:val="left"/>
      <w:lvlText w:val="%1."/>
      <w:numFmt w:val="decimal"/>
      <w:start w:val="7"/>
    </w:lvl>
  </w:abstractNum>
  <w:abstractNum w:abstractNumId="59">
    <w:nsid w:val="4962813B"/>
    <w:multiLevelType w:val="hybridMultilevel"/>
    <w:lvl w:ilvl="0">
      <w:lvlJc w:val="left"/>
      <w:lvlText w:val="%1."/>
      <w:numFmt w:val="decimal"/>
      <w:start w:val="8"/>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lowerRoman"/>
      <w:start w:val="2"/>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4"/>
    </w:lvl>
  </w:abstractNum>
  <w:abstractNum w:abstractNumId="64">
    <w:nsid w:val="1A27709E"/>
    <w:multiLevelType w:val="hybridMultilevel"/>
    <w:lvl w:ilvl="0">
      <w:lvlJc w:val="left"/>
      <w:lvlText w:val="(%1)"/>
      <w:numFmt w:val="lowerRoman"/>
      <w:start w:val="1"/>
    </w:lvl>
  </w:abstractNum>
  <w:abstractNum w:abstractNumId="65">
    <w:nsid w:val="71EA1109"/>
    <w:multiLevelType w:val="hybridMultilevel"/>
    <w:lvl w:ilvl="0">
      <w:lvlJc w:val="left"/>
      <w:lvlText w:val="(%1)"/>
      <w:numFmt w:val="lowerRoman"/>
      <w:start w:val="2"/>
    </w:lvl>
  </w:abstractNum>
  <w:abstractNum w:abstractNumId="66">
    <w:nsid w:val="100F59DC"/>
    <w:multiLevelType w:val="hybridMultilevel"/>
    <w:lvl w:ilvl="0">
      <w:lvlJc w:val="left"/>
      <w:lvlText w:val="(%1)"/>
      <w:numFmt w:val="lowerLetter"/>
      <w:start w:val="5"/>
    </w:lvl>
  </w:abstractNum>
  <w:abstractNum w:abstractNumId="67">
    <w:nsid w:val="7FB7E0AA"/>
    <w:multiLevelType w:val="hybridMultilevel"/>
    <w:lvl w:ilvl="0">
      <w:lvlJc w:val="left"/>
      <w:lvlText w:val="%1."/>
      <w:numFmt w:val="decimal"/>
      <w:start w:val="24"/>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2"/>
    </w:lvl>
  </w:abstractNum>
  <w:abstractNum w:abstractNumId="70">
    <w:nsid w:val="94211F2"/>
    <w:multiLevelType w:val="hybridMultilevel"/>
    <w:lvl w:ilvl="0">
      <w:lvlJc w:val="left"/>
      <w:lvlText w:val="%1."/>
      <w:numFmt w:val="decimal"/>
      <w:start w:val="3"/>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decimal"/>
      <w:start w:val="4"/>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
    </w:lvl>
    <w:lvl w:ilvl="1">
      <w:lvlJc w:val="left"/>
      <w:lvlText w:val="(%2)"/>
      <w:numFmt w:val="lowerLetter"/>
      <w:start w:val="6"/>
    </w:lvl>
  </w:abstractNum>
  <w:abstractNum w:abstractNumId="75">
    <w:nsid w:val="14E17E33"/>
    <w:multiLevelType w:val="hybridMultilevel"/>
    <w:lvl w:ilvl="0">
      <w:lvlJc w:val="left"/>
      <w:lvlText w:val="(%1)"/>
      <w:numFmt w:val="lowerLetter"/>
      <w:start w:val="22"/>
    </w:lvl>
    <w:lvl w:ilvl="1">
      <w:lvlJc w:val="left"/>
      <w:lvlText w:val="(%2)"/>
      <w:numFmt w:val="lowerLetter"/>
      <w:start w:val="8"/>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1."/>
      <w:numFmt w:val="decimal"/>
      <w:start w:val="7"/>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lowerRoman"/>
      <w:start w:val="2"/>
    </w:lvl>
  </w:abstractNum>
  <w:abstractNum w:abstractNumId="82">
    <w:nsid w:val="39EE015C"/>
    <w:multiLevelType w:val="hybridMultilevel"/>
    <w:lvl w:ilvl="0">
      <w:lvlJc w:val="left"/>
      <w:lvlText w:val="%1)"/>
      <w:numFmt w:val="decimal"/>
      <w:start w:val="5"/>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decimal"/>
      <w:start w:val="2"/>
    </w:lvl>
  </w:abstractNum>
  <w:abstractNum w:abstractNumId="86">
    <w:nsid w:val="60EF0119"/>
    <w:multiLevelType w:val="hybridMultilevel"/>
    <w:lvl w:ilvl="0">
      <w:lvlJc w:val="left"/>
      <w:lvlText w:val="%1."/>
      <w:numFmt w:val="decimal"/>
      <w:start w:val="3"/>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decimal"/>
      <w:start w:val="4"/>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Letter"/>
      <w:start w:val="1"/>
    </w:lvl>
    <w:lvl w:ilvl="1">
      <w:lvlJc w:val="left"/>
      <w:lvlText w:val="(%2)"/>
      <w:numFmt w:val="lowerLetter"/>
      <w:start w:val="6"/>
    </w:lvl>
  </w:abstractNum>
  <w:abstractNum w:abstractNumId="91">
    <w:nsid w:val="5FB8370B"/>
    <w:multiLevelType w:val="hybridMultilevel"/>
    <w:lvl w:ilvl="0">
      <w:lvlJc w:val="left"/>
      <w:lvlText w:val="(%1)"/>
      <w:numFmt w:val="lowerLetter"/>
      <w:start w:val="22"/>
    </w:lvl>
    <w:lvl w:ilvl="1">
      <w:lvlJc w:val="left"/>
      <w:lvlText w:val="(%2)"/>
      <w:numFmt w:val="lowerLetter"/>
      <w:start w:val="8"/>
    </w:lvl>
  </w:abstractNum>
  <w:abstractNum w:abstractNumId="92">
    <w:nsid w:val="50801EE1"/>
    <w:multiLevelType w:val="hybridMultilevel"/>
    <w:lvl w:ilvl="0">
      <w:lvlJc w:val="left"/>
      <w:lvlText w:val="%1."/>
      <w:numFmt w:val="decimal"/>
      <w:start w:val="5"/>
    </w:lvl>
  </w:abstractNum>
  <w:abstractNum w:abstractNumId="93">
    <w:nsid w:val="488AC1A"/>
    <w:multiLevelType w:val="hybridMultilevel"/>
    <w:lvl w:ilvl="0">
      <w:lvlJc w:val="left"/>
      <w:lvlText w:val="%1."/>
      <w:numFmt w:val="decimal"/>
      <w:start w:val="6"/>
    </w:lvl>
  </w:abstractNum>
  <w:abstractNum w:abstractNumId="94">
    <w:nsid w:val="5FB8011C"/>
    <w:multiLevelType w:val="hybridMultilevel"/>
    <w:lvl w:ilvl="0">
      <w:lvlJc w:val="left"/>
      <w:lvlText w:val="%1."/>
      <w:numFmt w:val="decimal"/>
      <w:start w:val="7"/>
    </w:lvl>
  </w:abstractNum>
  <w:abstractNum w:abstractNumId="95">
    <w:nsid w:val="6AA78F7F"/>
    <w:multiLevelType w:val="hybridMultilevel"/>
    <w:lvl w:ilvl="0">
      <w:lvlJc w:val="left"/>
      <w:lvlText w:val="%1."/>
      <w:numFmt w:val="decimal"/>
      <w:start w:val="8"/>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lowerRoman"/>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9.jpe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0" Type="http://schemas.openxmlformats.org/officeDocument/2006/relationships/hyperlink" Target="http://www.sec.gov/Archives/edgar/data/106040/000119312515352265/d36533dex21.htm" TargetMode="External"/><Relationship Id="rId42" Type="http://schemas.openxmlformats.org/officeDocument/2006/relationships/hyperlink" Target="http://www.sec.gov/Archives/edgar/data/106040/000095013706001502/a17011exv3w1.htm" TargetMode="External"/><Relationship Id="rId43" Type="http://schemas.openxmlformats.org/officeDocument/2006/relationships/hyperlink" Target="http://www.sec.gov/Archives/edgar/data/106040/000119312518153458/d57777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2019-12-28T18:27:59Z</dcterms:created>
  <dcterms:modified xsi:type="dcterms:W3CDTF">2019-12-28T18:27:59Z</dcterms:modified>
</cp:coreProperties>
</file>