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-195580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112395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16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29, 2019</w:t>
      </w:r>
    </w:p>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1" w:lineRule="exact"/>
        <w:rPr>
          <w:sz w:val="24"/>
          <w:szCs w:val="24"/>
          <w:color w:val="auto"/>
        </w:rPr>
      </w:pPr>
    </w:p>
    <w:p>
      <w:pPr>
        <w:ind w:left="380" w:hanging="345"/>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5"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-3175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176530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321945</wp:posOffset>
            </wp:positionV>
            <wp:extent cx="296735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pacing w:after="0" w:line="52" w:lineRule="exact"/>
        <w:rPr>
          <w:sz w:val="24"/>
          <w:szCs w:val="24"/>
          <w:color w:val="auto"/>
        </w:rPr>
      </w:pPr>
    </w:p>
    <w:tbl>
      <w:tblPr>
        <w:tblLayout w:type="fixed"/>
        <w:tblInd w:w="1880" w:type="dxa"/>
        <w:tblCellMar>
          <w:top w:w="0" w:type="dxa"/>
          <w:left w:w="0" w:type="dxa"/>
          <w:bottom w:w="0" w:type="dxa"/>
          <w:right w:w="0" w:type="dxa"/>
        </w:tblCellMar>
      </w:tblPr>
      <w:tr>
        <w:trPr>
          <w:trHeight w:val="166"/>
        </w:trPr>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94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33-0956711</w:t>
            </w:r>
          </w:p>
        </w:tc>
        <w:tc>
          <w:tcPr>
            <w:tcW w:w="0" w:type="dxa"/>
            <w:vAlign w:val="bottom"/>
          </w:tcPr>
          <w:p>
            <w:pPr>
              <w:spacing w:after="0"/>
              <w:rPr>
                <w:sz w:val="1"/>
                <w:szCs w:val="1"/>
                <w:color w:val="auto"/>
              </w:rPr>
            </w:pPr>
          </w:p>
        </w:tc>
      </w:tr>
      <w:tr>
        <w:trPr>
          <w:trHeight w:val="175"/>
        </w:trPr>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i w:val="1"/>
                <w:iCs w:val="1"/>
                <w:color w:val="auto"/>
                <w:w w:val="97"/>
              </w:rPr>
              <w:t>(State or other jurisdiction of</w:t>
            </w:r>
          </w:p>
        </w:tc>
        <w:tc>
          <w:tcPr>
            <w:tcW w:w="3840" w:type="dxa"/>
            <w:vAlign w:val="bottom"/>
          </w:tcPr>
          <w:p>
            <w:pPr>
              <w:spacing w:after="0"/>
              <w:rPr>
                <w:sz w:val="15"/>
                <w:szCs w:val="15"/>
                <w:color w:val="auto"/>
              </w:rPr>
            </w:pPr>
          </w:p>
        </w:tc>
        <w:tc>
          <w:tcPr>
            <w:tcW w:w="1100" w:type="dxa"/>
            <w:vAlign w:val="bottom"/>
          </w:tcPr>
          <w:p>
            <w:pPr>
              <w:jc w:val="center"/>
              <w:ind w:left="117"/>
              <w:spacing w:after="0"/>
              <w:rPr>
                <w:sz w:val="20"/>
                <w:szCs w:val="20"/>
                <w:color w:val="auto"/>
              </w:rPr>
            </w:pPr>
            <w:r>
              <w:rPr>
                <w:rFonts w:ascii="Times New Roman" w:cs="Times New Roman" w:eastAsia="Times New Roman" w:hAnsi="Times New Roman"/>
                <w:sz w:val="13"/>
                <w:szCs w:val="13"/>
                <w:i w:val="1"/>
                <w:iCs w:val="1"/>
                <w:color w:val="auto"/>
                <w:w w:val="96"/>
              </w:rPr>
              <w:t>(I.R.S. Employer</w:t>
            </w:r>
          </w:p>
        </w:tc>
        <w:tc>
          <w:tcPr>
            <w:tcW w:w="0" w:type="dxa"/>
            <w:vAlign w:val="bottom"/>
          </w:tcPr>
          <w:p>
            <w:pPr>
              <w:spacing w:after="0"/>
              <w:rPr>
                <w:sz w:val="1"/>
                <w:szCs w:val="1"/>
                <w:color w:val="auto"/>
              </w:rPr>
            </w:pPr>
          </w:p>
        </w:tc>
      </w:tr>
      <w:tr>
        <w:trPr>
          <w:trHeight w:val="166"/>
        </w:trPr>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i w:val="1"/>
                <w:iCs w:val="1"/>
                <w:color w:val="auto"/>
                <w:w w:val="96"/>
              </w:rPr>
              <w:t>incorporation or organization)</w:t>
            </w:r>
          </w:p>
        </w:tc>
        <w:tc>
          <w:tcPr>
            <w:tcW w:w="3840" w:type="dxa"/>
            <w:vAlign w:val="bottom"/>
          </w:tcPr>
          <w:p>
            <w:pPr>
              <w:spacing w:after="0"/>
              <w:rPr>
                <w:sz w:val="14"/>
                <w:szCs w:val="14"/>
                <w:color w:val="auto"/>
              </w:rPr>
            </w:pPr>
          </w:p>
        </w:tc>
        <w:tc>
          <w:tcPr>
            <w:tcW w:w="1100" w:type="dxa"/>
            <w:vAlign w:val="bottom"/>
          </w:tcPr>
          <w:p>
            <w:pPr>
              <w:jc w:val="center"/>
              <w:ind w:left="97"/>
              <w:spacing w:after="0"/>
              <w:rPr>
                <w:sz w:val="20"/>
                <w:szCs w:val="20"/>
                <w:color w:val="auto"/>
              </w:rPr>
            </w:pPr>
            <w:r>
              <w:rPr>
                <w:rFonts w:ascii="Times New Roman" w:cs="Times New Roman" w:eastAsia="Times New Roman" w:hAnsi="Times New Roman"/>
                <w:sz w:val="13"/>
                <w:szCs w:val="13"/>
                <w:i w:val="1"/>
                <w:iCs w:val="1"/>
                <w:color w:val="auto"/>
                <w:w w:val="97"/>
              </w:rPr>
              <w:t>Identification No.)</w:t>
            </w:r>
          </w:p>
        </w:tc>
        <w:tc>
          <w:tcPr>
            <w:tcW w:w="0" w:type="dxa"/>
            <w:vAlign w:val="bottom"/>
          </w:tcPr>
          <w:p>
            <w:pPr>
              <w:spacing w:after="0"/>
              <w:rPr>
                <w:sz w:val="1"/>
                <w:szCs w:val="1"/>
                <w:color w:val="auto"/>
              </w:rPr>
            </w:pPr>
          </w:p>
        </w:tc>
      </w:tr>
      <w:tr>
        <w:trPr>
          <w:trHeight w:val="288"/>
        </w:trPr>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5601 Great Oaks Parkway</w:t>
            </w:r>
          </w:p>
        </w:tc>
        <w:tc>
          <w:tcPr>
            <w:tcW w:w="4940" w:type="dxa"/>
            <w:vAlign w:val="bottom"/>
            <w:gridSpan w:val="2"/>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95119</w:t>
            </w:r>
          </w:p>
        </w:tc>
        <w:tc>
          <w:tcPr>
            <w:tcW w:w="0" w:type="dxa"/>
            <w:vAlign w:val="bottom"/>
          </w:tcPr>
          <w:p>
            <w:pPr>
              <w:spacing w:after="0"/>
              <w:rPr>
                <w:sz w:val="1"/>
                <w:szCs w:val="1"/>
                <w:color w:val="auto"/>
              </w:rPr>
            </w:pPr>
          </w:p>
        </w:tc>
      </w:tr>
      <w:tr>
        <w:trPr>
          <w:trHeight w:val="190"/>
        </w:trPr>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San Jose, California</w:t>
            </w:r>
          </w:p>
        </w:tc>
        <w:tc>
          <w:tcPr>
            <w:tcW w:w="4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i w:val="1"/>
                <w:iCs w:val="1"/>
                <w:color w:val="auto"/>
                <w:w w:val="96"/>
              </w:rPr>
              <w:t>(Address of principal executive offices)</w:t>
            </w:r>
          </w:p>
        </w:tc>
        <w:tc>
          <w:tcPr>
            <w:tcW w:w="3840" w:type="dxa"/>
            <w:vAlign w:val="bottom"/>
          </w:tcPr>
          <w:p>
            <w:pPr>
              <w:spacing w:after="0"/>
              <w:rPr>
                <w:sz w:val="15"/>
                <w:szCs w:val="15"/>
                <w:color w:val="auto"/>
              </w:rPr>
            </w:pPr>
          </w:p>
        </w:tc>
        <w:tc>
          <w:tcPr>
            <w:tcW w:w="1100" w:type="dxa"/>
            <w:vAlign w:val="bottom"/>
          </w:tcPr>
          <w:p>
            <w:pPr>
              <w:jc w:val="center"/>
              <w:ind w:left="97"/>
              <w:spacing w:after="0"/>
              <w:rPr>
                <w:sz w:val="20"/>
                <w:szCs w:val="20"/>
                <w:color w:val="auto"/>
              </w:rPr>
            </w:pPr>
            <w:r>
              <w:rPr>
                <w:rFonts w:ascii="Times New Roman" w:cs="Times New Roman" w:eastAsia="Times New Roman" w:hAnsi="Times New Roman"/>
                <w:sz w:val="13"/>
                <w:szCs w:val="13"/>
                <w:i w:val="1"/>
                <w:iCs w:val="1"/>
                <w:color w:val="auto"/>
                <w:w w:val="95"/>
              </w:rPr>
              <w:t>(Zip Code)</w:t>
            </w:r>
          </w:p>
        </w:tc>
        <w:tc>
          <w:tcPr>
            <w:tcW w:w="0" w:type="dxa"/>
            <w:vAlign w:val="bottom"/>
          </w:tcPr>
          <w:p>
            <w:pPr>
              <w:spacing w:after="0"/>
              <w:rPr>
                <w:sz w:val="1"/>
                <w:szCs w:val="1"/>
                <w:color w:val="auto"/>
              </w:rPr>
            </w:pPr>
          </w:p>
        </w:tc>
      </w:tr>
    </w:tbl>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61" w:lineRule="exact"/>
        <w:rPr>
          <w:sz w:val="24"/>
          <w:szCs w:val="24"/>
          <w:color w:val="auto"/>
        </w:rPr>
      </w:pPr>
    </w:p>
    <w:tbl>
      <w:tblPr>
        <w:tblLayout w:type="fixed"/>
        <w:tblInd w:w="98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38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0"/>
        </w:trPr>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Common Stock, $.01 Par Value Per Share</w:t>
            </w:r>
          </w:p>
        </w:tc>
        <w:tc>
          <w:tcPr>
            <w:tcW w:w="1700" w:type="dxa"/>
            <w:vAlign w:val="bottom"/>
          </w:tcPr>
          <w:p>
            <w:pPr>
              <w:spacing w:after="0"/>
              <w:rPr>
                <w:sz w:val="20"/>
                <w:szCs w:val="20"/>
                <w:color w:val="auto"/>
              </w:rPr>
            </w:pPr>
          </w:p>
        </w:tc>
        <w:tc>
          <w:tcPr>
            <w:tcW w:w="266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color w:val="auto"/>
                <w:w w:val="97"/>
              </w:rPr>
              <w:t>WDC</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436"/>
        </w:trPr>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80" w:type="dxa"/>
            <w:vAlign w:val="bottom"/>
            <w:gridSpan w:val="4"/>
          </w:tcPr>
          <w:p>
            <w:pPr>
              <w:jc w:val="center"/>
              <w:ind w:right="264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158115</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2" w:lineRule="exact"/>
        <w:rPr>
          <w:sz w:val="24"/>
          <w:szCs w:val="24"/>
          <w:color w:val="auto"/>
        </w:rPr>
      </w:pPr>
    </w:p>
    <w:p>
      <w:pPr>
        <w:ind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42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68" w:right="259" w:bottom="1440" w:gutter="0" w:footer="0" w:header="0"/>
        </w:sectPr>
      </w:pPr>
    </w:p>
    <w:bookmarkStart w:id="1" w:name="page2"/>
    <w:bookmarkEnd w:id="1"/>
    <w:p>
      <w:pPr>
        <w:jc w:val="center"/>
        <w:ind w:left="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12" w:lineRule="exact"/>
        <w:rPr>
          <w:sz w:val="20"/>
          <w:szCs w:val="20"/>
          <w:color w:val="auto"/>
        </w:rPr>
      </w:pPr>
    </w:p>
    <w:p>
      <w:pPr>
        <w:jc w:val="cente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12" w:lineRule="exact"/>
        <w:rPr>
          <w:sz w:val="20"/>
          <w:szCs w:val="20"/>
          <w:color w:val="auto"/>
        </w:rPr>
      </w:pPr>
    </w:p>
    <w:p>
      <w:pPr>
        <w:jc w:val="center"/>
        <w:ind w:right="4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12" w:lineRule="exact"/>
        <w:rPr>
          <w:sz w:val="20"/>
          <w:szCs w:val="20"/>
          <w:color w:val="auto"/>
        </w:rPr>
      </w:pPr>
    </w:p>
    <w:p>
      <w:pPr>
        <w:jc w:val="center"/>
        <w:ind w:right="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2" w:lineRule="exact"/>
        <w:rPr>
          <w:sz w:val="20"/>
          <w:szCs w:val="20"/>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2" w:lineRule="exact"/>
        <w:rPr>
          <w:sz w:val="20"/>
          <w:szCs w:val="20"/>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5">
            <w:col w:w="2240" w:space="720"/>
            <w:col w:w="1420" w:space="720"/>
            <w:col w:w="1380" w:space="720"/>
            <w:col w:w="1580" w:space="720"/>
            <w:col w:w="1560"/>
          </w:cols>
          <w:pgMar w:left="240" w:top="522" w:right="599" w:bottom="1440" w:gutter="0" w:footer="0" w:header="0"/>
        </w:sectPr>
      </w:pPr>
    </w:p>
    <w:p>
      <w:pPr>
        <w:spacing w:after="0" w:line="352" w:lineRule="exact"/>
        <w:rPr>
          <w:sz w:val="20"/>
          <w:szCs w:val="20"/>
          <w:color w:val="auto"/>
        </w:rPr>
      </w:pPr>
    </w:p>
    <w:p>
      <w:pPr>
        <w:ind w:right="6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the close of business on April 30, 2019, 292,997,704 shares of common stock, par value $0.01 per share, were outstanding.</w:t>
      </w:r>
    </w:p>
    <w:p>
      <w:pPr>
        <w:sectPr>
          <w:pgSz w:w="11900" w:h="16838" w:orient="portrait"/>
          <w:cols w:equalWidth="0" w:num="1">
            <w:col w:w="11060"/>
          </w:cols>
          <w:pgMar w:left="240" w:top="522" w:right="5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94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940" w:type="dxa"/>
            <w:vAlign w:val="bottom"/>
          </w:tcPr>
          <w:p>
            <w:pPr>
              <w:ind w:left="540"/>
              <w:spacing w:after="0" w:line="202" w:lineRule="exact"/>
              <w:rPr>
                <w:sz w:val="20"/>
                <w:szCs w:val="20"/>
                <w:color w:val="auto"/>
              </w:rPr>
            </w:pPr>
            <w:r>
              <w:rPr>
                <w:rFonts w:ascii="Times New Roman" w:cs="Times New Roman" w:eastAsia="Times New Roman" w:hAnsi="Times New Roman"/>
                <w:sz w:val="18"/>
                <w:szCs w:val="18"/>
                <w:color w:val="auto"/>
              </w:rPr>
              <w:t>Condensed Consolidated Balance Sheets — As of March 29, 2019 and June 29, 2018</w:t>
            </w:r>
          </w:p>
        </w:tc>
        <w:tc>
          <w:tcPr>
            <w:tcW w:w="880" w:type="dxa"/>
            <w:vAlign w:val="bottom"/>
            <w:gridSpan w:val="4"/>
          </w:tcPr>
          <w:p>
            <w:pPr>
              <w:jc w:val="center"/>
              <w:ind w:left="630"/>
              <w:spacing w:after="0" w:line="202" w:lineRule="exact"/>
              <w:rPr>
                <w:rFonts w:ascii="Times New Roman" w:cs="Times New Roman" w:eastAsia="Times New Roman" w:hAnsi="Times New Roman"/>
                <w:sz w:val="18"/>
                <w:szCs w:val="18"/>
                <w:color w:val="3635D6"/>
                <w:w w:val="88"/>
              </w:rPr>
            </w:pPr>
            <w:hyperlink w:anchor="page5">
              <w:r>
                <w:rPr>
                  <w:rFonts w:ascii="Times New Roman" w:cs="Times New Roman" w:eastAsia="Times New Roman" w:hAnsi="Times New Roman"/>
                  <w:sz w:val="18"/>
                  <w:szCs w:val="18"/>
                  <w:color w:val="3635D6"/>
                  <w:w w:val="88"/>
                </w:rPr>
                <w:t>5</w:t>
              </w:r>
            </w:hyperlink>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Operations — Three and Nine Months Ended March 29, 2019 and March</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 w:type="dxa"/>
            <w:vAlign w:val="bottom"/>
            <w:shd w:val="clear" w:color="auto" w:fill="CCEEFF"/>
          </w:tcPr>
          <w:p>
            <w:pPr>
              <w:spacing w:after="0"/>
              <w:rPr>
                <w:sz w:val="20"/>
                <w:szCs w:val="20"/>
                <w:color w:val="auto"/>
              </w:rPr>
            </w:pPr>
          </w:p>
        </w:tc>
        <w:tc>
          <w:tcPr>
            <w:tcW w:w="8940" w:type="dxa"/>
            <w:vAlign w:val="bottom"/>
            <w:shd w:val="clear" w:color="auto" w:fill="CCEEFF"/>
          </w:tcPr>
          <w:p>
            <w:pPr>
              <w:ind w:left="540"/>
              <w:spacing w:after="0" w:line="194" w:lineRule="exact"/>
              <w:rPr>
                <w:sz w:val="20"/>
                <w:szCs w:val="20"/>
                <w:color w:val="auto"/>
              </w:rPr>
            </w:pPr>
            <w:r>
              <w:rPr>
                <w:rFonts w:ascii="Times New Roman" w:cs="Times New Roman" w:eastAsia="Times New Roman" w:hAnsi="Times New Roman"/>
                <w:sz w:val="18"/>
                <w:szCs w:val="18"/>
                <w:color w:val="auto"/>
              </w:rPr>
              <w:t>30, 2018</w:t>
            </w:r>
          </w:p>
        </w:tc>
        <w:tc>
          <w:tcPr>
            <w:tcW w:w="880" w:type="dxa"/>
            <w:vAlign w:val="bottom"/>
            <w:gridSpan w:val="4"/>
            <w:shd w:val="clear" w:color="auto" w:fill="CCEEFF"/>
          </w:tcPr>
          <w:p>
            <w:pPr>
              <w:jc w:val="center"/>
              <w:ind w:left="630"/>
              <w:spacing w:after="0" w:line="194" w:lineRule="exact"/>
              <w:rPr>
                <w:rFonts w:ascii="Times New Roman" w:cs="Times New Roman" w:eastAsia="Times New Roman" w:hAnsi="Times New Roman"/>
                <w:sz w:val="18"/>
                <w:szCs w:val="18"/>
                <w:color w:val="3635D6"/>
                <w:w w:val="88"/>
              </w:rPr>
            </w:pPr>
            <w:hyperlink w:anchor="page6">
              <w:r>
                <w:rPr>
                  <w:rFonts w:ascii="Times New Roman" w:cs="Times New Roman" w:eastAsia="Times New Roman" w:hAnsi="Times New Roman"/>
                  <w:sz w:val="18"/>
                  <w:szCs w:val="18"/>
                  <w:color w:val="3635D6"/>
                  <w:w w:val="88"/>
                </w:rPr>
                <w:t>6</w:t>
              </w:r>
            </w:hyperlink>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80" w:type="dxa"/>
            <w:vAlign w:val="bottom"/>
            <w:tcBorders>
              <w:top w:val="single" w:sz="8" w:color="CCEEFF"/>
            </w:tcBorders>
          </w:tcPr>
          <w:p>
            <w:pPr>
              <w:spacing w:after="0"/>
              <w:rPr>
                <w:sz w:val="19"/>
                <w:szCs w:val="19"/>
                <w:color w:val="auto"/>
              </w:rPr>
            </w:pPr>
          </w:p>
        </w:tc>
        <w:tc>
          <w:tcPr>
            <w:tcW w:w="894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 — Three and Nine Months Ended March 29,</w:t>
            </w:r>
          </w:p>
        </w:tc>
        <w:tc>
          <w:tcPr>
            <w:tcW w:w="7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3635D6"/>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8940" w:type="dxa"/>
            <w:vAlign w:val="bottom"/>
          </w:tcPr>
          <w:p>
            <w:pPr>
              <w:ind w:left="540"/>
              <w:spacing w:after="0" w:line="194" w:lineRule="exact"/>
              <w:rPr>
                <w:sz w:val="20"/>
                <w:szCs w:val="20"/>
                <w:color w:val="auto"/>
              </w:rPr>
            </w:pPr>
            <w:r>
              <w:rPr>
                <w:rFonts w:ascii="Times New Roman" w:cs="Times New Roman" w:eastAsia="Times New Roman" w:hAnsi="Times New Roman"/>
                <w:sz w:val="18"/>
                <w:szCs w:val="18"/>
                <w:color w:val="auto"/>
              </w:rPr>
              <w:t>2019 and March 30, 2018</w:t>
            </w:r>
          </w:p>
        </w:tc>
        <w:tc>
          <w:tcPr>
            <w:tcW w:w="880" w:type="dxa"/>
            <w:vAlign w:val="bottom"/>
            <w:gridSpan w:val="4"/>
          </w:tcPr>
          <w:p>
            <w:pPr>
              <w:jc w:val="center"/>
              <w:ind w:left="630"/>
              <w:spacing w:after="0" w:line="194" w:lineRule="exact"/>
              <w:rPr>
                <w:rFonts w:ascii="Times New Roman" w:cs="Times New Roman" w:eastAsia="Times New Roman" w:hAnsi="Times New Roman"/>
                <w:sz w:val="18"/>
                <w:szCs w:val="18"/>
                <w:color w:val="3635D6"/>
                <w:w w:val="88"/>
              </w:rPr>
            </w:pPr>
            <w:hyperlink w:anchor="page7">
              <w:r>
                <w:rPr>
                  <w:rFonts w:ascii="Times New Roman" w:cs="Times New Roman" w:eastAsia="Times New Roman" w:hAnsi="Times New Roman"/>
                  <w:sz w:val="18"/>
                  <w:szCs w:val="18"/>
                  <w:color w:val="3635D6"/>
                  <w:w w:val="88"/>
                </w:rPr>
                <w:t>7</w:t>
              </w:r>
            </w:hyperlink>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 w:type="dxa"/>
            <w:vAlign w:val="bottom"/>
            <w:shd w:val="clear" w:color="auto" w:fill="CCEEFF"/>
          </w:tcPr>
          <w:p>
            <w:pPr>
              <w:spacing w:after="0"/>
              <w:rPr>
                <w:sz w:val="21"/>
                <w:szCs w:val="21"/>
                <w:color w:val="auto"/>
              </w:rPr>
            </w:pPr>
          </w:p>
        </w:tc>
        <w:tc>
          <w:tcPr>
            <w:tcW w:w="8940" w:type="dxa"/>
            <w:vAlign w:val="bottom"/>
            <w:shd w:val="clear" w:color="auto" w:fill="CCEEFF"/>
          </w:tcPr>
          <w:p>
            <w:pPr>
              <w:ind w:left="54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 Nine Months Ended March 29, 2019 and March 30, 2018</w:t>
            </w:r>
          </w:p>
        </w:tc>
        <w:tc>
          <w:tcPr>
            <w:tcW w:w="880" w:type="dxa"/>
            <w:vAlign w:val="bottom"/>
            <w:gridSpan w:val="4"/>
            <w:shd w:val="clear" w:color="auto" w:fill="CCEEFF"/>
          </w:tcPr>
          <w:p>
            <w:pPr>
              <w:jc w:val="center"/>
              <w:ind w:left="630"/>
              <w:spacing w:after="0" w:line="202" w:lineRule="exact"/>
              <w:rPr>
                <w:rFonts w:ascii="Times New Roman" w:cs="Times New Roman" w:eastAsia="Times New Roman" w:hAnsi="Times New Roman"/>
                <w:sz w:val="18"/>
                <w:szCs w:val="18"/>
                <w:color w:val="3635D6"/>
                <w:w w:val="88"/>
              </w:rPr>
            </w:pPr>
            <w:hyperlink w:anchor="page8">
              <w:r>
                <w:rPr>
                  <w:rFonts w:ascii="Times New Roman" w:cs="Times New Roman" w:eastAsia="Times New Roman" w:hAnsi="Times New Roman"/>
                  <w:sz w:val="18"/>
                  <w:szCs w:val="18"/>
                  <w:color w:val="3635D6"/>
                  <w:w w:val="88"/>
                </w:rPr>
                <w:t>8</w:t>
              </w:r>
            </w:hyperlink>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80" w:type="dxa"/>
            <w:vAlign w:val="bottom"/>
            <w:tcBorders>
              <w:top w:val="single" w:sz="8" w:color="CCEEFF"/>
            </w:tcBorders>
          </w:tcPr>
          <w:p>
            <w:pPr>
              <w:spacing w:after="0"/>
              <w:rPr>
                <w:sz w:val="19"/>
                <w:szCs w:val="19"/>
                <w:color w:val="auto"/>
              </w:rPr>
            </w:pPr>
          </w:p>
        </w:tc>
        <w:tc>
          <w:tcPr>
            <w:tcW w:w="894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Shareholders' Equity — Nine Months Ended March 29, 2019 and March 30,</w:t>
            </w:r>
          </w:p>
        </w:tc>
        <w:tc>
          <w:tcPr>
            <w:tcW w:w="7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3635D6"/>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8940" w:type="dxa"/>
            <w:vAlign w:val="bottom"/>
          </w:tcPr>
          <w:p>
            <w:pPr>
              <w:ind w:left="540"/>
              <w:spacing w:after="0" w:line="194" w:lineRule="exact"/>
              <w:rPr>
                <w:sz w:val="20"/>
                <w:szCs w:val="20"/>
                <w:color w:val="auto"/>
              </w:rPr>
            </w:pPr>
            <w:r>
              <w:rPr>
                <w:rFonts w:ascii="Times New Roman" w:cs="Times New Roman" w:eastAsia="Times New Roman" w:hAnsi="Times New Roman"/>
                <w:sz w:val="18"/>
                <w:szCs w:val="18"/>
                <w:color w:val="auto"/>
              </w:rPr>
              <w:t>2018</w:t>
            </w:r>
          </w:p>
        </w:tc>
        <w:tc>
          <w:tcPr>
            <w:tcW w:w="880" w:type="dxa"/>
            <w:vAlign w:val="bottom"/>
            <w:gridSpan w:val="4"/>
          </w:tcPr>
          <w:p>
            <w:pPr>
              <w:jc w:val="center"/>
              <w:ind w:left="630"/>
              <w:spacing w:after="0" w:line="194" w:lineRule="exact"/>
              <w:rPr>
                <w:rFonts w:ascii="Times New Roman" w:cs="Times New Roman" w:eastAsia="Times New Roman" w:hAnsi="Times New Roman"/>
                <w:sz w:val="18"/>
                <w:szCs w:val="18"/>
                <w:color w:val="3635D6"/>
                <w:w w:val="88"/>
              </w:rPr>
            </w:pPr>
            <w:hyperlink w:anchor="page9">
              <w:r>
                <w:rPr>
                  <w:rFonts w:ascii="Times New Roman" w:cs="Times New Roman" w:eastAsia="Times New Roman" w:hAnsi="Times New Roman"/>
                  <w:sz w:val="18"/>
                  <w:szCs w:val="18"/>
                  <w:color w:val="3635D6"/>
                  <w:w w:val="88"/>
                </w:rPr>
                <w:t>9</w:t>
              </w:r>
            </w:hyperlink>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8940" w:type="dxa"/>
            <w:vAlign w:val="bottom"/>
            <w:shd w:val="clear" w:color="auto" w:fill="CCEEFF"/>
          </w:tcPr>
          <w:p>
            <w:pPr>
              <w:ind w:left="54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900" w:type="dxa"/>
            <w:vAlign w:val="bottom"/>
            <w:gridSpan w:val="5"/>
            <w:shd w:val="clear" w:color="auto" w:fill="CCEEFF"/>
          </w:tcPr>
          <w:p>
            <w:pPr>
              <w:jc w:val="center"/>
              <w:ind w:left="610"/>
              <w:spacing w:after="0" w:line="202" w:lineRule="exact"/>
              <w:rPr>
                <w:rFonts w:ascii="Times New Roman" w:cs="Times New Roman" w:eastAsia="Times New Roman" w:hAnsi="Times New Roman"/>
                <w:sz w:val="18"/>
                <w:szCs w:val="18"/>
                <w:color w:val="3635D6"/>
                <w:w w:val="88"/>
              </w:rPr>
            </w:pPr>
            <w:hyperlink w:anchor="page11">
              <w:r>
                <w:rPr>
                  <w:rFonts w:ascii="Times New Roman" w:cs="Times New Roman" w:eastAsia="Times New Roman" w:hAnsi="Times New Roman"/>
                  <w:sz w:val="18"/>
                  <w:szCs w:val="18"/>
                  <w:color w:val="3635D6"/>
                  <w:w w:val="88"/>
                </w:rPr>
                <w:t>11</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2.</w:t>
            </w:r>
          </w:p>
        </w:tc>
        <w:tc>
          <w:tcPr>
            <w:tcW w:w="89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00" w:type="dxa"/>
            <w:vAlign w:val="bottom"/>
            <w:gridSpan w:val="5"/>
          </w:tcPr>
          <w:p>
            <w:pPr>
              <w:jc w:val="center"/>
              <w:ind w:left="630"/>
              <w:spacing w:after="0" w:line="202" w:lineRule="exact"/>
              <w:rPr>
                <w:rFonts w:ascii="Times New Roman" w:cs="Times New Roman" w:eastAsia="Times New Roman" w:hAnsi="Times New Roman"/>
                <w:sz w:val="18"/>
                <w:szCs w:val="18"/>
                <w:color w:val="3635D6"/>
                <w:w w:val="99"/>
              </w:rPr>
            </w:pPr>
            <w:hyperlink w:anchor="page55">
              <w:r>
                <w:rPr>
                  <w:rFonts w:ascii="Times New Roman" w:cs="Times New Roman" w:eastAsia="Times New Roman" w:hAnsi="Times New Roman"/>
                  <w:sz w:val="18"/>
                  <w:szCs w:val="18"/>
                  <w:color w:val="3635D6"/>
                  <w:w w:val="99"/>
                </w:rPr>
                <w:t>55</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3.</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00" w:type="dxa"/>
            <w:vAlign w:val="bottom"/>
            <w:gridSpan w:val="5"/>
            <w:shd w:val="clear" w:color="auto" w:fill="CCEEFF"/>
          </w:tcPr>
          <w:p>
            <w:pPr>
              <w:jc w:val="center"/>
              <w:ind w:left="630"/>
              <w:spacing w:after="0" w:line="202" w:lineRule="exact"/>
              <w:rPr>
                <w:rFonts w:ascii="Times New Roman" w:cs="Times New Roman" w:eastAsia="Times New Roman" w:hAnsi="Times New Roman"/>
                <w:sz w:val="18"/>
                <w:szCs w:val="18"/>
                <w:color w:val="3635D6"/>
                <w:w w:val="99"/>
              </w:rPr>
            </w:pPr>
            <w:hyperlink w:anchor="page65">
              <w:r>
                <w:rPr>
                  <w:rFonts w:ascii="Times New Roman" w:cs="Times New Roman" w:eastAsia="Times New Roman" w:hAnsi="Times New Roman"/>
                  <w:sz w:val="18"/>
                  <w:szCs w:val="18"/>
                  <w:color w:val="3635D6"/>
                  <w:w w:val="99"/>
                </w:rPr>
                <w:t>65</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4.</w:t>
            </w:r>
          </w:p>
        </w:tc>
        <w:tc>
          <w:tcPr>
            <w:tcW w:w="89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900" w:type="dxa"/>
            <w:vAlign w:val="bottom"/>
            <w:gridSpan w:val="5"/>
          </w:tcPr>
          <w:p>
            <w:pPr>
              <w:jc w:val="center"/>
              <w:ind w:left="630"/>
              <w:spacing w:after="0" w:line="202" w:lineRule="exact"/>
              <w:rPr>
                <w:rFonts w:ascii="Times New Roman" w:cs="Times New Roman" w:eastAsia="Times New Roman" w:hAnsi="Times New Roman"/>
                <w:sz w:val="18"/>
                <w:szCs w:val="18"/>
                <w:color w:val="3635D6"/>
                <w:w w:val="99"/>
              </w:rPr>
            </w:pPr>
            <w:hyperlink w:anchor="page67">
              <w:r>
                <w:rPr>
                  <w:rFonts w:ascii="Times New Roman" w:cs="Times New Roman" w:eastAsia="Times New Roman" w:hAnsi="Times New Roman"/>
                  <w:sz w:val="18"/>
                  <w:szCs w:val="18"/>
                  <w:color w:val="3635D6"/>
                  <w:w w:val="99"/>
                </w:rPr>
                <w:t>67</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880" w:type="dxa"/>
            <w:vAlign w:val="bottom"/>
          </w:tcPr>
          <w:p>
            <w:pPr>
              <w:spacing w:after="0"/>
              <w:rPr>
                <w:sz w:val="24"/>
                <w:szCs w:val="24"/>
                <w:color w:val="auto"/>
              </w:rPr>
            </w:pPr>
          </w:p>
        </w:tc>
        <w:tc>
          <w:tcPr>
            <w:tcW w:w="894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20" w:type="dxa"/>
            <w:vAlign w:val="bottom"/>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20" w:type="dxa"/>
            <w:vAlign w:val="bottom"/>
            <w:tcBorders>
              <w:top w:val="single" w:sz="8" w:color="3635D6"/>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Legal Proceedings</w:t>
            </w:r>
          </w:p>
        </w:tc>
        <w:tc>
          <w:tcPr>
            <w:tcW w:w="900" w:type="dxa"/>
            <w:vAlign w:val="bottom"/>
            <w:gridSpan w:val="5"/>
            <w:shd w:val="clear" w:color="auto" w:fill="CCEEFF"/>
          </w:tcPr>
          <w:p>
            <w:pPr>
              <w:jc w:val="center"/>
              <w:ind w:left="630"/>
              <w:spacing w:after="0" w:line="202" w:lineRule="exact"/>
              <w:rPr>
                <w:rFonts w:ascii="Times New Roman" w:cs="Times New Roman" w:eastAsia="Times New Roman" w:hAnsi="Times New Roman"/>
                <w:sz w:val="18"/>
                <w:szCs w:val="18"/>
                <w:color w:val="3635D6"/>
                <w:w w:val="99"/>
              </w:rPr>
            </w:pPr>
            <w:hyperlink w:anchor="page68">
              <w:r>
                <w:rPr>
                  <w:rFonts w:ascii="Times New Roman" w:cs="Times New Roman" w:eastAsia="Times New Roman" w:hAnsi="Times New Roman"/>
                  <w:sz w:val="18"/>
                  <w:szCs w:val="18"/>
                  <w:color w:val="3635D6"/>
                  <w:w w:val="99"/>
                </w:rPr>
                <w:t>68</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9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Risk Factors</w:t>
            </w:r>
          </w:p>
        </w:tc>
        <w:tc>
          <w:tcPr>
            <w:tcW w:w="900" w:type="dxa"/>
            <w:vAlign w:val="bottom"/>
            <w:gridSpan w:val="5"/>
          </w:tcPr>
          <w:p>
            <w:pPr>
              <w:jc w:val="center"/>
              <w:ind w:left="630"/>
              <w:spacing w:after="0" w:line="202" w:lineRule="exact"/>
              <w:rPr>
                <w:rFonts w:ascii="Times New Roman" w:cs="Times New Roman" w:eastAsia="Times New Roman" w:hAnsi="Times New Roman"/>
                <w:sz w:val="18"/>
                <w:szCs w:val="18"/>
                <w:color w:val="3635D6"/>
                <w:w w:val="99"/>
              </w:rPr>
            </w:pPr>
            <w:hyperlink w:anchor="page68">
              <w:r>
                <w:rPr>
                  <w:rFonts w:ascii="Times New Roman" w:cs="Times New Roman" w:eastAsia="Times New Roman" w:hAnsi="Times New Roman"/>
                  <w:sz w:val="18"/>
                  <w:szCs w:val="18"/>
                  <w:color w:val="3635D6"/>
                  <w:w w:val="99"/>
                </w:rPr>
                <w:t>68</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2.</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00" w:type="dxa"/>
            <w:vAlign w:val="bottom"/>
            <w:gridSpan w:val="5"/>
            <w:shd w:val="clear" w:color="auto" w:fill="CCEEFF"/>
          </w:tcPr>
          <w:p>
            <w:pPr>
              <w:jc w:val="center"/>
              <w:ind w:left="630"/>
              <w:spacing w:after="0" w:line="202" w:lineRule="exact"/>
              <w:rPr>
                <w:rFonts w:ascii="Times New Roman" w:cs="Times New Roman" w:eastAsia="Times New Roman" w:hAnsi="Times New Roman"/>
                <w:sz w:val="18"/>
                <w:szCs w:val="18"/>
                <w:color w:val="3635D6"/>
                <w:w w:val="99"/>
              </w:rPr>
            </w:pPr>
            <w:hyperlink w:anchor="page91">
              <w:r>
                <w:rPr>
                  <w:rFonts w:ascii="Times New Roman" w:cs="Times New Roman" w:eastAsia="Times New Roman" w:hAnsi="Times New Roman"/>
                  <w:sz w:val="18"/>
                  <w:szCs w:val="18"/>
                  <w:color w:val="3635D6"/>
                  <w:w w:val="99"/>
                </w:rPr>
                <w:t>91</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3.</w:t>
            </w:r>
          </w:p>
        </w:tc>
        <w:tc>
          <w:tcPr>
            <w:tcW w:w="89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900" w:type="dxa"/>
            <w:vAlign w:val="bottom"/>
            <w:gridSpan w:val="5"/>
          </w:tcPr>
          <w:p>
            <w:pPr>
              <w:jc w:val="center"/>
              <w:ind w:left="630"/>
              <w:spacing w:after="0" w:line="202" w:lineRule="exact"/>
              <w:rPr>
                <w:rFonts w:ascii="Times New Roman" w:cs="Times New Roman" w:eastAsia="Times New Roman" w:hAnsi="Times New Roman"/>
                <w:sz w:val="18"/>
                <w:szCs w:val="18"/>
                <w:color w:val="3635D6"/>
                <w:w w:val="99"/>
              </w:rPr>
            </w:pPr>
            <w:hyperlink w:anchor="page91">
              <w:r>
                <w:rPr>
                  <w:rFonts w:ascii="Times New Roman" w:cs="Times New Roman" w:eastAsia="Times New Roman" w:hAnsi="Times New Roman"/>
                  <w:sz w:val="18"/>
                  <w:szCs w:val="18"/>
                  <w:color w:val="3635D6"/>
                  <w:w w:val="99"/>
                </w:rPr>
                <w:t>91</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4.</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Mine Safety Disclosures</w:t>
            </w:r>
          </w:p>
        </w:tc>
        <w:tc>
          <w:tcPr>
            <w:tcW w:w="900" w:type="dxa"/>
            <w:vAlign w:val="bottom"/>
            <w:gridSpan w:val="5"/>
            <w:shd w:val="clear" w:color="auto" w:fill="CCEEFF"/>
          </w:tcPr>
          <w:p>
            <w:pPr>
              <w:jc w:val="center"/>
              <w:ind w:left="630"/>
              <w:spacing w:after="0" w:line="202" w:lineRule="exact"/>
              <w:rPr>
                <w:rFonts w:ascii="Times New Roman" w:cs="Times New Roman" w:eastAsia="Times New Roman" w:hAnsi="Times New Roman"/>
                <w:sz w:val="18"/>
                <w:szCs w:val="18"/>
                <w:color w:val="3635D6"/>
                <w:w w:val="99"/>
              </w:rPr>
            </w:pPr>
            <w:hyperlink w:anchor="page91">
              <w:r>
                <w:rPr>
                  <w:rFonts w:ascii="Times New Roman" w:cs="Times New Roman" w:eastAsia="Times New Roman" w:hAnsi="Times New Roman"/>
                  <w:sz w:val="18"/>
                  <w:szCs w:val="18"/>
                  <w:color w:val="3635D6"/>
                  <w:w w:val="99"/>
                </w:rPr>
                <w:t>91</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5.</w:t>
            </w:r>
          </w:p>
        </w:tc>
        <w:tc>
          <w:tcPr>
            <w:tcW w:w="89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Other Information</w:t>
            </w:r>
          </w:p>
        </w:tc>
        <w:tc>
          <w:tcPr>
            <w:tcW w:w="900" w:type="dxa"/>
            <w:vAlign w:val="bottom"/>
            <w:gridSpan w:val="5"/>
          </w:tcPr>
          <w:p>
            <w:pPr>
              <w:jc w:val="center"/>
              <w:ind w:left="630"/>
              <w:spacing w:after="0" w:line="202" w:lineRule="exact"/>
              <w:rPr>
                <w:rFonts w:ascii="Times New Roman" w:cs="Times New Roman" w:eastAsia="Times New Roman" w:hAnsi="Times New Roman"/>
                <w:sz w:val="18"/>
                <w:szCs w:val="18"/>
                <w:color w:val="3635D6"/>
                <w:w w:val="99"/>
              </w:rPr>
            </w:pPr>
            <w:hyperlink w:anchor="page91">
              <w:r>
                <w:rPr>
                  <w:rFonts w:ascii="Times New Roman" w:cs="Times New Roman" w:eastAsia="Times New Roman" w:hAnsi="Times New Roman"/>
                  <w:sz w:val="18"/>
                  <w:szCs w:val="18"/>
                  <w:color w:val="3635D6"/>
                  <w:w w:val="99"/>
                </w:rPr>
                <w:t>91</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80" w:type="dxa"/>
            <w:vAlign w:val="bottom"/>
            <w:tcBorders>
              <w:top w:val="single" w:sz="8" w:color="3635D6"/>
            </w:tcBorders>
          </w:tcPr>
          <w:p>
            <w:pPr>
              <w:spacing w:after="0"/>
              <w:rPr>
                <w:sz w:val="4"/>
                <w:szCs w:val="4"/>
                <w:color w:val="auto"/>
              </w:rPr>
            </w:pPr>
          </w:p>
        </w:tc>
        <w:tc>
          <w:tcPr>
            <w:tcW w:w="40" w:type="dxa"/>
            <w:vAlign w:val="bottom"/>
            <w:tcBorders>
              <w:top w:val="single" w:sz="8" w:color="3635D6"/>
            </w:tcBorders>
          </w:tcPr>
          <w:p>
            <w:pPr>
              <w:spacing w:after="0"/>
              <w:rPr>
                <w:sz w:val="4"/>
                <w:szCs w:val="4"/>
                <w:color w:val="auto"/>
              </w:rPr>
            </w:pPr>
          </w:p>
        </w:tc>
        <w:tc>
          <w:tcPr>
            <w:tcW w:w="20" w:type="dxa"/>
            <w:vAlign w:val="bottom"/>
            <w:tcBorders>
              <w:top w:val="single" w:sz="8" w:color="3635D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6.</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Exhibits</w:t>
            </w:r>
          </w:p>
        </w:tc>
        <w:tc>
          <w:tcPr>
            <w:tcW w:w="900" w:type="dxa"/>
            <w:vAlign w:val="bottom"/>
            <w:gridSpan w:val="5"/>
            <w:shd w:val="clear" w:color="auto" w:fill="CCEEFF"/>
          </w:tcPr>
          <w:p>
            <w:pPr>
              <w:jc w:val="center"/>
              <w:ind w:left="630"/>
              <w:spacing w:after="0" w:line="202" w:lineRule="exact"/>
              <w:rPr>
                <w:rFonts w:ascii="Times New Roman" w:cs="Times New Roman" w:eastAsia="Times New Roman" w:hAnsi="Times New Roman"/>
                <w:sz w:val="18"/>
                <w:szCs w:val="18"/>
                <w:color w:val="3635D6"/>
                <w:w w:val="99"/>
              </w:rPr>
            </w:pPr>
            <w:hyperlink w:anchor="page91">
              <w:r>
                <w:rPr>
                  <w:rFonts w:ascii="Times New Roman" w:cs="Times New Roman" w:eastAsia="Times New Roman" w:hAnsi="Times New Roman"/>
                  <w:sz w:val="18"/>
                  <w:szCs w:val="18"/>
                  <w:color w:val="3635D6"/>
                  <w:w w:val="99"/>
                </w:rPr>
                <w:t>91</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80" w:type="dxa"/>
            <w:vAlign w:val="bottom"/>
            <w:tcBorders>
              <w:top w:val="single" w:sz="8" w:color="3635D6"/>
            </w:tcBorders>
            <w:shd w:val="clear" w:color="auto" w:fill="CCEEFF"/>
          </w:tcPr>
          <w:p>
            <w:pPr>
              <w:spacing w:after="0"/>
              <w:rPr>
                <w:sz w:val="4"/>
                <w:szCs w:val="4"/>
                <w:color w:val="auto"/>
              </w:rPr>
            </w:pPr>
          </w:p>
        </w:tc>
        <w:tc>
          <w:tcPr>
            <w:tcW w:w="40" w:type="dxa"/>
            <w:vAlign w:val="bottom"/>
            <w:tcBorders>
              <w:top w:val="single" w:sz="8" w:color="3635D6"/>
            </w:tcBorders>
            <w:shd w:val="clear" w:color="auto" w:fill="CCEEFF"/>
          </w:tcPr>
          <w:p>
            <w:pPr>
              <w:spacing w:after="0"/>
              <w:rPr>
                <w:sz w:val="4"/>
                <w:szCs w:val="4"/>
                <w:color w:val="auto"/>
              </w:rPr>
            </w:pPr>
          </w:p>
        </w:tc>
        <w:tc>
          <w:tcPr>
            <w:tcW w:w="20" w:type="dxa"/>
            <w:vAlign w:val="bottom"/>
            <w:tcBorders>
              <w:top w:val="single" w:sz="8" w:color="3635D6"/>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76" w:lineRule="exact"/>
        <w:rPr>
          <w:sz w:val="20"/>
          <w:szCs w:val="20"/>
          <w:color w:val="auto"/>
        </w:rPr>
      </w:pPr>
    </w:p>
    <w:p>
      <w:pPr>
        <w:jc w:val="both"/>
        <w:ind w:right="50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WDC, a Delaware corporation, is the parent company of our data storage business. Our principal executive offices are located at 5601 Great Oaks Parkway, San Jose, California 95119. Our telephone number is (408) 717-6000 and our website is </w:t>
      </w:r>
      <w:r>
        <w:rPr>
          <w:rFonts w:ascii="Times New Roman" w:cs="Times New Roman" w:eastAsia="Times New Roman" w:hAnsi="Times New Roman"/>
          <w:sz w:val="18"/>
          <w:szCs w:val="18"/>
          <w:i w:val="1"/>
          <w:iCs w:val="1"/>
          <w:color w:val="auto"/>
        </w:rPr>
        <w:t>www.wdc.com</w:t>
      </w:r>
      <w:r>
        <w:rPr>
          <w:rFonts w:ascii="Times New Roman" w:cs="Times New Roman" w:eastAsia="Times New Roman" w:hAnsi="Times New Roman"/>
          <w:sz w:val="18"/>
          <w:szCs w:val="18"/>
          <w:color w:val="auto"/>
        </w:rPr>
        <w:t>. The information on our website is not incorporated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7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5"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6"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our Flash Ventures joint venture with Toshiba Memory Corporation, the flash industry and our flash wafer output plans;</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cost and expense reduction actions;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quarterly cash dividend policy and share repurchase program;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our product development and technology plans;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our future results of operations;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the outcome of legal proceedings in which we are involved;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the impact of the Tax Cuts and Jobs Act enacted on December 22, 2017 on the Company;</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the repatriation of funds from our foreign operations;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capital investments and sources of funding for those investments; and</w:t>
      </w:r>
    </w:p>
    <w:p>
      <w:pPr>
        <w:spacing w:after="0" w:line="9"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beliefs regarding the sufficiency of our available liquidity to meet our working capital, our debt and debt covenants, our dividend plans and our capital expenditure needs.</w:t>
      </w:r>
    </w:p>
    <w:p>
      <w:pPr>
        <w:spacing w:after="0" w:line="17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p>
      <w:pPr>
        <w:jc w:val="right"/>
        <w:ind w:right="500"/>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March 29,</w:t>
      </w:r>
      <w:r>
        <w:rPr>
          <w:sz w:val="20"/>
          <w:szCs w:val="20"/>
          <w:color w:val="auto"/>
        </w:rPr>
        <w:tab/>
      </w:r>
      <w:r>
        <w:rPr>
          <w:rFonts w:ascii="Times New Roman" w:cs="Times New Roman" w:eastAsia="Times New Roman" w:hAnsi="Times New Roman"/>
          <w:sz w:val="14"/>
          <w:szCs w:val="14"/>
          <w:b w:val="1"/>
          <w:bCs w:val="1"/>
          <w:color w:val="auto"/>
        </w:rPr>
        <w:t>June 29,</w:t>
      </w:r>
    </w:p>
    <w:p>
      <w:pPr>
        <w:spacing w:after="0" w:line="6" w:lineRule="exact"/>
        <w:rPr>
          <w:sz w:val="20"/>
          <w:szCs w:val="20"/>
          <w:color w:val="auto"/>
        </w:rPr>
      </w:pPr>
    </w:p>
    <w:p>
      <w:pPr>
        <w:ind w:left="8940"/>
        <w:spacing w:after="0"/>
        <w:tabs>
          <w:tab w:leader="none" w:pos="105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Times New Roman" w:cs="Times New Roman" w:eastAsia="Times New Roman" w:hAnsi="Times New Roman"/>
          <w:sz w:val="16"/>
          <w:szCs w:val="16"/>
          <w:color w:val="auto"/>
        </w:rPr>
        <w:t>Cash and cash equivalents</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Inventories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8340" w:val="left"/>
        </w:tabs>
        <w:rPr>
          <w:sz w:val="20"/>
          <w:szCs w:val="20"/>
          <w:color w:val="auto"/>
        </w:rPr>
      </w:pPr>
      <w:r>
        <w:rPr>
          <w:rFonts w:ascii="Times New Roman" w:cs="Times New Roman" w:eastAsia="Times New Roman" w:hAnsi="Times New Roman"/>
          <w:sz w:val="16"/>
          <w:szCs w:val="16"/>
          <w:color w:val="auto"/>
        </w:rPr>
        <w:t>Total assets</w:t>
      </w:r>
      <w:r>
        <w:rPr>
          <w:sz w:val="20"/>
          <w:szCs w:val="20"/>
          <w:color w:val="auto"/>
        </w:rPr>
        <w:tab/>
      </w:r>
      <w:r>
        <w:rPr>
          <w:rFonts w:ascii="Times New Roman" w:cs="Times New Roman" w:eastAsia="Times New Roman" w:hAnsi="Times New Roman"/>
          <w:sz w:val="16"/>
          <w:szCs w:val="16"/>
          <w:color w:val="auto"/>
        </w:rPr>
        <w:t>$</w:t>
      </w:r>
    </w:p>
    <w:p>
      <w:pPr>
        <w:spacing w:after="0" w:line="9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86" w:lineRule="exact"/>
        <w:rPr>
          <w:sz w:val="20"/>
          <w:szCs w:val="20"/>
          <w:color w:val="auto"/>
        </w:rPr>
      </w:pPr>
    </w:p>
    <w:p>
      <w:pPr>
        <w:ind w:left="180"/>
        <w:spacing w:after="0"/>
        <w:tabs>
          <w:tab w:leader="none" w:pos="8340" w:val="left"/>
        </w:tabs>
        <w:rPr>
          <w:sz w:val="20"/>
          <w:szCs w:val="20"/>
          <w:color w:val="auto"/>
        </w:rPr>
      </w:pPr>
      <w:r>
        <w:rPr>
          <w:rFonts w:ascii="Times New Roman" w:cs="Times New Roman" w:eastAsia="Times New Roman" w:hAnsi="Times New Roman"/>
          <w:sz w:val="16"/>
          <w:szCs w:val="16"/>
          <w:color w:val="auto"/>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Accounts payable to related parties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Accrued compensation</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Commitments and contingencies (Notes 7, 9, 11 and 14)</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Preferred stock, $0.01 par value; authorized — 5 shares; issued and outstanding — none</w:t>
      </w:r>
    </w:p>
    <w:p>
      <w:pPr>
        <w:spacing w:after="0" w:line="86" w:lineRule="exact"/>
        <w:rPr>
          <w:sz w:val="20"/>
          <w:szCs w:val="20"/>
          <w:color w:val="auto"/>
        </w:rPr>
      </w:pPr>
    </w:p>
    <w:p>
      <w:pPr>
        <w:ind w:left="180" w:right="380"/>
        <w:spacing w:after="0" w:line="298" w:lineRule="auto"/>
        <w:rPr>
          <w:sz w:val="20"/>
          <w:szCs w:val="20"/>
          <w:color w:val="auto"/>
        </w:rPr>
      </w:pPr>
      <w:r>
        <w:rPr>
          <w:rFonts w:ascii="Times New Roman" w:cs="Times New Roman" w:eastAsia="Times New Roman" w:hAnsi="Times New Roman"/>
          <w:sz w:val="16"/>
          <w:szCs w:val="16"/>
          <w:color w:val="auto"/>
        </w:rPr>
        <w:t>Common stock, $0.01 par value; authorized — 450 shares; issued — 312 shares; outstanding — 293 shares and 296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Treasury stock — common shares at cost; 19 shares and 16 shares,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3,682</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5,005</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1,223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2,197</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3,440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2,944</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557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492</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8,902</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10,638</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3,031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3,095</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2,403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2,105</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10,075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10,075</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1,918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2,680</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584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642</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26,913</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29,235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7"/>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1,577</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2,265</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1,645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1,274</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402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4,212</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4,456</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10,309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10,993</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2,178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16,699</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17,704</w:t>
            </w:r>
          </w:p>
        </w:tc>
      </w:tr>
      <w:tr>
        <w:trPr>
          <w:trHeight w:val="81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59"/>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3,891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4,254</w:t>
            </w:r>
          </w:p>
        </w:tc>
      </w:tr>
      <w:tr>
        <w:trPr>
          <w:trHeight w:val="270"/>
        </w:trPr>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70"/>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7,799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8,757</w:t>
            </w:r>
          </w:p>
        </w:tc>
      </w:tr>
      <w:tr>
        <w:trPr>
          <w:trHeight w:val="270"/>
        </w:trPr>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(1,424)</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-1642110</wp:posOffset>
            </wp:positionV>
            <wp:extent cx="951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-3340100</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60" w:space="720"/>
            <w:col w:w="21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10,214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11,531</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26,913</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29,235</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2"/>
                <w:szCs w:val="12"/>
                <w:color w:val="auto"/>
              </w:rPr>
            </w:pPr>
          </w:p>
        </w:tc>
        <w:tc>
          <w:tcPr>
            <w:tcW w:w="1200" w:type="dxa"/>
            <w:vAlign w:val="bottom"/>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15,530</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9,677</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5,853</w:t>
            </w:r>
          </w:p>
        </w:tc>
      </w:tr>
      <w:tr>
        <w:trPr>
          <w:trHeight w:val="20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1,823</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1,121</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w:t>
            </w:r>
          </w:p>
        </w:tc>
      </w:tr>
      <w:tr>
        <w:trPr>
          <w:trHeight w:val="21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973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2,819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3,079</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2,774</w:t>
            </w:r>
          </w:p>
        </w:tc>
      </w:tr>
      <w:tr>
        <w:trPr>
          <w:trHeight w:val="22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21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1,356</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1,437</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2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296</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296</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declared per share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80" w:type="dxa"/>
            <w:vAlign w:val="bottom"/>
          </w:tcPr>
          <w:p>
            <w:pPr>
              <w:spacing w:after="0"/>
              <w:rPr>
                <w:sz w:val="12"/>
                <w:szCs w:val="12"/>
                <w:color w:val="auto"/>
              </w:rPr>
            </w:pPr>
          </w:p>
        </w:tc>
        <w:tc>
          <w:tcPr>
            <w:tcW w:w="1180" w:type="dxa"/>
            <w:vAlign w:val="bottom"/>
          </w:tcPr>
          <w:p>
            <w:pPr>
              <w:jc w:val="right"/>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5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tcBorders>
              <w:bottom w:val="single" w:sz="8" w:color="CCEEFF"/>
            </w:tcBorders>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(581)</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2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pension gain</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78</w:t>
            </w:r>
          </w:p>
        </w:tc>
      </w:tr>
      <w:tr>
        <w:trPr>
          <w:trHeight w:val="33"/>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contracts and available-for-sale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w:t>
            </w:r>
          </w:p>
        </w:tc>
      </w:tr>
      <w:tr>
        <w:trPr>
          <w:trHeight w:val="21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110</w:t>
            </w:r>
          </w:p>
        </w:tc>
      </w:tr>
      <w:tr>
        <w:trPr>
          <w:trHeight w:val="33"/>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before tax</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104</w:t>
            </w:r>
          </w:p>
        </w:tc>
      </w:tr>
      <w:tr>
        <w:trPr>
          <w:trHeight w:val="33"/>
        </w:trPr>
        <w:tc>
          <w:tcPr>
            <w:tcW w:w="5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060" w:type="dxa"/>
            <w:vAlign w:val="bottom"/>
            <w:tcBorders>
              <w:bottom w:val="single" w:sz="8" w:color="CCEEFF"/>
            </w:tcBorders>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8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Pr>
          <w:p>
            <w:pPr>
              <w:spacing w:after="0"/>
              <w:rPr>
                <w:sz w:val="12"/>
                <w:szCs w:val="12"/>
                <w:color w:val="auto"/>
              </w:rPr>
            </w:pPr>
          </w:p>
        </w:tc>
        <w:tc>
          <w:tcPr>
            <w:tcW w:w="122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operations: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1,567</w:t>
            </w: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299</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Write-off of issuance costs and amortization of debt discounts</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w:t>
            </w: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premium on extinguishment of debt</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720</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portion of employee termination, asset impairment and other charges</w:t>
            </w:r>
          </w:p>
        </w:tc>
        <w:tc>
          <w:tcPr>
            <w:tcW w:w="26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7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5"/>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65"/>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275"/>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65"/>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r>
      <w:tr>
        <w:trPr>
          <w:trHeight w:val="275"/>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65"/>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compensation</w:t>
            </w:r>
          </w:p>
        </w:tc>
        <w:tc>
          <w:tcPr>
            <w:tcW w:w="26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70"/>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1,382</w:t>
            </w:r>
          </w:p>
        </w:tc>
      </w:tr>
      <w:tr>
        <w:trPr>
          <w:trHeight w:val="250"/>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3,342</w:t>
            </w:r>
          </w:p>
        </w:tc>
      </w:tr>
      <w:tr>
        <w:trPr>
          <w:trHeight w:val="26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26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maturities of investments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26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r>
      <w:tr>
        <w:trPr>
          <w:trHeight w:val="255"/>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r>
      <w:tr>
        <w:trPr>
          <w:trHeight w:val="259"/>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stock under employee stock plans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26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Dividends paid to shareholders</w:t>
            </w:r>
          </w:p>
        </w:tc>
        <w:tc>
          <w:tcPr>
            <w:tcW w:w="26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Settlement of debt hedge contracts</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(repayment of) revolving credit facility</w:t>
            </w:r>
          </w:p>
        </w:tc>
        <w:tc>
          <w:tcPr>
            <w:tcW w:w="26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debt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(14,581)</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debt</w:t>
            </w:r>
          </w:p>
        </w:tc>
        <w:tc>
          <w:tcPr>
            <w:tcW w:w="26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11,384</w:t>
            </w:r>
          </w:p>
        </w:tc>
      </w:tr>
      <w:tr>
        <w:trPr>
          <w:trHeight w:val="27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Debt issuance costs</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50"/>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(1,657)</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(3,337)</w:t>
            </w:r>
          </w:p>
        </w:tc>
      </w:tr>
      <w:tr>
        <w:trPr>
          <w:trHeight w:val="25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50"/>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60" w:type="dxa"/>
            <w:vAlign w:val="bottom"/>
          </w:tcPr>
          <w:p>
            <w:pPr>
              <w:spacing w:after="0"/>
              <w:rPr>
                <w:sz w:val="21"/>
                <w:szCs w:val="21"/>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r>
      <w:tr>
        <w:trPr>
          <w:trHeight w:val="27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6,354</w:t>
            </w:r>
          </w:p>
        </w:tc>
      </w:tr>
      <w:tr>
        <w:trPr>
          <w:trHeight w:val="282"/>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3,682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4,963</w:t>
            </w:r>
          </w:p>
        </w:tc>
      </w:tr>
      <w:tr>
        <w:trPr>
          <w:trHeight w:val="251"/>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63"/>
        </w:trPr>
        <w:tc>
          <w:tcPr>
            <w:tcW w:w="230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June 29, 2018</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4,254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8,757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11,531</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53"/>
        </w:trPr>
        <w:tc>
          <w:tcPr>
            <w:tcW w:w="23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Adoption of New Accounting</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Standards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53"/>
        </w:trPr>
        <w:tc>
          <w:tcPr>
            <w:tcW w:w="23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28, 2018</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4,085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9,172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11,375</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Actuarial pension gain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Net unrealized gain on derivative</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28, 2018</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8,532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10,912</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53"/>
        </w:trPr>
        <w:tc>
          <w:tcPr>
            <w:tcW w:w="23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Net unrealized loss on available-for-</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 securities</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29, 2019</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7,799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10,214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63"/>
        </w:trPr>
        <w:tc>
          <w:tcPr>
            <w:tcW w:w="230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June 30, 2017</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4,506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8,633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11,418</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53"/>
        </w:trPr>
        <w:tc>
          <w:tcPr>
            <w:tcW w:w="23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Adoption of New Accounting</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Standards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Net unrealized gain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contracts and available-for-sale</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29, 2017</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4,396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9,229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12,059</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53"/>
        </w:trPr>
        <w:tc>
          <w:tcPr>
            <w:tcW w:w="23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Net unrealized gain on derivative</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contracts and available-for-sale</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w:t>
            </w: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29, 2017</w:t>
            </w: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4,410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8,250</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11,272</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plans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53"/>
        </w:trPr>
        <w:tc>
          <w:tcPr>
            <w:tcW w:w="23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Equity value of convertible debt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net of deferred taxes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65"/>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pension loss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3"/>
        </w:trPr>
        <w:tc>
          <w:tcPr>
            <w:tcW w:w="23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Net unrealized gain on derivative</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contracts and available-for-sale</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30, 2018</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4,277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8,155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11,300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left="280" w:right="272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3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that address the evolving needs of the information technology industry and the infrastructure that enables the proliferation of data in virtually every other industry. The Company’s broad portfolio of technology and products address the following key markets: Client Devices; Data Center Devices and Solutions; and Client Solutions. The Company also generates license and royalty revenue related to its intellectual property (“IP”), which is included in each of these three categories.</w:t>
      </w:r>
    </w:p>
    <w:p>
      <w:pPr>
        <w:spacing w:after="0" w:line="182" w:lineRule="exact"/>
        <w:rPr>
          <w:sz w:val="20"/>
          <w:szCs w:val="20"/>
          <w:color w:val="auto"/>
        </w:rPr>
      </w:pPr>
    </w:p>
    <w:p>
      <w:pPr>
        <w:ind w:right="20" w:firstLine="324"/>
        <w:spacing w:after="0" w:line="219"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June 29, 2018.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June 29, 2018. The results of operations for interim periods are not necessarily indicative of results to be expected for the full year.</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Fiscal years 2019, which ends on June 28, 2019, and 2018, which ended on June 29, 2018, are each comprised of 52 weeks, with all quarters presented consisting of 13 weeks. Fiscal year 2020, which ends on July 3, 2020, will be comprised of 53 weeks, with the first quarter consisting of 14 weeks and the remaining quarters consisting of 13 weeks each.</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121" w:right="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August 29, 2018, the Financial Accounting Standards Board (“FASB”) issued Accounting Standards Update (“ASU”) No. 2018-15, “Customer’s Accounting for Implementation Costs Incurred in a Cloud Computing Arrangement That Is a Service Contract” (“ASU 2018-15”), to reduce diversity in practice in accounting for the costs of implementing cloud computing arrangements that are service contracts. ASU 2018-15 allows entities to apply the guidance in the FASB Accounting Standards Codification (“ASC”) 350-40 to determine which implementation costs are eligible to be capitalized as assets in a cloud computing arrangement that is considered a service contract. The Company adopted this standard on a prospective basis effective June 30, 2018, the beginning of fiscal year 2019, as allowed by the standard. The adoption of this standard and the costs capitalized for the nine months ended March 29, 2019 were not material to the Company’s Condensed Consolidated Financial Statements.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2018, the FASB issued ASU No. 2018-02, “Income Statement-Reporting Comprehensive Income (Topic 220): Reclassification of Certain Tax Effects from Accumulated Other Comprehensive Income” (“ASU 2018-02”). ASU 2018-02 allows a reclassification from accumulated other comprehensive income to retained earnings for stranded tax effects resulting from the Tax Cuts and Jobs Act enacted on December 22, 2017 (the “2017 Act”). Consequently, the amendments eliminate the stranded tax effects resulting from the 2017 Act and will improve the usefulness of information reported to financial statement users. Because the amendments only relate to the reclassification of the income tax effects of the 2017 Act, the underlying guidance that requires that the effect of a change in tax laws or rates be included in income from continuing operations is not affected. For tax effects that are unrelated to the 2017 Act, the Company’s policy to release these from Accumulated other comprehensive loss on an individual item basis rather than a portfolio basis remains unchanged. The Company early adopted this standard effective June 30, 2018 and elected to reclassify stranded tax effects resulting from the 2017 Act from Accumulated other comprehensive loss to Retained earnings. The adoption of this standard did not have a material impact on the Company’s Condensed Consolidated Financial Statements.</w:t>
      </w:r>
    </w:p>
    <w:p>
      <w:pPr>
        <w:spacing w:after="0" w:line="18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August 2017, the FASB issued ASU No. 2017-12, “Derivatives and Hedging (Topic 815): Targeted Improvements to Accounting for Hedging Activities” (“ASU 2017-12”). ASU 2017-12 simplifies hedge accounting through changes to both designation and measurement requirements. For hedges that qualify as highly effective, the new standard eliminates the requirement to separately measure and record hedge ineffectiveness with the entire change in fair value of designated hedge reported in the results of operations in the same line item as the hedged item. The Company early adopted this standard effective June 30, 2018, using the modified retrospective approach. The adoption of this standard did not have a material impact on the Company’s Condensed Consolidated Financial Statements.</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May 2017, the FASB issued ASU No. 2017-09, “Compensation-Stock Compensation (Topic 718): Scope of Modification Accounting” (“ASU 2017-09”). ASU 2017-09 provides clarification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Company adopted this standard on a prospective basis effective June 30, 2018. The adoption of this standard did not have a material impact on the Company’s Condensed Consolidated Financial Statements.</w:t>
      </w:r>
    </w:p>
    <w:p>
      <w:pPr>
        <w:spacing w:after="0" w:line="18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March 2017, the FASB issued ASU No. 2017-07, “Compensation-Retirement Benefits (Topic 715): Improving the Presentation of Net Periodic Pension Cost and Net Periodic Postretirement Benefit Cost” (“ASU 2017-07”). ASU 2017-07 requires that the Company report the service cost component in the same line item or items as other compensation costs arising from services rendered by the pertinent employees during the period. In addition, the other components of net benefit cost are now presented in Other income (expense), net in the Condensed Consolidated Statements of Operations. The Company adopted this standard effective June 30, 2018. The adoption of this standard did not have a material impact on the Company’s Condensed Consolidated Financial Statements.</w:t>
      </w:r>
    </w:p>
    <w:p>
      <w:pPr>
        <w:spacing w:after="0" w:line="18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ASU 2017-01 narrows the definition of a “business.” This standard provides guidance to assist entities with evaluating when a set of transferred assets and activities is a business. The Company adopted this standard effective June 30, 2018 and will apply it prospectively to transactions occurring thereafter. The adoption of this standard did not have a material impact on the Company’s Condensed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October 2016, the FASB issued ASU No. 2016-16, “Income Taxes (Topic 740): Intra-Entity Transfers of Assets Other Than Inventory” (“ASU 2016-16”). ASU 2016-16 removes the prohibition in the FASB ASC Topic 740 against the immediate recognition of the current and deferred income tax effects of intra-entity transfers of assets other than inventory. The new standard is intended to reduce the complexity and diversity in practice related to the tax consequences of certain types of intra-entity asset transfers, particularly those involving intellectual property (“IP”). The Company adopted this standard effective June 30, 2018. The adoption of this standard did not have a material impact on the Company’s Condensed Consolidated Financial Statements.</w:t>
      </w:r>
    </w:p>
    <w:p>
      <w:pPr>
        <w:spacing w:after="0" w:line="184"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ASU No. 2016-01, “Financial Instruments — Overall (Subtopic 825-10): Recognition and Measurement of Financial Assets and Financial Liabilities” (“ASU 2016-01”). ASU 2016-01 provides guidance related to accounting for equity investments, financial liabilities under the fair value option and the presentation and disclosure requirements for financial instruments. Marketable equity securities previously classified as available-for-sale equity investments are now measured and recorded at fair value with changes in fair value recorded within Other income (expense), net in the Condensed Consolidated Statements of Operations rather than as a component of Other comprehensive income as in prior years. In addition, the FASB clarified guidance related to the valuation allowance assessment when recognizing deferred tax assets resulting from unrealized losses on available-for-sale debt securities. The Company adopted this standard effective June 30, 2018. The adoption of this standard did not have a material impact on the Company’s Condensed Consolidated Financial Statements.</w:t>
      </w:r>
    </w:p>
    <w:p>
      <w:pPr>
        <w:spacing w:after="0" w:line="18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“Revenue from Contracts with Customers (Topic 606),” which superseded the requirements in ASC 605 “Revenue Recognition” (Topic 605). Topic 606 outlines a comprehensive five-step revenue recognition model based on the principle that an entity should recognize revenue when control of the promised goods or services is transferred to customers at an amount that reflects the consideration to which the Company expects to be entitled in exchange for those goods or services. Topic 606 also requires more detailed disclosures to enable users of financial statements to understand the nature, amount, timing, and uncertainty of revenue and cash flows arising from contracts with customers. The Company adopted Topic 606 effective June 30, 2018, using the modified retrospective method to all contracts that were not completed contracts as of the beginning of the fiscal year. Results for reporting periods beginning with fiscal year 2019 are presented under Topic 606, while prior period information presented on the financial statements or elsewhere in this Quarterly Report on Form 10-Q is reported under the Company’s historic accounting policies under Topic 605 in effect for that period and is not adjusted to reflect the retrospective effect of the adoption of Topic 606. The cumulative effect of adopting Topic 606 was a post-tax increase to the opening retained earnings of $56 million as of June 30, 2018, which was primarily related to our license and royalty revenue arrangements. These arrangements had no remaining performance obligations but were previously recognized under Topic 605 when they were reported to the Company by its licensees, which was generally one quarter in arrears from the licensees’ sales of the licensed products. Adoption of the standard did not have a material impact on the Company’s financial position, results of operations, and cash flows, as of or for the three and nine months ended March 29, 2019, and the Company expects that the impact of the adoption of the new standard will not be material to its results of operations prospectively. See Note 3,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for additional disclosures related to this standard.</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7"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requires retrospective adoption to the date the Company adopted ASC 606 by recognizing a cumulative-effect adjustment to the opening balance of retained earnings of the earliest annual period presented. The amendments are effective for fiscal years, and interim periods within those fiscal years, beginning after December 15, 2019, which for the Company is the first quarter of fiscal 2021. The Company does not expect this update to have a material impact on its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October 2018, the FASB issued ASU No. 2018-16, “Derivatives and Hedging (Topic 815): Inclusion of the Secured Overnight Financing Rate (SOFR) Overnight Index Swap (OIS) Rate as a Benchmark Interest Rate for Hedge Accounting Purposes” (“ASU 2018-16”). ASU 2018-16 allows for the use of the OIS rate based on the SOFR as a U.S. benchmark interest rate for hedge accounting purposes under Topic 815, Derivatives and Hedging. For public entities who have adopted ASU 2017-12, the amendments are effective for fiscal years, and interim periods within those fiscal years, beginning after December 15, 2018, which for the Company is the first quarter of fiscal 2020. The Company does not expect this update to have a material impact on its Consolidated Financial Statements.</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is currently evaluating the impact this update will have on its Consolidated Financial Statements.</w:t>
      </w:r>
    </w:p>
    <w:p>
      <w:pPr>
        <w:spacing w:after="0" w:line="18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In February 2016, the FASB issued ASU No. 2016-02, “Leases (Topic 842)” (“ASU 2016-02”). ASU 2016-02 supersedes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the direct use of, a specified asset for the lease term. The FASB issued ASU 2018-11 on July 30, 2018, which allows entities to apply the provisions of ASC 842 at the effective date without adjusting comparative periods. The standard is effective for interim and annual reporting periods beginning after December 15, 2018, with early adoption permitted, and provides optional practical expedients to simplify transition. The Company’s cross-functional project management team continues to identify and evaluate the impact of the amended guidance on the Company's Consolidated Financial Statements and related disclosures, business processes, internal controls, and information systems. The Company has identified its leases and selected a third-party lease accounting software solution. The Company is in the process of implementing its lease accounting software solution and changes to its processes and internal controls to address the new lease standard. The Company’s implementation efforts are progressing as planned. The Company expects to adopt this standard in the first quarter of fiscal 2020 and elect the transition method provided in ASU 2018-11 to apply Topic 842 as of the date of adoption without adjusting comparative periods. The Company also expects to elect the package of practical expedients and not reassess prior conclusions including (a) whether its contracts are or contain a lease, (b) lease classification and (c) capitalization of initial direct costs. The Company continues to evaluate the impact ASU 2016-02 will have on its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offers a broad range of data storage products that include Client Devices, Data Center Devices and Solutions, and Client Solutions. Client Devices consist of hard disk drives (“HDDs”) and solid state drives (“SSDs”) for computing devices; flash-based embedded storage products; and flash-based memory wafers. Data Center Devices and Solutions consist of high-capacity enterprise HDDs and high-performance enterprise SSDs, data center software and system solutions. Client Solutions consist of HDDs and SSDs embedded into external storage products and removable flash-based products. The Company also generates license and royalty revenues related to its IP patent licenses which are not material.</w:t>
      </w:r>
    </w:p>
    <w:p>
      <w:pPr>
        <w:spacing w:after="0" w:line="1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constrained based on the Company’s history with similar transactions and that uncertainties are resolved in a fairly short period of time.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revenue is from the sale of tangible products for which the performance obligations are satisfied at a point in time, generally upon delivery. The Company’s services revenue mainly includes post contract customer support, warranty as a service and maintenance contracts. The performance obligations for the Company’s services are generally satisfied ratably over the service period based on the nature of the service provided and contract terms. Similarly, revenue from patent licensing arrangements is recognized based on whether the arrangement provides the customer a right to use or right to access the IP. Revenue for a right to use arrangement is recognized at the time the control of the license is transferred to the customer. Revenue for a right to access arrangement is recognized over the contract period using the time lapse method. For the sales-based royalty arrangements, the Company estimates and recognizes revenue in the period in which customers’ licensable sales occur.</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customer payment terms are typically less than three months from the date control over the product or service is transferred to the customer. The Company uses the practical expedient and does not recognize a significant financing component for payment considerations of less than one year. The financing components of contracts with payment terms were not material.</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provides distributors and retailers (collectively referred to as “resellers”) with limited price protection for inventories held by resellers at the time of published list price reductions and/or a right of return. The Company also provides resellers and original equipment manufacturers (“OEMs”) with other sales incentive programs. The Company uses judgment in its assessment of variable consideration in contracts to be included in the transaction price. The Company uses the expected value method to arrive at the amount of variable consideration. The Company believes the estimate of variable consideration is not constrained and that the expected value method is the appropriate estimate of the amount of variable consideration based on the fact that the Company has a large number of contracts with similar characteristics. The Company’s methodology for the estimates is based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The Company also has programs under which it reimburses qualified distributors and retailers for certain marketing expenditures, which are typically recorded as a reduction of the transaction price and, therefore, of revenue.</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 immaterial amount of the Company’s revenue arrangements include more than one performance obligation, which are typically comprised of tangible products, software and support services for multiple distinct licenses. For these multiple-element arrangements,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The Company allocates the transaction price to the performance obligations of each distinct product or service, or distinct bundle, based on their relative standalone selling prices. Where a separate standalone selling price is not available, the transaction price is based on the Company’s best estimate of the selling price. The Company uses one or a combination of more than one of the following methods to estimate the standalone selling price: the adjusted market assessment approach, the expected cost plus a margin approach, or another suitable method based on the facts and circumstances.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where performance obligations are completed but the customer payments are not due until another performance obligation is satisfied. The Company did not have any contract assets as of either March 29, 2019 or the date of adoption of Topic 606.</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Prior to the adoption of the new revenue standard, the Company’s policy was to expense all contract acquisition costs as incurred.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and the related amortization as of and for the three and nine months ended March 29, 2019 were not material.</w:t>
      </w:r>
    </w:p>
    <w:p>
      <w:pPr>
        <w:spacing w:after="0" w:line="18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Contract liabilities relate to customers’ payments in advance of performance under the contract and primarily relate to remaining performance obligations under support and maintenance contracts. As of March 29, 2019 and the date of adoption of Topic 606, contract liabilities were $46 million and $120 million, respectively, and were reflected in Accrued expenses. Changes in the contract liability balance during the nine months ended March 29, 2019 include $93 million of revenue recognized during the period of which the substantial majority relates to the balance that was deferred at June 29, 2018, partially offset by payments received and billings in advance of satisfying performance obligations.</w:t>
      </w:r>
    </w:p>
    <w:p>
      <w:pPr>
        <w:spacing w:after="0" w:line="184" w:lineRule="exact"/>
        <w:rPr>
          <w:sz w:val="20"/>
          <w:szCs w:val="20"/>
          <w:color w:val="auto"/>
        </w:rPr>
      </w:pPr>
    </w:p>
    <w:p>
      <w:pPr>
        <w:ind w:right="360" w:firstLine="324"/>
        <w:spacing w:after="0" w:line="273" w:lineRule="auto"/>
        <w:rPr>
          <w:sz w:val="20"/>
          <w:szCs w:val="20"/>
          <w:color w:val="auto"/>
        </w:rPr>
      </w:pPr>
      <w:r>
        <w:rPr>
          <w:rFonts w:ascii="Times New Roman" w:cs="Times New Roman" w:eastAsia="Times New Roman" w:hAnsi="Times New Roman"/>
          <w:sz w:val="17"/>
          <w:szCs w:val="17"/>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March 29, 2019 was $204 million, which is mainly attributable to the functional IP license and service arrangements. The Company expects to recognize this amount as revenue as follows: $20 million during the remainder of fiscal 2019, $62 million in fiscal 2020, $47 million in fiscal 2021 and $75 million thereafter.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disaggregated revenue information is as follows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16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2019</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2018</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2019</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30, 2018</w:t>
            </w:r>
          </w:p>
        </w:tc>
      </w:tr>
      <w:tr>
        <w:trPr>
          <w:trHeight w:val="191"/>
        </w:trPr>
        <w:tc>
          <w:tcPr>
            <w:tcW w:w="1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5"/>
          </w:tcPr>
          <w:p>
            <w:pPr>
              <w:ind w:left="44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64"/>
        </w:trPr>
        <w:tc>
          <w:tcPr>
            <w:tcW w:w="16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by End Market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Client Devices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6,489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7,634</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Data Center Devices &amp; Solutions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4,463</w:t>
            </w:r>
          </w:p>
        </w:tc>
      </w:tr>
      <w:tr>
        <w:trPr>
          <w:trHeight w:val="237"/>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Client Solutions</w:t>
            </w: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3,433</w:t>
            </w:r>
          </w:p>
        </w:tc>
      </w:tr>
      <w:tr>
        <w:trPr>
          <w:trHeight w:val="33"/>
        </w:trPr>
        <w:tc>
          <w:tcPr>
            <w:tcW w:w="1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15,530</w:t>
            </w:r>
          </w:p>
        </w:tc>
      </w:tr>
      <w:tr>
        <w:trPr>
          <w:trHeight w:val="20"/>
        </w:trPr>
        <w:tc>
          <w:tcPr>
            <w:tcW w:w="1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1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by Form Factor</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HDD</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2,640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6,618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7,944</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Flash-based</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7,586</w:t>
            </w:r>
          </w:p>
        </w:tc>
      </w:tr>
      <w:tr>
        <w:trPr>
          <w:trHeight w:val="217"/>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5,013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15,530</w:t>
            </w:r>
          </w:p>
        </w:tc>
      </w:tr>
      <w:tr>
        <w:trPr>
          <w:trHeight w:val="73"/>
        </w:trPr>
        <w:tc>
          <w:tcPr>
            <w:tcW w:w="1620" w:type="dxa"/>
            <w:vAlign w:val="bottom"/>
            <w:tcBorders>
              <w:bottom w:val="single" w:sz="8" w:color="CCEEFF"/>
            </w:tcBorders>
          </w:tcPr>
          <w:p>
            <w:pPr>
              <w:spacing w:after="0"/>
              <w:rPr>
                <w:sz w:val="6"/>
                <w:szCs w:val="6"/>
                <w:color w:val="auto"/>
              </w:rPr>
            </w:pPr>
          </w:p>
        </w:tc>
        <w:tc>
          <w:tcPr>
            <w:tcW w:w="34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278"/>
        </w:trPr>
        <w:tc>
          <w:tcPr>
            <w:tcW w:w="162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4"/>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 by Geography (%)</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1620" w:type="dxa"/>
            <w:vAlign w:val="bottom"/>
          </w:tcPr>
          <w:p>
            <w:pPr>
              <w:spacing w:after="0"/>
              <w:rPr>
                <w:sz w:val="4"/>
                <w:szCs w:val="4"/>
                <w:color w:val="auto"/>
              </w:rPr>
            </w:pPr>
          </w:p>
        </w:tc>
        <w:tc>
          <w:tcPr>
            <w:tcW w:w="3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Americas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Asia</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w:t>
            </w:r>
          </w:p>
        </w:tc>
      </w:tr>
      <w:tr>
        <w:trPr>
          <w:trHeight w:val="135"/>
        </w:trPr>
        <w:tc>
          <w:tcPr>
            <w:tcW w:w="162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r>
    </w:tbl>
    <w:p>
      <w:pPr>
        <w:spacing w:after="0" w:line="103" w:lineRule="exact"/>
        <w:rPr>
          <w:sz w:val="20"/>
          <w:szCs w:val="20"/>
          <w:color w:val="auto"/>
        </w:rPr>
      </w:pPr>
    </w:p>
    <w:p>
      <w:pPr>
        <w:ind w:left="340" w:right="160" w:hanging="332"/>
        <w:spacing w:after="0" w:line="218" w:lineRule="auto"/>
        <w:tabs>
          <w:tab w:leader="none" w:pos="34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Prior year information is presented in accordance with the accounting guidance in effect during that period and has not been updated for Topic 606. The impact of the adoption of Topic 606 was not material.</w:t>
      </w:r>
    </w:p>
    <w:p>
      <w:pPr>
        <w:spacing w:after="0" w:line="199"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Company’s top 10 customers accounted for 41% and 45% of its net revenue for the three and nine months ended March 29, 2019, respectively, and 44% and 42% of its net revenue for the three and nine months ended March 30, 2018, respectively. For the three and nine months ended March 29, 2019 and March 30, 2018, no single customer accounted for 10% or more of the Company’s net revenue.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Supplemental Financial Statement Data</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connection with factoring agreements, the Company sells trade accounts receivable without recourse to third party purchasers in exchange for cash. During the nine months ended March 29, 2019, the Company sold trade accounts receivable and received cash proceeds of $702 million. The discounts on the trade accounts receivable sold during the period were not material and were recorded within Other income (expense), net in the Condensed Consolidated Financial Statements. During the nine months ended March 30, 2018, the Company did not sell any trade accounts receivable.</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1,048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Work-in-process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878</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1,018</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2,944</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1,949</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7,209</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440</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Construction-in-process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234</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10,638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10,186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(7,091)</w:t>
            </w:r>
          </w:p>
        </w:tc>
      </w:tr>
      <w:tr>
        <w:trPr>
          <w:trHeight w:val="24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3,031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3,095</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Company tests for impairment, at a minimum, on an annual basis or earlier where certain events or changes in circumstances indicate that goodwill may more likely than not be impaired. The Company has experienced fluctuations in the market price of its stock, which resulted in the Company’s market capitalization decreasing below book value for eleven trading days near the end of the second quarter and beginning of the third quarter of fiscal 2019. The fair value of the Company using a market capitalization approach based on the Company’s share price would include a control premium based on recent transactions that have occurred in the technology industry. This indicative fair value exceeded the Company’s book value; therefore, management did not believe that it was more likely than not that goodwill was impaired as of March 29,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Company’s regularly scheduled annual impairment test is performed as of the first day of its fiscal fourth quarter.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assessment to determine the amount of impairment. 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results of operations, macroeconomic conditions or other factors. The Company is in the process of completing its annual impairment test.</w:t>
      </w:r>
    </w:p>
    <w:p>
      <w:pPr>
        <w:spacing w:after="0" w:line="18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If there are significant decreases in the Company’s stock price in the future or other unfavorable factors, the Company may be required to perform a goodwill impairment assessment, which may result in the recognition of a goodwill impairment that could be material to the Consolidated Financial Statements.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5,824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5,818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80</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w:t>
            </w:r>
          </w:p>
        </w:tc>
      </w:tr>
      <w:tr>
        <w:trPr>
          <w:trHeight w:val="244"/>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1,918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2,680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During the three and nine months ended March 29, 2019, the Company reclassified $8 million of acquired IPR&amp;D to existing technology and commenced amortization over its estimated useful life of 2 years.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March 29, 2019</w:t>
            </w:r>
          </w:p>
        </w:tc>
        <w:tc>
          <w:tcPr>
            <w:tcW w:w="180" w:type="dxa"/>
            <w:vAlign w:val="bottom"/>
          </w:tcPr>
          <w:p>
            <w:pPr>
              <w:spacing w:after="0"/>
              <w:rPr>
                <w:sz w:val="12"/>
                <w:szCs w:val="12"/>
                <w:color w:val="auto"/>
              </w:rPr>
            </w:pPr>
          </w:p>
        </w:tc>
        <w:tc>
          <w:tcPr>
            <w:tcW w:w="12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30, 2018</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 to operations</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Utilization</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portion of the warranty accrual is classified in Accrued expenses and the long-term portion is classified in Other liabilities as noted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Warranty accrual</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w:t>
            </w: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168</w:t>
            </w:r>
          </w:p>
        </w:tc>
      </w:tr>
      <w:tr>
        <w:trPr>
          <w:trHeight w:val="33"/>
        </w:trPr>
        <w:tc>
          <w:tcPr>
            <w:tcW w:w="8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portion</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150</w:t>
            </w:r>
          </w:p>
        </w:tc>
      </w:tr>
      <w:tr>
        <w:trPr>
          <w:trHeight w:val="24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warranty accrual</w:t>
            </w:r>
          </w:p>
        </w:tc>
        <w:tc>
          <w:tcPr>
            <w:tcW w:w="1100" w:type="dxa"/>
            <w:vAlign w:val="bottom"/>
            <w:tcBorders>
              <w:top w:val="single" w:sz="8" w:color="auto"/>
              <w:bottom w:val="single" w:sz="8" w:color="auto"/>
            </w:tcBorders>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318</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net tax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1,315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940</w:t>
            </w:r>
          </w:p>
        </w:tc>
      </w:tr>
      <w:tr>
        <w:trPr>
          <w:trHeight w:val="24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2,178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2,255</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comprehensive income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4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3"/>
                <w:szCs w:val="13"/>
                <w:color w:val="auto"/>
              </w:rPr>
            </w:pPr>
          </w:p>
        </w:tc>
        <w:tc>
          <w:tcPr>
            <w:tcW w:w="13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Derivative</w:t>
            </w:r>
          </w:p>
        </w:tc>
        <w:tc>
          <w:tcPr>
            <w:tcW w:w="12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10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June 29,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benefit related to items of other comprehensive loss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current-period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March 29, 2019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29, 2019 and March 30, 2018, the amounts reclassified out of AOCI related to derivative contracts were not material and substantially all were charged to Cost of revenue in the Condensed Consolidated Statements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 Measurements and Investments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total cash, cash equivalents and available-for-sale securities was as follows: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6"/>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24"/>
                <w:szCs w:val="24"/>
                <w:color w:val="auto"/>
              </w:rPr>
            </w:pPr>
          </w:p>
        </w:tc>
        <w:tc>
          <w:tcPr>
            <w:tcW w:w="10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04"/>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24"/>
                <w:szCs w:val="24"/>
                <w:color w:val="auto"/>
              </w:rPr>
            </w:pPr>
          </w:p>
        </w:tc>
      </w:tr>
      <w:tr>
        <w:trPr>
          <w:trHeight w:val="255"/>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3,682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5,005</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Short-term available-for-sale securities (included within Other current assets)</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available-for-sale securities (included within 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93</w:t>
            </w:r>
          </w:p>
        </w:tc>
      </w:tr>
      <w:tr>
        <w:trPr>
          <w:trHeight w:val="244"/>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cash, cash equivalents and available-for-sale securities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3,801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5,121</w:t>
            </w: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2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for substantially the full term of the assets or liabilities.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2019 and June 29, 2018, and indicate the fair value hierarchy of the valuation techniques utilized to determine such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2019</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1,508</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1,514</w:t>
            </w:r>
          </w:p>
        </w:tc>
      </w:tr>
      <w:tr>
        <w:trPr>
          <w:trHeight w:val="20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Short-term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Municipal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short-term available-for-sale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0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Long-term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long-term available-for-sale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w:t>
            </w:r>
          </w:p>
        </w:tc>
      </w:tr>
      <w:tr>
        <w:trPr>
          <w:trHeight w:val="21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217"/>
        </w:trPr>
        <w:tc>
          <w:tcPr>
            <w:tcW w:w="5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1,514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1,658</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r>
      <w:tr>
        <w:trPr>
          <w:trHeight w:val="217"/>
        </w:trPr>
        <w:tc>
          <w:tcPr>
            <w:tcW w:w="5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June 29,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2,558</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Short-term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Equity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short-term available-for-sale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Long-term available-for-sale securities: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U.S. Treasury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International government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Municipal notes and bonds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long-term available-for-sale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and nine months ended March 29, 2019, the Company had no transfers of financial assets and liabilities between levels.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cost basis of the Company’s investments classified as available-for-sale securities, individually and in the aggregate, approximated its fair value as of March 29, 2019 and June 29, 2018.</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Equity Securities Without a Readily Determinable Fair Value (“RDFV”)</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certain strategic investments for the promotion of business and strategic objectives. The equity securities of these privately-held companies do not have a RDFV. Under ASU 2016-01, these equity securities are now measured and recorded using the measurement alternative, which is cost minus impairment, if any, plus or minus changes resulting from qualifying observable price changes. In addition, the existing impairment model has been replaced with a new one-step qualitative impairment model. Adjustments resulting from impairments and qualifying observable price changes are recorded in Other income (expense), net in the Condensed Consolidated Statements of Operations. As of March 29, 2019 and June 30, 2018, these investments were not material.</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third quarter of 2019 and the fourth quarter of 2018,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2019</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2018</w:t>
            </w:r>
          </w:p>
        </w:tc>
        <w:tc>
          <w:tcPr>
            <w:tcW w:w="1000" w:type="dxa"/>
            <w:vAlign w:val="bottom"/>
            <w:tcBorders>
              <w:bottom w:val="single" w:sz="8" w:color="auto"/>
            </w:tcBorders>
          </w:tcPr>
          <w:p>
            <w:pPr>
              <w:spacing w:after="0"/>
              <w:rPr>
                <w:sz w:val="16"/>
                <w:szCs w:val="16"/>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Pr>
          <w:p>
            <w:pPr>
              <w:spacing w:after="0"/>
              <w:rPr>
                <w:sz w:val="12"/>
                <w:szCs w:val="12"/>
                <w:color w:val="auto"/>
              </w:rPr>
            </w:pPr>
          </w:p>
        </w:tc>
        <w:tc>
          <w:tcPr>
            <w:tcW w:w="11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34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Pr>
          <w:p>
            <w:pPr>
              <w:spacing w:after="0"/>
              <w:rPr>
                <w:sz w:val="12"/>
                <w:szCs w:val="12"/>
                <w:color w:val="auto"/>
              </w:rPr>
            </w:pPr>
          </w:p>
        </w:tc>
        <w:tc>
          <w:tcPr>
            <w:tcW w:w="1000" w:type="dxa"/>
            <w:vAlign w:val="bottom"/>
          </w:tcPr>
          <w:p>
            <w:pPr>
              <w:jc w:val="right"/>
              <w:ind w:right="521"/>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1"/>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0.50% convertible senior notes due 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Variable interest rate Term Loan A-1 maturing 2023</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4,889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4,771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5,013</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Variable interest rate U.S. Term Loan B-4 maturing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2,452</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1,114</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4.750% senior unsecured notes due 2026</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2,282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2,238</w:t>
            </w:r>
          </w:p>
        </w:tc>
      </w:tr>
      <w:tr>
        <w:trPr>
          <w:trHeight w:val="244"/>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10,585</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10,355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10,672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10,851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of March 29, 2019,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interest rate swaps that were designated as cash flow hedges. The Company did not have any foreign exchange forward contracts with credit-risk-related contingent features. As of March 29, 2019, the amount of existing net losses related to cash flow hedges recorded in AOCI was not material and the majority is expected to be reclassified to earnings over the next twelve months.</w:t>
      </w:r>
    </w:p>
    <w:p>
      <w:pPr>
        <w:spacing w:after="0" w:line="18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Changes in fair values of the non-designated foreign exchange contracts are recognized in Other income (expense), net and are largely offset by corresponding changes in the fair values of the foreign currency denominated monetary assets and liabilities. For each of the three and nine months ended March 29, 2019 and March 30, 2018, total net realized and unrealized transaction and foreign exchange contract currency gains and losses were not material to the Company’s Condensed Consolidated Financial Statements.</w:t>
      </w:r>
    </w:p>
    <w:p>
      <w:pPr>
        <w:spacing w:after="0" w:line="178"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Measurements and Investments</w:t>
      </w:r>
      <w:r>
        <w:rPr>
          <w:rFonts w:ascii="Times New Roman" w:cs="Times New Roman" w:eastAsia="Times New Roman" w:hAnsi="Times New Roman"/>
          <w:sz w:val="18"/>
          <w:szCs w:val="18"/>
          <w:color w:val="auto"/>
        </w:rPr>
        <w:t>, for additional disclosures related to the fair value of the Company’s foreign exchange forward contracts.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Netting Arrangements</w:t>
      </w:r>
    </w:p>
    <w:p>
      <w:pPr>
        <w:spacing w:after="0" w:line="227"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March 29, 2019 and June 29, 2018,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240" w:top="12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7520" w:type="dxa"/>
            <w:vAlign w:val="bottom"/>
          </w:tcPr>
          <w:p>
            <w:pPr>
              <w:jc w:val="center"/>
              <w:ind w:right="707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consisted of the following as of March 29, 2019 and June 29, 2018:</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02"/>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21"/>
                <w:szCs w:val="21"/>
                <w:color w:val="auto"/>
              </w:rPr>
            </w:pPr>
          </w:p>
        </w:tc>
      </w:tr>
      <w:tr>
        <w:trPr>
          <w:trHeight w:val="255"/>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0.50% convertible senior notes due 2020</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Revolving credit facility maturing 2023</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Variable interest rate Term Loan A-1 maturing 2023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4,991</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Variable interest rate U.S. Term Loan B-4 maturing 2023</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2,449</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1,100</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4.750% senior unsecured notes due 2026</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2,300</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10,762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11,375</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Issuance costs and debt discounts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7"/>
              </w:rPr>
              <w:t>Subtotal</w:t>
            </w:r>
          </w:p>
        </w:tc>
        <w:tc>
          <w:tcPr>
            <w:tcW w:w="75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10,585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11,172</w:t>
            </w:r>
          </w:p>
        </w:tc>
      </w:tr>
      <w:tr>
        <w:trPr>
          <w:trHeight w:val="237"/>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jc w:val="center"/>
              <w:ind w:right="6250"/>
              <w:spacing w:after="0"/>
              <w:rPr>
                <w:sz w:val="20"/>
                <w:szCs w:val="20"/>
                <w:color w:val="auto"/>
              </w:rPr>
            </w:pPr>
            <w:r>
              <w:rPr>
                <w:rFonts w:ascii="Times New Roman" w:cs="Times New Roman" w:eastAsia="Times New Roman" w:hAnsi="Times New Roman"/>
                <w:sz w:val="16"/>
                <w:szCs w:val="16"/>
                <w:color w:val="auto"/>
                <w:w w:val="99"/>
              </w:rPr>
              <w:t>Long-term debt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10,309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10,993</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November 2018, the Company repaid the previously outstanding borrowings under its revolving credit facility. At March 29, 2019, the Company’s borrowing capacity under the revolving credit facility was $2.25 billion.</w:t>
      </w:r>
    </w:p>
    <w:p>
      <w:pPr>
        <w:spacing w:after="0" w:line="16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credit agreement governing the Company’s revolving credit facility and term loans (as amended, the “Credit Agreement”) requires the Company to comply with certain financial covenants with respect to the revolving credit facility and Term Loan A-1, consisting of a Leverage Ratio and an Interest Coverage Ratio (each as defined below). These covenants are based upon a trailing twelve-month consolidated adjusted EBITDA as defined in the Credit Agreement (“Adjusted EBITDA”). Adjusted EBITDA is defined as net income (loss) plus interest expense, income tax expense (benefit) and depreciation and amortization as well as other contractual adjustments as provided for in the Credit Agreement. As of March 29, 2019, the Company was in compliance with all financial covenants under the Credit Agreement.</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April 2019, the Company amended the Credit Agreement for the purposes of providing additional flexibility by adjusting the leverage ratio maintenance covenant levels applicable to the term A loan and revolving facilities thereunder and amending the definition of Consolidated Adjusted EBITDA under the financial maintenance covenants to include an addback for certain depreciation related payments with respect to the Company’s Flash Ventures. As amended, the Company is now required to maintain a maximum ratio of total funded debt to trailing twelve-month Adjusted EBITDA (“Leverage Ratio”) at the end of each quarter of 4.25 to 1.00 through the quarter ending October 2, 2020, 4.00 to 1.00 through the quarter ending July 2, 2021, 3.75 to 1.00 through the quarter ending December 31, 2021, 3.50 to 1.00 through the quarter ending July 1, 2022, and 3.25 to 1.00 thereafter. In addition, the Company is required to maintain a minimum ratio of Adjusted EBITDA to interest expense (“Interest Coverage Ratio”), both calculated on a trailing twelve-month basis, at the end of each quarter of 3.50 to 1.00.</w:t>
      </w:r>
    </w:p>
    <w:p>
      <w:pPr>
        <w:spacing w:after="0" w:line="18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Credit Agreement also requires the Company and its subsidiaries to comply with customary covenants that include,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certain modifications of organizational documents and certain debt agreements. In addition, the indentures governing the Company’s 2026 Senior Unsecured Notes and the 2024 Convertible Notes contain restrictive covenants that limit the Company’s and its subsidiaries’ ability to, among other things, consolidate, merge or sell all or substantially all of their assets; create liens; and incur, assume or guarantee additional indebtedness.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Condensed Consolidated Financial Statements. The expected long-term rate of return on the Japanese Plan assets is 2.5%.</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Japanese Plan: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Benefit obligations</w:t>
            </w: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260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200</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Unfunded status</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unfunded amounts related to the Japanese Plan as recognized on the Company’s Condensed Consolidated Balance Sheets: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340" w:type="dxa"/>
            <w:vAlign w:val="bottom"/>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120" w:type="dxa"/>
            <w:vAlign w:val="bottom"/>
            <w:tcBorders>
              <w:bottom w:val="single" w:sz="8" w:color="CCEEFF"/>
            </w:tcBorders>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liabilities</w:t>
            </w:r>
          </w:p>
        </w:tc>
        <w:tc>
          <w:tcPr>
            <w:tcW w:w="1120" w:type="dxa"/>
            <w:vAlign w:val="bottom"/>
          </w:tcPr>
          <w:p>
            <w:pPr>
              <w:spacing w:after="0"/>
              <w:rPr>
                <w:sz w:val="20"/>
                <w:szCs w:val="20"/>
                <w:color w:val="auto"/>
              </w:rPr>
            </w:pP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59</w:t>
            </w:r>
          </w:p>
        </w:tc>
      </w:tr>
      <w:tr>
        <w:trPr>
          <w:trHeight w:val="33"/>
        </w:trPr>
        <w:tc>
          <w:tcPr>
            <w:tcW w:w="8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amount recognized</w:t>
            </w: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periodic benefit costs were not material for the three and nine months ended March 29,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9.</w:t>
        <w:tab/>
        <w:t>Commitments, Contingencies and Related Parties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2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Company’s business ventures with Toshiba Memory Corporation (“TMC”) consist of three separate legal entities: Flash Partners Ltd. (“Flash Partners”), Flash Alliance Ltd. (“Flash Alliance”), and Flash Forward Ltd. (“Flash Forward”), collectively referred to as “Flash Ventures”.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 as of March 29, 2019 and June 29,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767</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700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191</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116</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2,105</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29, 2019, the Company made net payments to Flash Ventures of $1.0 billion and $2.9 billion, respectively, for purchased flash-based memory wafers and net loans and investments.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assesses financing receivable credit quality through financial and operational reviews of the borrower and creditworthiness, including credit rating agency ratings, of significant investors of the borrower, where material or known. There were no impairments in the three and nine months ended March 29, 2019 or March 30, 2018.</w:t>
      </w:r>
    </w:p>
    <w:p>
      <w:pPr>
        <w:spacing w:after="0" w:line="176"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As of March 29, 2019 and June 29, 2018, the Company had accounts payable balances due to Flash Ventures of $312 million and $259 million, respectively.</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Company’s maximum reasonably estimable loss exposure (excluding lost profits) as a result of its involvement with Flash Ventures, based upon the Japanese yen to U.S. dollar exchange rate at March 29, 2019, is presented below. Investments in Flash Ventures are denominated in Japanese yen, and the maximum estimable loss exposure excludes any cumulative translation adjustment due to revaluation from the Japanese yen to the U.S. dollar.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9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82"/>
        </w:trPr>
        <w:tc>
          <w:tcPr>
            <w:tcW w:w="9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receivable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1,803</w:t>
            </w:r>
          </w:p>
        </w:tc>
      </w:tr>
      <w:tr>
        <w:trPr>
          <w:trHeight w:val="224"/>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investments</w:t>
            </w:r>
          </w:p>
        </w:tc>
        <w:tc>
          <w:tcPr>
            <w:tcW w:w="26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600</w:t>
            </w:r>
          </w:p>
        </w:tc>
      </w:tr>
      <w:tr>
        <w:trPr>
          <w:trHeight w:val="33"/>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1,421</w:t>
            </w:r>
          </w:p>
        </w:tc>
      </w:tr>
      <w:tr>
        <w:trPr>
          <w:trHeight w:val="224"/>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274</w:t>
            </w:r>
          </w:p>
        </w:tc>
      </w:tr>
      <w:tr>
        <w:trPr>
          <w:trHeight w:val="33"/>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4,098</w:t>
            </w: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both"/>
        <w:ind w:right="40" w:firstLine="324"/>
        <w:spacing w:after="0" w:line="277" w:lineRule="auto"/>
        <w:rPr>
          <w:sz w:val="20"/>
          <w:szCs w:val="20"/>
          <w:color w:val="auto"/>
        </w:rPr>
      </w:pPr>
      <w:r>
        <w:rPr>
          <w:rFonts w:ascii="Times New Roman" w:cs="Times New Roman" w:eastAsia="Times New Roman" w:hAnsi="Times New Roman"/>
          <w:sz w:val="17"/>
          <w:szCs w:val="17"/>
          <w:color w:val="auto"/>
        </w:rPr>
        <w:t>The Company is committed to purchase its provided three-month forecast of Flash Ventures’ flash-based wafer supply,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16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Flash Ventures has historically operated near 100% of its manufacturing capacity. As a result of current supply/demand imbalance for flash-based products, the Company temporarily reduced its utilization of its share of Flash Ventures’ manufacturing capacity to an abnormally low level to more closely align the Company’s flash-based wafer supply with the projected demand. The Company incurred costs of $148 million and $197 million associated with the reduction in utilization which was recorded as a charge to cost of revenue in the three and nine months ended March 29, 2019, respectively.</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Off-Balance Sheet Liabilities</w:t>
      </w:r>
    </w:p>
    <w:p>
      <w:pPr>
        <w:spacing w:after="0" w:line="227"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16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March 29,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Lease Amounts</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(Japanese yen, in</w:t>
            </w:r>
          </w:p>
        </w:tc>
        <w:tc>
          <w:tcPr>
            <w:tcW w:w="1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i w:val="1"/>
                <w:iCs w:val="1"/>
                <w:color w:val="auto"/>
              </w:rPr>
              <w:t>(U.S. dollar, in millions)</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Times New Roman" w:cs="Times New Roman" w:eastAsia="Times New Roman" w:hAnsi="Times New Roman"/>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157</w:t>
            </w:r>
          </w:p>
        </w:tc>
        <w:tc>
          <w:tcPr>
            <w:tcW w:w="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1,421</w:t>
            </w:r>
          </w:p>
        </w:tc>
        <w:tc>
          <w:tcPr>
            <w:tcW w:w="0" w:type="dxa"/>
            <w:vAlign w:val="bottom"/>
          </w:tcPr>
          <w:p>
            <w:pPr>
              <w:spacing w:after="0"/>
              <w:rPr>
                <w:sz w:val="1"/>
                <w:szCs w:val="1"/>
                <w:color w:val="auto"/>
              </w:rPr>
            </w:pP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March 29, 2019 in U.S. dollars, based upon the Japanese yen to U.S. dollar exchange rate as of March 29,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Payment of Principal</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Purchase Option</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Annual Installments</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Exercise Price at Final</w:t>
            </w:r>
          </w:p>
        </w:tc>
        <w:tc>
          <w:tcPr>
            <w:tcW w:w="140" w:type="dxa"/>
            <w:vAlign w:val="bottom"/>
          </w:tcPr>
          <w:p>
            <w:pPr>
              <w:spacing w:after="0"/>
              <w:rPr>
                <w:sz w:val="12"/>
                <w:szCs w:val="12"/>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Guarantee Amount</w:t>
            </w:r>
          </w:p>
        </w:tc>
        <w:tc>
          <w:tcPr>
            <w:tcW w:w="0" w:type="dxa"/>
            <w:vAlign w:val="bottom"/>
          </w:tcPr>
          <w:p>
            <w:pPr>
              <w:spacing w:after="0"/>
              <w:rPr>
                <w:sz w:val="1"/>
                <w:szCs w:val="1"/>
                <w:color w:val="auto"/>
              </w:rPr>
            </w:pPr>
          </w:p>
        </w:tc>
      </w:tr>
      <w:tr>
        <w:trPr>
          <w:trHeight w:val="193"/>
        </w:trPr>
        <w:tc>
          <w:tcPr>
            <w:tcW w:w="6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Lease Terms</w:t>
            </w:r>
          </w:p>
        </w:tc>
        <w:tc>
          <w:tcPr>
            <w:tcW w:w="1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Remaining three months of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and TMC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March 29, 2019, no amounts have been accrued in the Condensed Consolidated Financial Statements with respect to these indemnification agreements.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Unis Venture</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three and nine months ended March 29, 2019 and March 30, 2018, the Company recognized less than 1% of its consolidated revenue on products distributed by the Unis Venture. The outstanding accounts receivable due from and investment in the Unis Venture were not material to the Condensed Consolidated Financial Statements as of March 29, 2019 or June 29, 2018.</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Agreements</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purchase agreements with various component suppliers that carry fixed volumes and pricing, which obligates the Company to make certain future purchases, contingent on certain conditions of performance, quality and technology of the vendor’s components. As of March 29, 2019, the Company had the following minimum long-term purchase commitments: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Long-term purchase</w:t>
            </w:r>
          </w:p>
        </w:tc>
      </w:tr>
      <w:tr>
        <w:trPr>
          <w:trHeight w:val="195"/>
        </w:trPr>
        <w:tc>
          <w:tcPr>
            <w:tcW w:w="9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250"/>
        </w:trPr>
        <w:tc>
          <w:tcPr>
            <w:tcW w:w="9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center"/>
              <w:ind w:right="8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Fiscal year</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Remaining three months of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192</w:t>
            </w:r>
          </w:p>
        </w:tc>
      </w:tr>
      <w:tr>
        <w:trPr>
          <w:trHeight w:val="237"/>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16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208</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227</w:t>
            </w:r>
          </w:p>
        </w:tc>
      </w:tr>
      <w:tr>
        <w:trPr>
          <w:trHeight w:val="237"/>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2023 and thereafter</w:t>
            </w:r>
          </w:p>
        </w:tc>
        <w:tc>
          <w:tcPr>
            <w:tcW w:w="16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250</w:t>
            </w:r>
          </w:p>
        </w:tc>
      </w:tr>
      <w:tr>
        <w:trPr>
          <w:trHeight w:val="33"/>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892</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and financial statement line as well as the related tax benefit included in the Company’s Condensed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160" w:type="dxa"/>
            <w:vAlign w:val="bottom"/>
          </w:tcPr>
          <w:p>
            <w:pPr>
              <w:spacing w:after="0"/>
              <w:rPr>
                <w:sz w:val="12"/>
                <w:szCs w:val="12"/>
                <w:color w:val="auto"/>
              </w:rPr>
            </w:pPr>
          </w:p>
        </w:tc>
        <w:tc>
          <w:tcPr>
            <w:tcW w:w="1100" w:type="dxa"/>
            <w:vAlign w:val="bottom"/>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303"/>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2"/>
                <w:szCs w:val="12"/>
                <w:color w:val="auto"/>
              </w:rPr>
            </w:pPr>
          </w:p>
        </w:tc>
        <w:tc>
          <w:tcPr>
            <w:tcW w:w="120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5160" w:type="dxa"/>
            <w:vAlign w:val="bottom"/>
          </w:tcPr>
          <w:p>
            <w:pPr>
              <w:spacing w:after="0"/>
              <w:rPr>
                <w:sz w:val="16"/>
                <w:szCs w:val="16"/>
                <w:color w:val="auto"/>
              </w:rPr>
            </w:pPr>
          </w:p>
        </w:tc>
        <w:tc>
          <w:tcPr>
            <w:tcW w:w="1100" w:type="dxa"/>
            <w:vAlign w:val="bottom"/>
            <w:tcBorders>
              <w:bottom w:val="single" w:sz="8" w:color="auto"/>
            </w:tcBorders>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Options</w:t>
            </w:r>
          </w:p>
        </w:tc>
        <w:tc>
          <w:tcPr>
            <w:tcW w:w="1100" w:type="dxa"/>
            <w:vAlign w:val="bottom"/>
            <w:tcBorders>
              <w:bottom w:val="single" w:sz="8" w:color="CCEEFF"/>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and performance stock units</w:t>
            </w:r>
          </w:p>
        </w:tc>
        <w:tc>
          <w:tcPr>
            <w:tcW w:w="110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260</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w:t>
            </w:r>
          </w:p>
        </w:tc>
      </w:tr>
      <w:tr>
        <w:trPr>
          <w:trHeight w:val="217"/>
        </w:trPr>
        <w:tc>
          <w:tcPr>
            <w:tcW w:w="5160" w:type="dxa"/>
            <w:vAlign w:val="bottom"/>
          </w:tcPr>
          <w:p>
            <w:pPr>
              <w:jc w:val="center"/>
              <w:ind w:right="4179"/>
              <w:spacing w:after="0"/>
              <w:rPr>
                <w:sz w:val="20"/>
                <w:szCs w:val="20"/>
                <w:color w:val="auto"/>
              </w:rPr>
            </w:pPr>
            <w:r>
              <w:rPr>
                <w:rFonts w:ascii="Times New Roman" w:cs="Times New Roman" w:eastAsia="Times New Roman" w:hAnsi="Times New Roman"/>
                <w:sz w:val="16"/>
                <w:szCs w:val="16"/>
                <w:color w:val="auto"/>
              </w:rPr>
              <w:t>Subtotal</w:t>
            </w: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299</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Tax benefit</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44"/>
        </w:trPr>
        <w:tc>
          <w:tcPr>
            <w:tcW w:w="5160" w:type="dxa"/>
            <w:vAlign w:val="bottom"/>
          </w:tcPr>
          <w:p>
            <w:pPr>
              <w:jc w:val="center"/>
              <w:ind w:right="4199"/>
              <w:spacing w:after="0"/>
              <w:rPr>
                <w:sz w:val="20"/>
                <w:szCs w:val="20"/>
                <w:color w:val="auto"/>
              </w:rPr>
            </w:pPr>
            <w:r>
              <w:rPr>
                <w:rFonts w:ascii="Times New Roman" w:cs="Times New Roman" w:eastAsia="Times New Roman" w:hAnsi="Times New Roman"/>
                <w:sz w:val="16"/>
                <w:szCs w:val="16"/>
                <w:color w:val="auto"/>
                <w:w w:val="94"/>
              </w:rPr>
              <w:t>Total</w:t>
            </w:r>
          </w:p>
        </w:tc>
        <w:tc>
          <w:tcPr>
            <w:tcW w:w="110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248</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603"/>
        </w:trPr>
        <w:tc>
          <w:tcPr>
            <w:tcW w:w="516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160" w:type="dxa"/>
            <w:vAlign w:val="bottom"/>
          </w:tcPr>
          <w:p>
            <w:pPr>
              <w:spacing w:after="0"/>
              <w:rPr>
                <w:sz w:val="12"/>
                <w:szCs w:val="12"/>
                <w:color w:val="auto"/>
              </w:rPr>
            </w:pPr>
          </w:p>
        </w:tc>
        <w:tc>
          <w:tcPr>
            <w:tcW w:w="1100" w:type="dxa"/>
            <w:vAlign w:val="bottom"/>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303"/>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2"/>
                <w:szCs w:val="12"/>
                <w:color w:val="auto"/>
              </w:rPr>
            </w:pPr>
          </w:p>
        </w:tc>
        <w:tc>
          <w:tcPr>
            <w:tcW w:w="120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5160" w:type="dxa"/>
            <w:vAlign w:val="bottom"/>
          </w:tcPr>
          <w:p>
            <w:pPr>
              <w:spacing w:after="0"/>
              <w:rPr>
                <w:sz w:val="16"/>
                <w:szCs w:val="16"/>
                <w:color w:val="auto"/>
              </w:rPr>
            </w:pPr>
          </w:p>
        </w:tc>
        <w:tc>
          <w:tcPr>
            <w:tcW w:w="1100" w:type="dxa"/>
            <w:vAlign w:val="bottom"/>
            <w:tcBorders>
              <w:bottom w:val="single" w:sz="8" w:color="auto"/>
            </w:tcBorders>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1100" w:type="dxa"/>
            <w:vAlign w:val="bottom"/>
            <w:tcBorders>
              <w:bottom w:val="single" w:sz="8" w:color="CCEEFF"/>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0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134</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127</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11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5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jc w:val="center"/>
              <w:ind w:right="4179"/>
              <w:spacing w:after="0"/>
              <w:rPr>
                <w:sz w:val="20"/>
                <w:szCs w:val="20"/>
                <w:color w:val="auto"/>
              </w:rPr>
            </w:pPr>
            <w:r>
              <w:rPr>
                <w:rFonts w:ascii="Times New Roman" w:cs="Times New Roman" w:eastAsia="Times New Roman" w:hAnsi="Times New Roman"/>
                <w:sz w:val="16"/>
                <w:szCs w:val="16"/>
                <w:color w:val="auto"/>
              </w:rPr>
              <w:t>Subtotal</w:t>
            </w:r>
          </w:p>
        </w:tc>
        <w:tc>
          <w:tcPr>
            <w:tcW w:w="1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299</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benefit</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5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jc w:val="center"/>
              <w:ind w:right="4199"/>
              <w:spacing w:after="0"/>
              <w:rPr>
                <w:sz w:val="20"/>
                <w:szCs w:val="20"/>
                <w:color w:val="auto"/>
              </w:rPr>
            </w:pPr>
            <w:r>
              <w:rPr>
                <w:rFonts w:ascii="Times New Roman" w:cs="Times New Roman" w:eastAsia="Times New Roman" w:hAnsi="Times New Roman"/>
                <w:sz w:val="16"/>
                <w:szCs w:val="16"/>
                <w:color w:val="auto"/>
                <w:w w:val="94"/>
              </w:rPr>
              <w:t>Total</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248</w:t>
            </w: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Compensation cost related to unvested stock options, restricted stock unit awards (“RSUs”), performance-based restricted stock unit awards (“PSUs”), and rights to purchase shares of common stock under the Company’s Employee Stock Purchase Plan (“ESPP”) will generally be amortized on a straight-line basis over the remaining average service period. The following table presents the unamortized compensation cost and weighted average service period of all unvested outstanding awards as of March 29,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4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(years)</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r>
      <w:tr>
        <w:trPr>
          <w:trHeight w:val="27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577</w:t>
            </w:r>
          </w:p>
        </w:tc>
        <w:tc>
          <w:tcPr>
            <w:tcW w:w="15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2.5</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ESPP</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62</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1.7</w:t>
            </w:r>
          </w:p>
        </w:tc>
      </w:tr>
      <w:tr>
        <w:trPr>
          <w:trHeight w:val="244"/>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2" w:lineRule="exact"/>
        <w:rPr>
          <w:sz w:val="20"/>
          <w:szCs w:val="20"/>
          <w:color w:val="auto"/>
        </w:rPr>
      </w:pPr>
    </w:p>
    <w:p>
      <w:pPr>
        <w:ind w:left="5620" w:right="4700" w:hanging="5612"/>
        <w:spacing w:after="0" w:line="721" w:lineRule="auto"/>
        <w:tabs>
          <w:tab w:leader="none" w:pos="328"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Weighted average service period assumes the performance metrics are met for the PSUs.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-939800</wp:posOffset>
            </wp:positionV>
            <wp:extent cx="1020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incentive plans: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4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500" w:type="dxa"/>
            <w:vAlign w:val="bottom"/>
          </w:tcPr>
          <w:p>
            <w:pPr>
              <w:jc w:val="right"/>
              <w:ind w:right="32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78"/>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Options outstanding at June 29, 2018</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Canceled or expired</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80.18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Options outstanding at March 29, 2019</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rPr>
              <w:t>65.07</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Exercisable at March 29, 2019</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69.46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2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Value at Vest Date</w:t>
            </w:r>
          </w:p>
        </w:tc>
        <w:tc>
          <w:tcPr>
            <w:tcW w:w="0" w:type="dxa"/>
            <w:vAlign w:val="bottom"/>
          </w:tcPr>
          <w:p>
            <w:pPr>
              <w:spacing w:after="0"/>
              <w:rPr>
                <w:sz w:val="1"/>
                <w:szCs w:val="1"/>
                <w:color w:val="auto"/>
              </w:rPr>
            </w:pPr>
          </w:p>
        </w:tc>
      </w:tr>
      <w:tr>
        <w:trPr>
          <w:trHeight w:val="191"/>
        </w:trPr>
        <w:tc>
          <w:tcPr>
            <w:tcW w:w="7200" w:type="dxa"/>
            <w:vAlign w:val="bottom"/>
          </w:tcPr>
          <w:p>
            <w:pPr>
              <w:spacing w:after="0"/>
              <w:rPr>
                <w:sz w:val="16"/>
                <w:szCs w:val="16"/>
                <w:color w:val="auto"/>
              </w:rPr>
            </w:pPr>
          </w:p>
        </w:tc>
        <w:tc>
          <w:tcPr>
            <w:tcW w:w="12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78"/>
        </w:trPr>
        <w:tc>
          <w:tcPr>
            <w:tcW w:w="7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RSUs and PSUs outstanding at June 29, 2018</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Vested</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52.36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Forfeited</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RSUs and PSUs outstanding at March 29, 2019</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Company’s Board of Directors previously authorized $5.00 billion for the repurchase of the Company’s common stock. On July 25, 2018, the Company’s Board of Directors authorized a new $5.00 billion share repurchase program that is effective through July 25, 2023, replacing all prior programs. For the three months ended March 29, 2019, the Company did not make any stock repurchases. For the nine months ended March 29, 2019, the Company repurchased 0.8 million shares for a total cost of $61 million under the previous authorization and 7.6 million shares for a total cost of $502 million under the new authorization. Therefore, the Company’s stock repurchases under all stock repurchase authorizations in effect for the nine months ended March 29, 2019 totaled $563 million. The remaining amount available to be repurchased under the Company’s current stock repurchase program as of March 29, 2019 was $4.50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to Shareholders</w:t>
      </w:r>
    </w:p>
    <w:p>
      <w:pPr>
        <w:spacing w:after="0" w:line="229" w:lineRule="exact"/>
        <w:rPr>
          <w:sz w:val="20"/>
          <w:szCs w:val="20"/>
          <w:color w:val="auto"/>
        </w:rPr>
      </w:pPr>
    </w:p>
    <w:p>
      <w:pPr>
        <w:ind w:right="80" w:firstLine="324"/>
        <w:spacing w:after="0" w:line="313" w:lineRule="auto"/>
        <w:rPr>
          <w:sz w:val="20"/>
          <w:szCs w:val="20"/>
          <w:color w:val="auto"/>
        </w:rPr>
      </w:pPr>
      <w:r>
        <w:rPr>
          <w:rFonts w:ascii="Times New Roman" w:cs="Times New Roman" w:eastAsia="Times New Roman" w:hAnsi="Times New Roman"/>
          <w:sz w:val="17"/>
          <w:szCs w:val="17"/>
          <w:color w:val="auto"/>
        </w:rPr>
        <w:t>Since the first quarter of 2013, the Company has issued a quarterly cash dividend. During the nine months ended March 29, 2019, the Company declared aggregate cash dividends of $1.50 per share on its outstanding common stock totaling $436 million, including $146 million that was paid on April 15, 2019.</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May 2, 2019, the Board declared a cash dividend of $0.50 per share to shareholders of record as of June 28, 2019, which will be paid on July 15, 2019. The Company may modify, suspend or cancel its cash dividend policy in any manner and at any time.</w:t>
      </w: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240" w:top="121"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Income Tax Expense (Benefit)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2017 Act, enacted on December 22, 2017, includes a broad range of tax reform proposals affecting businesses, including a reduction in the U.S. federal corporate tax rate from 35% to 21%, a one-time mandatory deemed repatriation tax on earnings of certain foreign subsidiaries that were previously tax deferred and the creation of new taxes on certain foreign earnings.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When initially accounting for the tax effects of the enactment of the 2017 Act, the Company applied the applicable SEC guidance and made a reasonable estimate of the effects on the Company’s existing deferred tax balances and the one-time mandatory deemed repatriation tax required by the 2017 Act. As the Company finalized the accounting for the tax effects of the enactment of the 2017 Act during the one-year measurement period permitted by applicable SEC guidance, the Company reflected adjustments to the recorded provisional amounts. During the second quarter of fiscal 2019, the Company completed its accounting for the tax effects of the enactment of the 2017 Act. Although the U.S. Treasury and the Internal Revenue Service (“IRS”) have issued tax guidance on certain provisions of the 2017 Act since the enactment date, the Company anticipates the issuance of additional regulatory and interpretive guidance. Although the Company was able to apply a reasonable interpretation of the law along with any available guidance in finalizing its accounting for the tax effects of the 2017 Act, such additional regulatory or interpretive guidance would constitute new information which may require further refinements to its estimates in future periods.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regarding the significant provisions of the 2017 Act that impacted the Company is provided below.</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Re-measurement of deferred taxes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a provisional income tax benefit of $65 million for the year ended June 29, 2018, which related to the re-measurements of the Company’s deferred tax balances and is based primarily on the rates at which the deferred tax assets and liabilities are expected to reverse in the current and future fiscal years, which are generally 29% and 22%, respectively. As of December 28, 2018, the Company had finalized the accounting for the tax effects related to the re-measurements of the Company’s deferred tax balances with no material change for the six months ended December 28, 2018. During the three months ended March 29, 2019, the Company finalized the filing of its U.S. federal income tax return for the year ended June 29, 2018, which resulted in an additional income tax benefit of $5 million for the re-measurement of the Company’s deferred tax assets and liabilities that are expected to reverse at 22%.</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deemed repatriation tax</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transition from a global to a territorial U.S. tax system, companies are required to pay a mandatory deemed repatriation tax. For the year ended June 29, 2018, the Company recorded a provisional amount for the mandatory deemed repatriation tax liability of $1.57 billion for foreign subsidiaries. The calculation of the mandatory deemed repatriation tax liability is based upon post-1986 earnings and profits. In addition, the mandatory deemed repatriation tax is based on the amount of foreign earnings held in cash and other specified assets, which are taxed at 15.5% and 8%, respectively, and is payable over an 8-year period.</w:t>
      </w:r>
    </w:p>
    <w:p>
      <w:pPr>
        <w:spacing w:after="0" w:line="18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had finalized the accounting for the tax effects of the mandatory deemed repatriation tax during the one-year measurement period permitted by applicable SEC guidance. During the first quarter of fiscal 2019, the Company reduced its mandatory deemed repatriation tax liability by $302 million, of which $250 million was for the utilization of recorded deferred tax assets related to existing tax attributes. The utilization of the deferred tax assets was a reclassification that did not have an impact on the Company’s income tax provision for the three months ended September 28, 2018. The remaining $52 million reduction to the mandatory deemed repatriation tax primarily related to the Company’s decision to no longer carry forward its 2018 operating loss and, instead, apply it against the mandatory deemed repatriation tax. The $52 million benefit resulted from utilizing the existing fiscal year 2019 operating losses at a 28% tax rate on the Company’s 2018 tax return as compared to the carryforward tax rate of 21%. The Company’s estimate of the mandatory deemed repatriation tax liability after these refinements was $1.26 billion.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2019, the Company also finalized its post-1986 earnings and profits along with the amount of earnings held in cash and other specified assets and increased its mandatory deemed repatriation tax liability by $95 million. The Company’s estimate of the mandatory deemed repatriation tax liability after these refinements was $1.36 billion, excluding a $135 million increase in its liability for unrecognized tax benefits.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29, 2019, the Company finalized the filing of its U.S. federal income tax return for the year ended June 29, 2018, which resulted in a decrease to its mandatory repatriation tax liability by $105 million, of which $41 million related to the utilization of recorded deferred tax assets related to existing tax attributes. The utilization of the deferred tax assets resulted in an income tax benefit of $19 million for the three months ended March 29, 2019 with the remaining amount being a reclassification that did not have an impact on the Company’s income tax provision. The remaining $64 million benefit related to the issuance by the IRS of final regulations on January 15, 2019 with respect to the mandatory deemed repatriation tax liability. These regulations favorably impacted certain positions previously taken with respect to amounts recorded in the Company’s Consolidated Financial Statements. As of March 29, 2019, the Company’s estimate of the mandatory deemed repatriation tax liability after these refinements was $1.25 billion, excluding a $146 million liability for unrecognized tax benefits, which increased by $11 million from the second quarter.</w:t>
      </w:r>
    </w:p>
    <w:p>
      <w:pPr>
        <w:spacing w:after="0" w:line="18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During the one-year measurement period, the Company had evaluated the expected manner of recovery to determine whether or not to continue to assert indefinite reinvestment on a part or all the foreign undistributed earnings. This required the Company to re-evaluate its existing short and long-term capital allocation policies in light of the 2017 Act and calculate the tax cost that is incremental to the deemed repatriation tax of repatriating cash to the U.S. The provisional tax expense recorded by the Company as of June 28, 2018 was based upon an assumption that all of its foreign undistributed earnings are indefinitely reinvested.</w:t>
      </w:r>
    </w:p>
    <w:p>
      <w:pPr>
        <w:spacing w:after="0" w:line="18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During the second quarter of fiscal 2019, the Company had finalized the accounting for the tax effects of the mandatory deemed repatriation tax on its indefinite reinvestment assertion. As of the second quarter of fiscal 2019, the Company removed its permanent reinvestment assertion and intends to repatriate all of its foreign undistributed earnings. During the nine months ended March 29, 2019, the Company recorded a foreign income tax expense of $279 million related to foreign withholding taxes partially offset by foreign tax credits of $95 million. In addition, a state income tax expense of $54 million was recorded, partially offset by a decrease to the Company’s valuation allowance of $45 million. Amounts related to federal taxes other than the repatriation tax were not material. The Company’s decision to change its indefinite reinvestment assertion is based on interpretative guidance issued by the IRS to date related to the ordering and the taxation of a repatriation of the Company’s foreign undistributed earnings.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Deferred taxes on foreign earnings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shift to a territorial system for U.S. taxation, the new minimum tax on certain foreign earnings (“global intangible low-tax income”) provision of the 2017 Act imposes a tax on foreign earnings and profits in excess of a deemed return on tangible assets of foreign subsidiaries. This provision is effective for tax years beginning on or after January 1, 2018, which for the Company is the fiscal year that began on June 30, 2018 (fiscal year 2019). During the one-year measurement period permitted by applicable SEC guidance, the Company evaluated its accounting policy regarding whether to make an election to account for the effects of this provision either as a component of future income tax expense in the period in which the tax arises or as a component of deferred taxes on the related investments. Accordingly, no deferred tax assets and liabilities were established for timing differences between foreign U.S. GAAP income and U.S. taxable income that would be expected to reverse under the new minimum tax in future years for the year ended June 28, 2018.</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June 28, 2018, the Company made the election to account for the effects of the global intangible low-tax income provision as a component of future income tax expense in the period in which the tax arises. There was no change in the Company’s accounting as a result of this election.</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21" w:right="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 which includes the discrete effects of the finalization of the accounting for the tax effects of the enactment of the 2017 Act as discussed above: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8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right"/>
              <w:ind w:right="463"/>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0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40" w:type="dxa"/>
            <w:vAlign w:val="bottom"/>
          </w:tcPr>
          <w:p>
            <w:pPr>
              <w:spacing w:after="0"/>
              <w:rPr>
                <w:sz w:val="12"/>
                <w:szCs w:val="12"/>
                <w:color w:val="auto"/>
              </w:rPr>
            </w:pPr>
          </w:p>
        </w:tc>
        <w:tc>
          <w:tcPr>
            <w:tcW w:w="1200" w:type="dxa"/>
            <w:vAlign w:val="bottom"/>
          </w:tcPr>
          <w:p>
            <w:pPr>
              <w:jc w:val="center"/>
              <w:ind w:right="343"/>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20" w:type="dxa"/>
            <w:vAlign w:val="bottom"/>
          </w:tcPr>
          <w:p>
            <w:pPr>
              <w:spacing w:after="0"/>
              <w:rPr>
                <w:sz w:val="12"/>
                <w:szCs w:val="12"/>
                <w:color w:val="auto"/>
              </w:rPr>
            </w:pPr>
          </w:p>
        </w:tc>
        <w:tc>
          <w:tcPr>
            <w:tcW w:w="1240" w:type="dxa"/>
            <w:vAlign w:val="bottom"/>
          </w:tcPr>
          <w:p>
            <w:pPr>
              <w:jc w:val="right"/>
              <w:ind w:right="383"/>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4"/>
        </w:trPr>
        <w:tc>
          <w:tcPr>
            <w:tcW w:w="5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(477)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187</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1,356</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104</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744</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1,437</w:t>
            </w:r>
          </w:p>
        </w:tc>
      </w:tr>
      <w:tr>
        <w:trPr>
          <w:trHeight w:val="33"/>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Effective tax rate</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398%</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33"/>
        </w:trPr>
        <w:tc>
          <w:tcPr>
            <w:tcW w:w="5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The primary driver of the difference between the effective tax rate for the three and nine months ended March 29, 2019 and the U.S. Federal statutory rate of 21% is the discrete effect of the finalization of the accounting for the tax effects of the enactment of the 2017 Act. For the three months ended March 29, 2019, these discrete effects consist of income tax benefits of $71 million related to the mandatory deemed repatriation tax. For the nine months ended March 29, 2019, these discrete effects consist of $107 million related to the mandatory deemed repatriation tax and $152 million related to the Company’s decision to change its indefinite reinvestment assertion. For both periods, the remaining difference is attributable primarily to an increase in the estimated effective tax rate due to changes in the relative mix of earnings by jurisdiction, partially offset by credits and tax holidays. The net windfall tax benefits related to vesting and exercises of stock-based awards were not material for the three and nine months ended March 29, 2019.</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primary drivers for the difference between the effective tax rate for the three months ended March 30, 2018 and the U.S. Federal statutory rate of 28% included discrete effects consisting of an income tax benefit of $211 million from deductible make-whole premiums and the write-off of unamortized issuance costs from the Company’s debt financing transactions. The primary drivers for the difference between the effective tax rate for the nine months ended March 30, 2018 and the U.S. Federal statutory rate of 28% were related to the net charge of $1.66 billion for the one-time mandatory deemed repatriation tax, offset in part by an income tax benefit related to the re-measurement of deferred taxes as required by the 2017 Act and deductible make-whole premiums and the write-off of unamortized issuance costs from the Company’s debt financing transactions. The primary drivers for the remaining difference between the effective tax rate for the three and nine months ended March 30, 2018 and the U.S. Federal statutory rate of 28% were tax credits and tax holidays in Malaysia, Philippines, Singapore and Thailand that expired or expire at various dates during fiscal years 2018 through 2030 and net windfall tax benefits related to vesting and exercises of stock-based awards of $46 million and $73 million for the three and nine months ended March 30, 2018, respectively.</w:t>
      </w:r>
    </w:p>
    <w:p>
      <w:pPr>
        <w:spacing w:after="0" w:line="18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29, 2019, the Company recorded an increase of $157 million in its liability for unrecognized tax benefits (excluding accrued interest and penalties). As of March 29, 2019, the Company’s liability for unrecognized tax benefits (excluding accrued interest and penalties) was approximately $708 million. Accrued interest and penalties related to unrecognized tax benefits as of March 29, 2019 was $120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Internal Revenue Service (“IRS”) previously completed its field examination of the Company’s federal income tax returns for fiscal years 2008 through 2012 and proposed certain adjustments. As previously disclosed, the Company received Revenue Agent Reports from the IRS for fiscal years 2008 through 2009,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disputed matters for fiscal years 2008 through 2009, seeking to increase the Company’s U.S. taxable income by an amount that would result in additional federal tax through fiscal year 2009 totaling approximately $516 million, subject to interest. The Company filed a petition with the U.S. Tax Court in September 2018. On December 10, 2018, the IRS issued a statutory notice of deficiency with respect to fiscal years 2010 through 2012, seeking to increase the Company’s U.S. taxable income by an amount that would result in additional federal tax for fiscal years 2010 through 2012 totaling approximately $549 million, subject to interest. Approximately $535 million of the total additional federal tax for fiscal years 2010 through 2012 relates to proposed adjustments for transfer pricing with the Company’s foreign subsidiaries, intercompany payable balances and the utilization of certain tax attributes. The Company filed a petition with the U.S. Tax Court in March 2019. The Company believes that its tax positions are properly supported and will vigorously contest the position taken by the IRS.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March 29, 2019,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121"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Net Income (Loss) Per Common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(loss) per common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2"/>
                <w:szCs w:val="12"/>
                <w:color w:val="auto"/>
              </w:rPr>
            </w:pPr>
          </w:p>
        </w:tc>
        <w:tc>
          <w:tcPr>
            <w:tcW w:w="1200" w:type="dxa"/>
            <w:vAlign w:val="bottom"/>
          </w:tcPr>
          <w:p>
            <w:pPr>
              <w:jc w:val="right"/>
              <w:ind w:right="361"/>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options, RSUs, PSUs and ESPP</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Income (loss) per common share</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three months ended March 30, 2018, the Company excluded 2 million common shares subject to outstanding equity awards from the calculation of diluted shares because their impact would have been anti-dilutive based on the Company’s average stock price during the period. For the three and nine months ended March 29, 2019 and the nine months ended March 30, 2018, the Company reported a net loss, and all outstanding equity awards have been excluded from such periods because including them would be anti-dilutive. See Note 10,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the following charges related to employee terminations benefits, asset impairment, and other charges: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120" w:type="dxa"/>
            <w:vAlign w:val="bottom"/>
          </w:tcPr>
          <w:p>
            <w:pPr>
              <w:jc w:val="right"/>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2"/>
                <w:szCs w:val="12"/>
                <w:color w:val="auto"/>
              </w:rPr>
            </w:pPr>
          </w:p>
        </w:tc>
        <w:tc>
          <w:tcPr>
            <w:tcW w:w="1200" w:type="dxa"/>
            <w:vAlign w:val="bottom"/>
          </w:tcPr>
          <w:p>
            <w:pPr>
              <w:jc w:val="right"/>
              <w:ind w:right="361"/>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1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termination and other charges: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 Plan 2016</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Closure of Foreign Manufacturing Facilities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Business Realignment</w:t>
            </w: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employee termination and other charges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1"/>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accelerations and adjustments:</w:t>
            </w: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Business Realignment</w:t>
            </w:r>
          </w:p>
        </w:tc>
        <w:tc>
          <w:tcPr>
            <w:tcW w:w="1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stock-based compensation accelerations and adjustments</w:t>
            </w:r>
          </w:p>
        </w:tc>
        <w:tc>
          <w:tcPr>
            <w:tcW w:w="1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 impairment:</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 Plan 2016</w:t>
            </w:r>
          </w:p>
        </w:tc>
        <w:tc>
          <w:tcPr>
            <w:tcW w:w="112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 impairment</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6"/>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employee termination and other charges, and stock-based</w:t>
            </w:r>
          </w:p>
        </w:tc>
        <w:tc>
          <w:tcPr>
            <w:tcW w:w="1120" w:type="dxa"/>
            <w:vAlign w:val="bottom"/>
            <w:tcBorders>
              <w:top w:val="single" w:sz="8" w:color="auto"/>
            </w:tcBorders>
            <w:vMerge w:val="restart"/>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7"/>
                <w:szCs w:val="17"/>
                <w:color w:val="auto"/>
              </w:rPr>
            </w:pPr>
          </w:p>
        </w:tc>
        <w:tc>
          <w:tcPr>
            <w:tcW w:w="1100" w:type="dxa"/>
            <w:vAlign w:val="bottom"/>
            <w:tcBorders>
              <w:top w:val="single" w:sz="8" w:color="auto"/>
            </w:tcBorders>
            <w:vMerge w:val="restart"/>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28"/>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compensation accelerations and adjustments</w:t>
            </w:r>
          </w:p>
        </w:tc>
        <w:tc>
          <w:tcPr>
            <w:tcW w:w="11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Closure of Foreign Manufacturing Facilities</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July 2018, the Company announced the closing of its HDD manufacturing facility in Kuala Lumpur, Malaysia, in order to reduce its manufacturing costs and consolidate HDD operations into Thailand. The Company currently expects the closure to be substantially completed by the fourth quarter of fiscal 2019 and to result in total pre-tax charges of approximately $110 million. These charges are expected to consist of approximately $70 million in employee termination benefits and $40 million in asset-related, contract termination and other charges, of which $56 million were recognized in the year ended June 29, 2018. During the nine months ended March 29, 2019, the Company recognized an additional $7 million in employee termination benefits and $9 million in asset-related, contract termination and other charges.</w:t>
      </w:r>
    </w:p>
    <w:p>
      <w:pPr>
        <w:spacing w:after="0" w:line="18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 analysis of the components of the restructuring charges, payments and adjustments made against the reserve during the nine months ended March 29, 2019:</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1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Accrual balance at June 29, 2018</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Accrual balance at March 29, 2019</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22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 periodically incurs charges as part of the integration process of recent acquisitions and to realign its operations with anticipated market demand. The following table presents an analysis of the components of the activity against the reserve during the nine months ended March 29, 2019:</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1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Accrual balance at June 29, 2018</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Accrual balance at March 29, 2019</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Solely for purposes of this note, “WD” refers to Western Digital Corporation or one or more of its subsidiaries excluding HGST prior to the closing of the Company’s acquisition of HGST on March 8, 2012 (the “HGST Closing Date”) and SanDisk prior to the Company’s acquisition of SanDisk on May 12, 2016 (the “SanDisk Closing Date”); “HGST” refers to Hitachi Global Storage Technologies Holdings Pte. Ltd. or one or more of its subsidiaries as of the HGST Closing Date; “SanDisk” refers to SanDisk Corporation or one or more of its subsidiaries as of the SanDisk Closing Date; and “the Company” refers to Western Digital Corporation and all of its subsidiaries on a consolidated basis including HGST and SanDisk.</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Intellectual Property Litigation</w:t>
      </w:r>
    </w:p>
    <w:p>
      <w:pPr>
        <w:spacing w:after="0" w:line="22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Securities</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Beginning in March 2015, SanDisk and two of its officers, Sanjay Mehrotra and Judy Bruner, were named in three putative class action lawsuits filed with the U.S. District Court for the Northern District of California. Two complaints are brought on behalf of a purported class of purchasers of SanDisk’s securities between October 2014 and March 2015, and one is brought on behalf of a purported class of purchasers of SanDisk’s securities between April 2014 and April 2015. The complaints 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In June 2016, the District Court granted the defendants’ motion to dismiss and dismissed the amended complaint with leave to amend. In July 2016, the Institutional Investor Group filed a further amended complaint. In June 2017, the District Court denied the defendants’ motion to dismiss. In September 2018, the District Court granted the Institutional Investor Group’s motion to certify a class of all persons and entities who purchased or otherwise acquired SanDisk’s publicly traded common stock between October 2014 and April 2015, excluding those who purchased or otherwise acquired SanDisk’s publicly traded common stock during the class period but who sold their stock prior to the first corrective disclosure in March 2015. The Institutional Investor Group alleges artificial inflation in the price of SanDisk’s publicly traded common stock of $9.04 per share from October 16, 2014 through March 25, 2015, $2.26 per share on March 26, 2015, and $1.35 per share from March 27, 2015 through April 15, 2015. In March 2019, the parties reached a settlement of all claims in this matter, subject to formal ratification by party representatives and approval by the court, and a hearing on the parties’ motion for preliminary approval is set for May 16, 2019. The charge related to the settlement was recorded in Selling, general and administrative expense.</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w:t>
      </w:r>
    </w:p>
    <w:p>
      <w:pPr>
        <w:spacing w:after="0" w:line="22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disclosures regarding statutory notices of deficiency issued by the IRS on June 28, 2018 and December 10, 2018, and petitions filed by the Company with the U.S. Tax Court in September 2018 and March 2019, see Note 11, </w:t>
      </w:r>
      <w:r>
        <w:rPr>
          <w:rFonts w:ascii="Times New Roman" w:cs="Times New Roman" w:eastAsia="Times New Roman" w:hAnsi="Times New Roman"/>
          <w:sz w:val="18"/>
          <w:szCs w:val="18"/>
          <w:i w:val="1"/>
          <w:iCs w:val="1"/>
          <w:color w:val="auto"/>
        </w:rPr>
        <w:t>Income Tax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121" w:right="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Separate Financial Information of Guarantor Subsidiaries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Company’s senior unsecured notes due 2026 (the “2026 Senior Unsecured Notes”) are fully and unconditionally guaranteed, jointly and severally, on a senior unsecured basis, subject to certain customary guarantor release conditions, by certain 100% owned material domestic subsidiaries of the Company (or the “Guarantor Subsidiaries”). The guarantee by a Guarantor Subsidiary will be released in the event of (i) the release of a Guarantor Subsidiary from its guarantee of indebtedness under the credit agreement or other indebtedness that would have required the Guarantor Subsidiary to guarantee the 2026 Senior Unsecured Notes, (ii) the sale, issuance or other disposition of capital stock of a Guarantor Subsidiary such that it is no longer a restricted subsidiary under the indenture governing the 2026 Senior Unsecured Notes, (iii) the sale of all or substantially all of a Guarantor Subsidiary’s assets, (iv) the Company’s exercise of its defeasance options under the indenture governing the 2026 Senior Unsecured Notes, (v) the dissolution or liquidation of a Guarantor Subsidiary or (vi) the sale of all the equity interest in a Guarantor Subsidiary. The Company’s other domestic subsidiaries and its foreign subsidiaries (collectively, the “Non-Guarantor Subsidiaries”) do not guarantee the 2026 Senior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29, 2019</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3,682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1,223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3,440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8,902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10,075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16,822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23,218</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26,913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5,113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7,090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4,212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10,309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2,178</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13,004</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6,797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7,595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16,699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20,700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10,214</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23,218</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27,497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24,449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(48,251)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26,913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29, 2018</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2,197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7,467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10,246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10,638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3,095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10,075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 in consolidated subsidiaries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Loans due from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23,935</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28,922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27,115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(50,737)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29,235</w:t>
            </w:r>
          </w:p>
        </w:tc>
        <w:tc>
          <w:tcPr>
            <w:tcW w:w="0" w:type="dxa"/>
            <w:vAlign w:val="bottom"/>
          </w:tcPr>
          <w:p>
            <w:pPr>
              <w:spacing w:after="0"/>
              <w:rPr>
                <w:sz w:val="1"/>
                <w:szCs w:val="1"/>
                <w:color w:val="auto"/>
              </w:rPr>
            </w:pPr>
          </w:p>
        </w:tc>
      </w:tr>
      <w:tr>
        <w:trPr>
          <w:trHeight w:val="73"/>
        </w:trPr>
        <w:tc>
          <w:tcPr>
            <w:tcW w:w="3660" w:type="dxa"/>
            <w:vAlign w:val="bottom"/>
            <w:tcBorders>
              <w:bottom w:val="single" w:sz="8" w:color="CCEEFF"/>
            </w:tcBorders>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gridSpan w:val="3"/>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3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4960" w:type="dxa"/>
            <w:vAlign w:val="bottom"/>
            <w:gridSpan w:val="11"/>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7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2,265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payables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4,648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5,729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6,117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2,255</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12,404</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7,924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7,168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17,704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20,998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19,947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11,531</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23,935</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28,922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27,115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(50,737)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29,235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29, 2019</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3,674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3,095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nine months ended March 29, 2019</w:t>
      </w:r>
    </w:p>
    <w:p>
      <w:pPr>
        <w:spacing w:after="0" w:line="278" w:lineRule="exact"/>
        <w:rPr>
          <w:sz w:val="20"/>
          <w:szCs w:val="20"/>
          <w:color w:val="auto"/>
        </w:rPr>
      </w:pPr>
    </w:p>
    <w:tbl>
      <w:tblPr>
        <w:tblLayout w:type="fixed"/>
        <w:tblInd w:w="4120" w:type="dxa"/>
        <w:tblCellMar>
          <w:top w:w="0" w:type="dxa"/>
          <w:left w:w="0" w:type="dxa"/>
          <w:bottom w:w="0" w:type="dxa"/>
          <w:right w:w="0" w:type="dxa"/>
        </w:tblCellMar>
      </w:tblPr>
      <w:tr>
        <w:trPr>
          <w:trHeight w:val="161"/>
        </w:trPr>
        <w:tc>
          <w:tcPr>
            <w:tcW w:w="13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5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3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5"/>
        </w:trPr>
        <w:tc>
          <w:tcPr>
            <w:tcW w:w="1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60" w:type="dxa"/>
            <w:vAlign w:val="bottom"/>
          </w:tcPr>
          <w:p>
            <w:pPr>
              <w:ind w:left="4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6350</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23"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16"/>
          <w:szCs w:val="16"/>
          <w:color w:val="auto"/>
        </w:rPr>
        <w:t>Revenue, net</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Cost of revenue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Gross profit</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Intercompany operating expense (income)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income (loss)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income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Total interest and other income (expense), net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(loss) before taxes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Equity in earnings from subsidiaries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p>
      <w:pPr>
        <w:spacing w:after="0" w:line="100"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16"/>
          <w:szCs w:val="16"/>
          <w:color w:val="auto"/>
        </w:rPr>
        <w:t>Net loss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9,931</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13,670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12,935</w:t>
            </w:r>
          </w:p>
        </w:tc>
      </w:tr>
      <w:tr>
        <w:trPr>
          <w:trHeight w:val="270"/>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8,602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11,706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9,648</w:t>
            </w:r>
          </w:p>
        </w:tc>
      </w:tr>
      <w:tr>
        <w:trPr>
          <w:trHeight w:val="33"/>
        </w:trPr>
        <w:tc>
          <w:tcPr>
            <w:tcW w:w="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3,287</w:t>
            </w:r>
          </w:p>
        </w:tc>
      </w:tr>
      <w:tr>
        <w:trPr>
          <w:trHeight w:val="33"/>
        </w:trPr>
        <w:tc>
          <w:tcPr>
            <w:tcW w:w="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1,659</w:t>
            </w:r>
          </w:p>
        </w:tc>
      </w:tr>
      <w:tr>
        <w:trPr>
          <w:trHeight w:val="270"/>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1,018</w:t>
            </w:r>
          </w:p>
        </w:tc>
      </w:tr>
      <w:tr>
        <w:trPr>
          <w:trHeight w:val="270"/>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w:t>
            </w:r>
          </w:p>
        </w:tc>
      </w:tr>
      <w:tr>
        <w:trPr>
          <w:trHeight w:val="33"/>
        </w:trPr>
        <w:tc>
          <w:tcPr>
            <w:tcW w:w="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2,819</w:t>
            </w:r>
          </w:p>
        </w:tc>
      </w:tr>
      <w:tr>
        <w:trPr>
          <w:trHeight w:val="33"/>
        </w:trPr>
        <w:tc>
          <w:tcPr>
            <w:tcW w:w="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468</w:t>
            </w:r>
          </w:p>
        </w:tc>
      </w:tr>
      <w:tr>
        <w:trPr>
          <w:trHeight w:val="33"/>
        </w:trPr>
        <w:tc>
          <w:tcPr>
            <w:tcW w:w="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w:t>
            </w:r>
          </w:p>
        </w:tc>
        <w:tc>
          <w:tcPr>
            <w:tcW w:w="48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r>
      <w:tr>
        <w:trPr>
          <w:trHeight w:val="270"/>
        </w:trPr>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7"/>
              </w:rPr>
              <w:t>(353)</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70"/>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7"/>
              </w:rPr>
              <w:t>(342)</w:t>
            </w:r>
          </w:p>
        </w:tc>
        <w:tc>
          <w:tcPr>
            <w:tcW w:w="48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33"/>
        </w:trPr>
        <w:tc>
          <w:tcPr>
            <w:tcW w:w="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7"/>
              </w:rPr>
              <w:t>(344)</w:t>
            </w:r>
          </w:p>
        </w:tc>
        <w:tc>
          <w:tcPr>
            <w:tcW w:w="48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r>
      <w:tr>
        <w:trPr>
          <w:trHeight w:val="270"/>
        </w:trPr>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7"/>
              </w:rPr>
              <w:t>(551)</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7"/>
              </w:rPr>
              <w:t>(338)</w:t>
            </w:r>
          </w:p>
        </w:tc>
        <w:tc>
          <w:tcPr>
            <w:tcW w:w="4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744</w:t>
            </w:r>
          </w:p>
        </w:tc>
      </w:tr>
      <w:tr>
        <w:trPr>
          <w:trHeight w:val="33"/>
        </w:trPr>
        <w:tc>
          <w:tcPr>
            <w:tcW w:w="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7"/>
              </w:rPr>
              <w:t>(557)</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33"/>
        </w:trPr>
        <w:tc>
          <w:tcPr>
            <w:tcW w:w="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-2606675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-2263140</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-1225550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-539750</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-196850</wp:posOffset>
            </wp:positionV>
            <wp:extent cx="7229475"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97485"/>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-882650</wp:posOffset>
            </wp:positionV>
            <wp:extent cx="722947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-1577340</wp:posOffset>
            </wp:positionV>
            <wp:extent cx="722947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-1920240</wp:posOffset>
            </wp:positionV>
            <wp:extent cx="722947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-2957830</wp:posOffset>
            </wp:positionV>
            <wp:extent cx="72294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720"/>
            <w:col w:w="6300"/>
          </w:cols>
          <w:pgMar w:left="240" w:top="121" w:right="25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121" w:right="2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30, 2018</w:t>
      </w:r>
    </w:p>
    <w:p>
      <w:pPr>
        <w:spacing w:after="0" w:line="332" w:lineRule="exact"/>
        <w:rPr>
          <w:sz w:val="20"/>
          <w:szCs w:val="20"/>
          <w:color w:val="auto"/>
        </w:rPr>
      </w:pPr>
    </w:p>
    <w:tbl>
      <w:tblPr>
        <w:tblLayout w:type="fixed"/>
        <w:tblInd w:w="4120" w:type="dxa"/>
        <w:tblCellMar>
          <w:top w:w="0" w:type="dxa"/>
          <w:left w:w="0" w:type="dxa"/>
          <w:bottom w:w="0" w:type="dxa"/>
          <w:right w:w="0" w:type="dxa"/>
        </w:tblCellMar>
      </w:tblPr>
      <w:tr>
        <w:trPr>
          <w:trHeight w:val="161"/>
        </w:trPr>
        <w:tc>
          <w:tcPr>
            <w:tcW w:w="13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5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5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3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5"/>
        </w:trPr>
        <w:tc>
          <w:tcPr>
            <w:tcW w:w="1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80" w:type="dxa"/>
            <w:vAlign w:val="bottom"/>
          </w:tcPr>
          <w:p>
            <w:pPr>
              <w:ind w:left="4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16"/>
          <w:szCs w:val="16"/>
          <w:color w:val="auto"/>
        </w:rPr>
        <w:t>Revenue, net</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Cost of revenue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Gross profit</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Intercompany operating expense (income)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income</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income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expense, net</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interest and other expense, net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(loss) before taxes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Equity in earnings from subsidiaries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p>
      <w:pPr>
        <w:spacing w:after="0" w:line="100"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16"/>
          <w:szCs w:val="16"/>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3,685</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4,924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5,013</w:t>
            </w:r>
          </w:p>
        </w:tc>
      </w:tr>
      <w:tr>
        <w:trPr>
          <w:trHeight w:val="270"/>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3,209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3,086</w:t>
            </w:r>
          </w:p>
        </w:tc>
      </w:tr>
      <w:tr>
        <w:trPr>
          <w:trHeight w:val="33"/>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1,927</w:t>
            </w:r>
          </w:p>
        </w:tc>
      </w:tr>
      <w:tr>
        <w:trPr>
          <w:trHeight w:val="33"/>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01"/>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602</w:t>
            </w:r>
          </w:p>
        </w:tc>
      </w:tr>
      <w:tr>
        <w:trPr>
          <w:trHeight w:val="270"/>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r>
      <w:tr>
        <w:trPr>
          <w:trHeight w:val="270"/>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33"/>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5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1,013</w:t>
            </w:r>
          </w:p>
        </w:tc>
      </w:tr>
      <w:tr>
        <w:trPr>
          <w:trHeight w:val="33"/>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w:t>
            </w:r>
          </w:p>
        </w:tc>
        <w:tc>
          <w:tcPr>
            <w:tcW w:w="5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914</w:t>
            </w:r>
          </w:p>
        </w:tc>
      </w:tr>
      <w:tr>
        <w:trPr>
          <w:trHeight w:val="33"/>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01"/>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42</w:t>
            </w:r>
          </w:p>
        </w:tc>
        <w:tc>
          <w:tcPr>
            <w:tcW w:w="50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70"/>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(160)</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70"/>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(894)</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r>
      <w:tr>
        <w:trPr>
          <w:trHeight w:val="33"/>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8"/>
              </w:rPr>
              <w:t>(1,012)</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r>
      <w:tr>
        <w:trPr>
          <w:trHeight w:val="33"/>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8"/>
              </w:rPr>
              <w:t>(1,004)</w:t>
            </w:r>
          </w:p>
        </w:tc>
        <w:tc>
          <w:tcPr>
            <w:tcW w:w="5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70"/>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837</w:t>
            </w:r>
          </w:p>
        </w:tc>
        <w:tc>
          <w:tcPr>
            <w:tcW w:w="50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(228)</w:t>
            </w:r>
          </w:p>
        </w:tc>
        <w:tc>
          <w:tcPr>
            <w:tcW w:w="50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33"/>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61</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-2606675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-2263140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-1225550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-539750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-196850</wp:posOffset>
            </wp:positionV>
            <wp:extent cx="7246620"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-882650</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-1577340</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-1920240</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-2957830</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121"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March 30, 2018</w:t>
      </w:r>
    </w:p>
    <w:p>
      <w:pPr>
        <w:spacing w:after="0" w:line="332" w:lineRule="exact"/>
        <w:rPr>
          <w:sz w:val="20"/>
          <w:szCs w:val="20"/>
          <w:color w:val="auto"/>
        </w:rPr>
      </w:pPr>
    </w:p>
    <w:tbl>
      <w:tblPr>
        <w:tblLayout w:type="fixed"/>
        <w:tblInd w:w="4120" w:type="dxa"/>
        <w:tblCellMar>
          <w:top w:w="0" w:type="dxa"/>
          <w:left w:w="0" w:type="dxa"/>
          <w:bottom w:w="0" w:type="dxa"/>
          <w:right w:w="0" w:type="dxa"/>
        </w:tblCellMar>
      </w:tblPr>
      <w:tr>
        <w:trPr>
          <w:trHeight w:val="161"/>
        </w:trPr>
        <w:tc>
          <w:tcPr>
            <w:tcW w:w="13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5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5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3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5"/>
        </w:trPr>
        <w:tc>
          <w:tcPr>
            <w:tcW w:w="1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80" w:type="dxa"/>
            <w:vAlign w:val="bottom"/>
          </w:tcPr>
          <w:p>
            <w:pPr>
              <w:ind w:left="4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16"/>
          <w:szCs w:val="16"/>
          <w:color w:val="auto"/>
        </w:rPr>
        <w:t>Revenue, net</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Cost of revenue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Gross profit</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Intercompany operating expense (income)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income</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income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interest and other expense, net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(loss) before taxes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Equity in earnings from subsidiaries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p>
      <w:pPr>
        <w:spacing w:after="0" w:line="100"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16"/>
          <w:szCs w:val="16"/>
          <w:color w:val="auto"/>
        </w:rPr>
        <w:t>Net income (loss)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11,159</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15,178</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(10,807)</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15,530</w:t>
            </w:r>
          </w:p>
        </w:tc>
      </w:tr>
      <w:tr>
        <w:trPr>
          <w:trHeight w:val="270"/>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9,665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10,849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9,677</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5,853</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1,823</w:t>
            </w:r>
          </w:p>
        </w:tc>
      </w:tr>
      <w:tr>
        <w:trPr>
          <w:trHeight w:val="270"/>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1,121</w:t>
            </w:r>
          </w:p>
        </w:tc>
      </w:tr>
      <w:tr>
        <w:trPr>
          <w:trHeight w:val="270"/>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3,079</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2,774</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189</w:t>
            </w:r>
          </w:p>
        </w:tc>
        <w:tc>
          <w:tcPr>
            <w:tcW w:w="46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270"/>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(561)</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70"/>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(902)</w:t>
            </w:r>
          </w:p>
        </w:tc>
        <w:tc>
          <w:tcPr>
            <w:tcW w:w="46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8"/>
              </w:rPr>
              <w:t>(1,274)</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8"/>
              </w:rPr>
              <w:t>(1,269)</w:t>
            </w:r>
          </w:p>
        </w:tc>
        <w:tc>
          <w:tcPr>
            <w:tcW w:w="4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1,356</w:t>
            </w:r>
          </w:p>
        </w:tc>
      </w:tr>
      <w:tr>
        <w:trPr>
          <w:trHeight w:val="270"/>
        </w:trPr>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869</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1,747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(319)</w:t>
            </w:r>
          </w:p>
        </w:tc>
        <w:tc>
          <w:tcPr>
            <w:tcW w:w="46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1,437</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(81)</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33"/>
        </w:trPr>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-2606675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-2263140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-1225550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-539750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-196850</wp:posOffset>
            </wp:positionV>
            <wp:extent cx="7246620"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-882650</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-1577340</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-1920240</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-2957830</wp:posOffset>
            </wp:positionV>
            <wp:extent cx="72466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121"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29, 2019</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contracts and</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March 29, 2019</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contracts and</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30, 2018</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pension gain</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unrealized gain on derivative contracts and available-</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before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March 30, 2018</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pension gain</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on derivative contracts and available-</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before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March 29, 2019</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4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1,378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receivable issuances to Flash Ventures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receivable proceeds from Flash Ventures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Strategic investments and other, net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loan from (to) consolidated affiliates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Advances from (to) parent and consolidated affiliates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stock under employee stock plans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 paid on vested stock awards under employee stock</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debt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(repayment of) revolving credit facility</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loan from (to) consolidated affiliates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investment in consolidated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3,682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March 30, 2018</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3,342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loan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Advances from (to) parent and consolidated affiliates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 paid on vested stock awards under employee stock</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 of debt hedge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debt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11,384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(repayment of) revolving credit facility</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loan to consolidated affiliates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investment in consolidated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6,354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4,116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4,963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16.</w:t>
        <w:tab/>
        <w:t>Subsequent Events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2019, the Company completed a sale and leaseback of its manufacturing facility in Fremont, California. The Company received proceeds from the sale of $115 million and expects to recognize an approximate loss of $25 million. The property is being leased back over a term of 15 years at an annual lease rate of $7 million for the first year and increasing by 3% per year thereafter. The lease includes four 5-year renewal options for the ability to extend up to 20 years.</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240" w:top="121" w:right="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324"/>
        <w:spacing w:after="0" w:line="220" w:lineRule="exact"/>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and Part II, Item 8, contained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June 29, 2018. See also “Forward-Looking Statements” immediately prior to Part I, Item 1 in this Quarterly Report on Form 10-Q.</w:t>
      </w:r>
    </w:p>
    <w:p>
      <w:pPr>
        <w:spacing w:after="0" w:line="20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a leading developer, manufacturer and provider of data storage devices and solutions that address the evolving needs of the information technology industry and the infrastructure that enables the proliferation of data in virtually every other industry. Our broad portfolio of technology and products address the following key markets: Client Devices; Data Center Devices and Solutions; and Client Solutions. We also generate license and royalty revenue related to our intellectual property (“IP”), which is included in each of these three categories.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flash industry is characterized by cyclicality as it responds to variations in customers’ demand for products and manages production capacity to meet that demand. As technology conversions have matured and manufacturing yields have improved, flash supply has increased relative to demand. As a result, average selling price per gigabyte of flash-based products has declined in recent quarters.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Through our strategic partnership with Toshiba Memory Corporation (“TMC”) referred to as “Flash Ventures”, we and TMC operate flash-based memory wafer manufacturing facilities in Yokkaichi, Japan. We are obligated to purchase half of Flash Ventures’ flash-based memory wafer supply or pay for half of Flash Ventures’ fixed costs regardless of the output we choose to purchase. We are also obligated to fund 49.9% to 50% of Flash Ventures’ capital investments to the extent that Flash Ventures’ operating cash flow is insufficient to fund these investments.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Flash Ventures has historically operated near 100% of its manufacturing capacity. As a result of the current supply/demand imbalance for flash-based products, we have temporarily reduced our utilization of our share of Flash Ventures’ manufacturing capacity to an abnormally low level to more closely align our flash-based wafer supply with the projected demand. We do not expect this action to result in any incremental cash payments; however, as a result of this temporary reduction to abnormally low production levels, we incurred costs of $148 million and $197 million associated with the reduction in utilization, which was recorded as a charge to cost of revenue in the three and nine months ended March 29, 2019, respectively. We expect additional underutilization charges to be recorded in cost of revenue in the range of $55 million to $75 million by the end of the fiscal year. We may adjust our plans based on market conditions, which could impact the timing and amount of any charges.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and Expense Reduction Actions</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implemented actions to better align our cost and expense structure to near-term business conditions. These actions included accelerating the closure of our HDD manufacturing facility in Kuala Lumpur, Malaysia, reducing other HDD manufacturing costs and other measures to reduce our costs and expenses. We incurred costs of $76 million in the three months ended March 29, 2019 towards the implementation of these actions and expect to reduce costs of revenue and operating expenses by $800 million on an annualized basis, with the reductions split approximately equally between cost of revenue and operating expenses. The level of our costs of revenue and operating expenses in any particular period may vary based on differing levels of incentive cash compensation, payroll tax increases, and unexpected or non-recurring costs or expenses.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Third Quarter and Nine Month Overview</w:t>
      </w:r>
    </w:p>
    <w:p>
      <w:pPr>
        <w:spacing w:after="0" w:line="227" w:lineRule="exact"/>
        <w:rPr>
          <w:sz w:val="20"/>
          <w:szCs w:val="20"/>
          <w:color w:val="auto"/>
        </w:rPr>
      </w:pPr>
    </w:p>
    <w:p>
      <w:pPr>
        <w:ind w:right="200" w:firstLine="324"/>
        <w:spacing w:after="0" w:line="285"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66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3,674</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7"/>
              </w:rPr>
              <w:t>100.0 %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5,013</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7"/>
              </w:rPr>
              <w:t>100.0 %</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37"/>
        </w:trPr>
        <w:tc>
          <w:tcPr>
            <w:tcW w:w="5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3,095</w:t>
            </w:r>
          </w:p>
        </w:tc>
        <w:tc>
          <w:tcPr>
            <w:tcW w:w="520" w:type="dxa"/>
            <w:vAlign w:val="bottom"/>
          </w:tcPr>
          <w:p>
            <w:pPr>
              <w:spacing w:after="0"/>
              <w:rPr>
                <w:sz w:val="20"/>
                <w:szCs w:val="20"/>
                <w:color w:val="auto"/>
              </w:rPr>
            </w:pP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84.2</w:t>
            </w:r>
          </w:p>
        </w:tc>
        <w:tc>
          <w:tcPr>
            <w:tcW w:w="16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3,086</w:t>
            </w:r>
          </w:p>
        </w:tc>
        <w:tc>
          <w:tcPr>
            <w:tcW w:w="420" w:type="dxa"/>
            <w:vAlign w:val="bottom"/>
          </w:tcPr>
          <w:p>
            <w:pPr>
              <w:spacing w:after="0"/>
              <w:rPr>
                <w:sz w:val="20"/>
                <w:szCs w:val="20"/>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61.6</w:t>
            </w:r>
          </w:p>
        </w:tc>
        <w:tc>
          <w:tcPr>
            <w:tcW w:w="26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9</w:t>
            </w: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579</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1,927</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38.4</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(1,348)</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04"/>
        </w:trPr>
        <w:tc>
          <w:tcPr>
            <w:tcW w:w="5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544</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602</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37"/>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353</w:t>
            </w:r>
          </w:p>
        </w:tc>
        <w:tc>
          <w:tcPr>
            <w:tcW w:w="520" w:type="dxa"/>
            <w:vAlign w:val="bottom"/>
          </w:tcPr>
          <w:p>
            <w:pPr>
              <w:spacing w:after="0"/>
              <w:rPr>
                <w:sz w:val="20"/>
                <w:szCs w:val="20"/>
                <w:color w:val="auto"/>
              </w:rPr>
            </w:pP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376</w:t>
            </w:r>
          </w:p>
        </w:tc>
        <w:tc>
          <w:tcPr>
            <w:tcW w:w="420" w:type="dxa"/>
            <w:vAlign w:val="bottom"/>
          </w:tcPr>
          <w:p>
            <w:pPr>
              <w:spacing w:after="0"/>
              <w:rPr>
                <w:sz w:val="20"/>
                <w:szCs w:val="20"/>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7.5</w:t>
            </w:r>
          </w:p>
        </w:tc>
        <w:tc>
          <w:tcPr>
            <w:tcW w:w="26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c>
          <w:tcPr>
            <w:tcW w:w="5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w:t>
            </w: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217"/>
        </w:trPr>
        <w:tc>
          <w:tcPr>
            <w:tcW w:w="54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973</w:t>
            </w:r>
          </w:p>
        </w:tc>
        <w:tc>
          <w:tcPr>
            <w:tcW w:w="52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26.5</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1,013</w:t>
            </w:r>
          </w:p>
        </w:tc>
        <w:tc>
          <w:tcPr>
            <w:tcW w:w="420" w:type="dxa"/>
            <w:vAlign w:val="bottom"/>
          </w:tcPr>
          <w:p>
            <w:pPr>
              <w:spacing w:after="0"/>
              <w:rPr>
                <w:sz w:val="18"/>
                <w:szCs w:val="18"/>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20.2</w:t>
            </w:r>
          </w:p>
        </w:tc>
        <w:tc>
          <w:tcPr>
            <w:tcW w:w="26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(40)</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5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914</w:t>
            </w:r>
          </w:p>
        </w:tc>
        <w:tc>
          <w:tcPr>
            <w:tcW w:w="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(1,308)</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(143.1)</w:t>
            </w:r>
          </w:p>
        </w:tc>
        <w:tc>
          <w:tcPr>
            <w:tcW w:w="0" w:type="dxa"/>
            <w:vAlign w:val="bottom"/>
          </w:tcPr>
          <w:p>
            <w:pPr>
              <w:spacing w:after="0"/>
              <w:rPr>
                <w:sz w:val="1"/>
                <w:szCs w:val="1"/>
                <w:color w:val="auto"/>
              </w:rPr>
            </w:pPr>
          </w:p>
        </w:tc>
      </w:tr>
      <w:tr>
        <w:trPr>
          <w:trHeight w:val="224"/>
        </w:trPr>
        <w:tc>
          <w:tcPr>
            <w:tcW w:w="5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37"/>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520" w:type="dxa"/>
            <w:vAlign w:val="bottom"/>
          </w:tcPr>
          <w:p>
            <w:pPr>
              <w:spacing w:after="0"/>
              <w:rPr>
                <w:sz w:val="20"/>
                <w:szCs w:val="20"/>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420" w:type="dxa"/>
            <w:vAlign w:val="bottom"/>
          </w:tcPr>
          <w:p>
            <w:pPr>
              <w:spacing w:after="0"/>
              <w:rPr>
                <w:sz w:val="20"/>
                <w:szCs w:val="20"/>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42</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5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(17.9)</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920</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17"/>
        </w:trPr>
        <w:tc>
          <w:tcPr>
            <w:tcW w:w="54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52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42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(20.8)</w:t>
            </w:r>
          </w:p>
        </w:tc>
        <w:tc>
          <w:tcPr>
            <w:tcW w:w="260" w:type="dxa"/>
            <w:vAlign w:val="bottom"/>
          </w:tcPr>
          <w:p>
            <w:pPr>
              <w:spacing w:after="0"/>
              <w:rPr>
                <w:sz w:val="18"/>
                <w:szCs w:val="18"/>
                <w:color w:val="auto"/>
              </w:rPr>
            </w:pP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959</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5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(13.0)</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(349)</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272.7</w:t>
            </w:r>
          </w:p>
        </w:tc>
        <w:tc>
          <w:tcPr>
            <w:tcW w:w="0" w:type="dxa"/>
            <w:vAlign w:val="bottom"/>
          </w:tcPr>
          <w:p>
            <w:pPr>
              <w:spacing w:after="0"/>
              <w:rPr>
                <w:sz w:val="1"/>
                <w:szCs w:val="1"/>
                <w:color w:val="auto"/>
              </w:rPr>
            </w:pPr>
          </w:p>
        </w:tc>
      </w:tr>
      <w:tr>
        <w:trPr>
          <w:trHeight w:val="237"/>
        </w:trPr>
        <w:tc>
          <w:tcPr>
            <w:tcW w:w="5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c>
          <w:tcPr>
            <w:tcW w:w="520" w:type="dxa"/>
            <w:vAlign w:val="bottom"/>
          </w:tcPr>
          <w:p>
            <w:pPr>
              <w:spacing w:after="0"/>
              <w:rPr>
                <w:sz w:val="20"/>
                <w:szCs w:val="20"/>
                <w:color w:val="auto"/>
              </w:rPr>
            </w:pP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420" w:type="dxa"/>
            <w:vAlign w:val="bottom"/>
          </w:tcPr>
          <w:p>
            <w:pPr>
              <w:spacing w:after="0"/>
              <w:rPr>
                <w:sz w:val="20"/>
                <w:szCs w:val="20"/>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293</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(642)</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(1,052.5)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left="341"/>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1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12,935</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15,530</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100.0 %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(2,595)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37"/>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9,648</w:t>
            </w:r>
          </w:p>
        </w:tc>
        <w:tc>
          <w:tcPr>
            <w:tcW w:w="500" w:type="dxa"/>
            <w:vAlign w:val="bottom"/>
          </w:tcPr>
          <w:p>
            <w:pPr>
              <w:spacing w:after="0"/>
              <w:rPr>
                <w:sz w:val="20"/>
                <w:szCs w:val="20"/>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9,677</w:t>
            </w:r>
          </w:p>
        </w:tc>
        <w:tc>
          <w:tcPr>
            <w:tcW w:w="420" w:type="dxa"/>
            <w:vAlign w:val="bottom"/>
          </w:tcPr>
          <w:p>
            <w:pPr>
              <w:spacing w:after="0"/>
              <w:rPr>
                <w:sz w:val="20"/>
                <w:szCs w:val="20"/>
                <w:color w:val="auto"/>
              </w:rPr>
            </w:pP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62.3</w:t>
            </w:r>
          </w:p>
        </w:tc>
        <w:tc>
          <w:tcPr>
            <w:tcW w:w="200" w:type="dxa"/>
            <w:vAlign w:val="bottom"/>
          </w:tcPr>
          <w:p>
            <w:pPr>
              <w:spacing w:after="0"/>
              <w:rPr>
                <w:sz w:val="20"/>
                <w:szCs w:val="20"/>
                <w:color w:val="auto"/>
              </w:rPr>
            </w:pP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3,287</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5,853</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37.7</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(2,566)</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04"/>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1,659</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1,823</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(164)</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37"/>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1,018</w:t>
            </w:r>
          </w:p>
        </w:tc>
        <w:tc>
          <w:tcPr>
            <w:tcW w:w="500" w:type="dxa"/>
            <w:vAlign w:val="bottom"/>
          </w:tcPr>
          <w:p>
            <w:pPr>
              <w:spacing w:after="0"/>
              <w:rPr>
                <w:sz w:val="20"/>
                <w:szCs w:val="20"/>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1,121</w:t>
            </w:r>
          </w:p>
        </w:tc>
        <w:tc>
          <w:tcPr>
            <w:tcW w:w="420" w:type="dxa"/>
            <w:vAlign w:val="bottom"/>
          </w:tcPr>
          <w:p>
            <w:pPr>
              <w:spacing w:after="0"/>
              <w:rPr>
                <w:sz w:val="20"/>
                <w:szCs w:val="20"/>
                <w:color w:val="auto"/>
              </w:rPr>
            </w:pP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tcPr>
          <w:p>
            <w:pPr>
              <w:spacing w:after="0"/>
              <w:rPr>
                <w:sz w:val="20"/>
                <w:szCs w:val="20"/>
                <w:color w:val="auto"/>
              </w:rPr>
            </w:pP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(103)</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135</w:t>
            </w:r>
          </w:p>
        </w:tc>
        <w:tc>
          <w:tcPr>
            <w:tcW w:w="4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11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7"/>
        </w:trPr>
        <w:tc>
          <w:tcPr>
            <w:tcW w:w="53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2,819</w:t>
            </w:r>
          </w:p>
        </w:tc>
        <w:tc>
          <w:tcPr>
            <w:tcW w:w="50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3,079</w:t>
            </w:r>
          </w:p>
        </w:tc>
        <w:tc>
          <w:tcPr>
            <w:tcW w:w="420" w:type="dxa"/>
            <w:vAlign w:val="bottom"/>
          </w:tcPr>
          <w:p>
            <w:pPr>
              <w:spacing w:after="0"/>
              <w:rPr>
                <w:sz w:val="18"/>
                <w:szCs w:val="18"/>
                <w:color w:val="auto"/>
              </w:rPr>
            </w:pP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19.8</w:t>
            </w:r>
          </w:p>
        </w:tc>
        <w:tc>
          <w:tcPr>
            <w:tcW w:w="200" w:type="dxa"/>
            <w:vAlign w:val="bottom"/>
          </w:tcPr>
          <w:p>
            <w:pPr>
              <w:spacing w:after="0"/>
              <w:rPr>
                <w:sz w:val="18"/>
                <w:szCs w:val="18"/>
                <w:color w:val="auto"/>
              </w:rPr>
            </w:pP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(260)</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468</w:t>
            </w:r>
          </w:p>
        </w:tc>
        <w:tc>
          <w:tcPr>
            <w:tcW w:w="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2,774</w:t>
            </w:r>
          </w:p>
        </w:tc>
        <w:tc>
          <w:tcPr>
            <w:tcW w:w="4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17.9</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(2,306)</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24"/>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37"/>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500" w:type="dxa"/>
            <w:vAlign w:val="bottom"/>
          </w:tcPr>
          <w:p>
            <w:pPr>
              <w:spacing w:after="0"/>
              <w:rPr>
                <w:sz w:val="20"/>
                <w:szCs w:val="20"/>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420" w:type="dxa"/>
            <w:vAlign w:val="bottom"/>
          </w:tcPr>
          <w:p>
            <w:pPr>
              <w:spacing w:after="0"/>
              <w:rPr>
                <w:sz w:val="20"/>
                <w:szCs w:val="20"/>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20"/>
                <w:szCs w:val="20"/>
                <w:color w:val="auto"/>
              </w:rPr>
            </w:pPr>
          </w:p>
        </w:tc>
        <w:tc>
          <w:tcPr>
            <w:tcW w:w="9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210</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4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930</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(103.1)</w:t>
            </w:r>
          </w:p>
        </w:tc>
        <w:tc>
          <w:tcPr>
            <w:tcW w:w="0" w:type="dxa"/>
            <w:vAlign w:val="bottom"/>
          </w:tcPr>
          <w:p>
            <w:pPr>
              <w:spacing w:after="0"/>
              <w:rPr>
                <w:sz w:val="1"/>
                <w:szCs w:val="1"/>
                <w:color w:val="auto"/>
              </w:rPr>
            </w:pPr>
          </w:p>
        </w:tc>
      </w:tr>
      <w:tr>
        <w:trPr>
          <w:trHeight w:val="217"/>
        </w:trPr>
        <w:tc>
          <w:tcPr>
            <w:tcW w:w="53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500" w:type="dxa"/>
            <w:vAlign w:val="bottom"/>
          </w:tcPr>
          <w:p>
            <w:pPr>
              <w:spacing w:after="0"/>
              <w:rPr>
                <w:sz w:val="18"/>
                <w:szCs w:val="18"/>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4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tcPr>
          <w:p>
            <w:pPr>
              <w:spacing w:after="0"/>
              <w:rPr>
                <w:sz w:val="18"/>
                <w:szCs w:val="18"/>
                <w:color w:val="auto"/>
              </w:rPr>
            </w:pPr>
          </w:p>
        </w:tc>
        <w:tc>
          <w:tcPr>
            <w:tcW w:w="9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1,137</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w:t>
            </w:r>
          </w:p>
        </w:tc>
        <w:tc>
          <w:tcPr>
            <w:tcW w:w="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1,356</w:t>
            </w:r>
          </w:p>
        </w:tc>
        <w:tc>
          <w:tcPr>
            <w:tcW w:w="4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(1,169)</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237"/>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744</w:t>
            </w:r>
          </w:p>
        </w:tc>
        <w:tc>
          <w:tcPr>
            <w:tcW w:w="500" w:type="dxa"/>
            <w:vAlign w:val="bottom"/>
          </w:tcPr>
          <w:p>
            <w:pPr>
              <w:spacing w:after="0"/>
              <w:rPr>
                <w:sz w:val="20"/>
                <w:szCs w:val="20"/>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1,437</w:t>
            </w:r>
          </w:p>
        </w:tc>
        <w:tc>
          <w:tcPr>
            <w:tcW w:w="420" w:type="dxa"/>
            <w:vAlign w:val="bottom"/>
          </w:tcPr>
          <w:p>
            <w:pPr>
              <w:spacing w:after="0"/>
              <w:rPr>
                <w:sz w:val="20"/>
                <w:szCs w:val="20"/>
                <w:color w:val="auto"/>
              </w:rPr>
            </w:pP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9.3</w:t>
            </w:r>
          </w:p>
        </w:tc>
        <w:tc>
          <w:tcPr>
            <w:tcW w:w="200" w:type="dxa"/>
            <w:vAlign w:val="bottom"/>
          </w:tcPr>
          <w:p>
            <w:pPr>
              <w:spacing w:after="0"/>
              <w:rPr>
                <w:sz w:val="20"/>
                <w:szCs w:val="20"/>
                <w:color w:val="auto"/>
              </w:rPr>
            </w:pP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(693)</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(476)</w:t>
            </w:r>
          </w:p>
        </w:tc>
        <w:tc>
          <w:tcPr>
            <w:tcW w:w="11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587.7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197" w:lineRule="exact"/>
        <w:rPr>
          <w:rFonts w:ascii="Times New Roman" w:cs="Times New Roman" w:eastAsia="Times New Roman" w:hAnsi="Times New Roman"/>
          <w:sz w:val="25"/>
          <w:szCs w:val="25"/>
          <w:color w:val="auto"/>
          <w:vertAlign w:val="superscript"/>
        </w:rPr>
      </w:pPr>
    </w:p>
    <w:p>
      <w:pPr>
        <w:ind w:left="3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following table sets forth, for the periods presented, summary information regarding our revenue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80" w:type="dxa"/>
            <w:vAlign w:val="bottom"/>
          </w:tcPr>
          <w:p>
            <w:pPr>
              <w:spacing w:after="0"/>
              <w:rPr>
                <w:sz w:val="12"/>
                <w:szCs w:val="12"/>
                <w:color w:val="auto"/>
              </w:rPr>
            </w:pPr>
          </w:p>
        </w:tc>
        <w:tc>
          <w:tcPr>
            <w:tcW w:w="1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80" w:type="dxa"/>
            <w:vAlign w:val="bottom"/>
          </w:tcPr>
          <w:p>
            <w:pPr>
              <w:spacing w:after="0"/>
              <w:rPr>
                <w:sz w:val="12"/>
                <w:szCs w:val="12"/>
                <w:color w:val="auto"/>
              </w:rPr>
            </w:pPr>
          </w:p>
        </w:tc>
        <w:tc>
          <w:tcPr>
            <w:tcW w:w="1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80" w:type="dxa"/>
            <w:vAlign w:val="bottom"/>
          </w:tcPr>
          <w:p>
            <w:pPr>
              <w:spacing w:after="0"/>
              <w:rPr>
                <w:sz w:val="12"/>
                <w:szCs w:val="12"/>
                <w:color w:val="auto"/>
              </w:rPr>
            </w:pPr>
          </w:p>
        </w:tc>
        <w:tc>
          <w:tcPr>
            <w:tcW w:w="1240" w:type="dxa"/>
            <w:vAlign w:val="bottom"/>
          </w:tcPr>
          <w:p>
            <w:pPr>
              <w:jc w:val="right"/>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4"/>
        </w:trPr>
        <w:tc>
          <w:tcPr>
            <w:tcW w:w="5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by End Market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Client Devices</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6,489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7,634</w:t>
            </w:r>
          </w:p>
        </w:tc>
      </w:tr>
      <w:tr>
        <w:trPr>
          <w:trHeight w:val="33"/>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Data Center Devices &amp;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4,463</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Client Solutions</w:t>
            </w:r>
          </w:p>
        </w:tc>
        <w:tc>
          <w:tcPr>
            <w:tcW w:w="280" w:type="dxa"/>
            <w:vAlign w:val="bottom"/>
          </w:tcPr>
          <w:p>
            <w:pPr>
              <w:spacing w:after="0"/>
              <w:rPr>
                <w:sz w:val="20"/>
                <w:szCs w:val="20"/>
                <w:color w:val="auto"/>
              </w:rPr>
            </w:pP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3,433</w:t>
            </w:r>
          </w:p>
        </w:tc>
      </w:tr>
      <w:tr>
        <w:trPr>
          <w:trHeight w:val="33"/>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15,530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by Geography (%)</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Asia</w:t>
            </w:r>
          </w:p>
        </w:tc>
        <w:tc>
          <w:tcPr>
            <w:tcW w:w="280" w:type="dxa"/>
            <w:vAlign w:val="bottom"/>
          </w:tcPr>
          <w:p>
            <w:pPr>
              <w:spacing w:after="0"/>
              <w:rPr>
                <w:sz w:val="20"/>
                <w:szCs w:val="20"/>
                <w:color w:val="auto"/>
              </w:rPr>
            </w:pP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0204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1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Prior year information is presented in accordance with the accounting guidance in effect during that period and has not been updated for Topic 606.</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 and Gross Margin</w:t>
      </w:r>
    </w:p>
    <w:p>
      <w:pPr>
        <w:spacing w:after="0" w:line="225"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Revenue. </w:t>
      </w:r>
      <w:r>
        <w:rPr>
          <w:rFonts w:ascii="Times New Roman" w:cs="Times New Roman" w:eastAsia="Times New Roman" w:hAnsi="Times New Roman"/>
          <w:sz w:val="18"/>
          <w:szCs w:val="18"/>
          <w:color w:val="auto"/>
        </w:rPr>
        <w:t>The decrease in net revenue in the three months ended March 29, 2019 from the comparable period of the prior year was primarily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lower average selling prices per gigabyte for flash-based products and lower sales of HDD products. Specifically, Client Devices revenue decreased 29.7% year over year, primarily driven by a reduction in flash-based mobile products and client compute HDD. Our revenue for Data Center Devices and Solutions decreased 25.0% year over year, primarily driven by lower average selling prices per gigabyte of flash-based products as well as lower sales of enterprise SSD, capacity enterprise HDD and performance enterprise HDD products. Client Solutions revenue decreased 22.8% year over year, primarily driven by lower sales of retail HDD and lower average selling prices per gigabyte of flash-based products.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net revenue for the nine months ended March 29, 2019, compared to the same period in the prior year, is primarily due to lower average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prices per gigabyte for flash-based products and lower sales of HDD products. Specifically, Client Devices revenue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2019 decreased 15.0% year over year, primarily driven by lower sales of client compute HDD products and flash-based mobile products and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selling prices per gigabyte of flash-based products, partially offset by higher sales of client SSD. Our revenue for Data Center Devices and Solutions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March 29, 2019 decreased 15.6% year over year, driven primarily by lower sales of our enterprise SSDs and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HDDs. Client Solutions revenue for the nine months ended March 29, 2019 decreased 21.9% year over year, primarily driven by lower sales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HDD and lower average selling prices per gigabyte of flash-based products.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top 10 customers accounted for 41% and 45% of our net revenue for the three and nine months ended March 29, 2019, respectively,</w:t>
      </w:r>
    </w:p>
    <w:p>
      <w:pPr>
        <w:spacing w:after="0" w:line="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and 44% and 42% of our net revenue for the three and nine months ended March 30, 2018, respectively. For the three and nine months ended March 29, 2019 and March 30, 2018, no single customer accounted for 10% or more of our net revenue.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net revenue by geography generally reflect normal fluctuations in market demand and competitive dynamics.</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Consistent with standard industry practice, we have sales incentive and marketing programs that provide customers with price protection and other incentives or reimbursements that are recorded as a reduction to gross revenue. For the three and nine months ended March 29, 2019, these programs represented 17% and 15% of gross revenues, respectively. For the three and nine months ended March 30, 2018, these programs represented 11% and 12% of gross revenues, respectively.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8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The decreases in gross profit for the three and nine months ended March 29, 2019 from the comparable periods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year were primarily due to the lower average selling prices per gigabyte for flash-based products, the flash manufacturing underutilization charges and a charge to cost of revenue of $110 million (3.0% and 0.9% of revenue for the three and nine months ended March 29, 2019, respectively) primarily to reduce component inventory to net realizable value for flash-based multi-chip package products that include externally-sourced dynamic random access memory products. Gross profit and gross margin also include amortization expense on acquired intangible assets, stock-based compensation, a flash manufacturing underutilization charge, and charges related to the implementation of cost-saving initiatives and other charges, which aggregated $349 million, or 9.5%, of revenue, compared to $247 million, or 4.9%, of revenue, for the three months ended March 29, 2019 and March 30, 2018, respectively, and $879 million, or 6.8%, of revenue, compared to $819 million, or 5.3%, of revenue, for the nine months ended March 29, 2019 and March 30, 2018, respectively. We expect gross margins to be negatively impacted by flash manufacturing underutilization charges to be recorded in cost of revenue in the range of $55 million to $75 million with the substantial majority expected to be recognized by the end of the fiscal year.</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decrease in research and development (“R&amp;D”) expense for the three months ended March 29, 2019 from the same period in the prior year is primarily due to lower variable and stock-based compensation expense, as well as progress on our expense reduction actions. The decrease in R&amp;D expense for the nine months ended March 29, 2019 from the same period in the prior year is primarily due to lower variable compensation expense and lower stock-based compensation expenses.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decrease in selling, general and administrative (“SG&amp;A”) expense for the three months ended March 29, 2019 from the same period in the prior year is primarily due to lower variable compensation expense as well as progress on our expense reduction actions, partially offset by higher charges totaling $114 million in the aggregate relating to stock-based compensation expenses, amortization expense on acquired intangible assets, charges related to the implementation of cost-saving initiatives, acquisition-related charges and other charges for the three months ended March 29, 2019 compared to $81 million for the three months ended March 30, 2018.</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121" w:right="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decrease in SG&amp;A expense for the nine months ended March 29, 2019 from the same period in the prior year is primarily due to lower variable compensation expense. In addition, we had lower charges related to stock-based compensation expenses, amortization expense on acquired intangible assets, charges related to the implementation of cost-saving initiatives, acquisition-related charges and other charges, which aggregated to $255 million for the nine months ended March 29, 2019 compared to $268 million in the nine months ended March 30, 2018.</w:t>
      </w:r>
    </w:p>
    <w:p>
      <w:pPr>
        <w:spacing w:after="0" w:line="180"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Employee termination, asset impairment and other charges primarily related to actions associated with the realignment of our business. For additional information regarding employee termination, asset impairment and other charges, see Part I, Item 1, Note 13, </w:t>
      </w:r>
      <w:r>
        <w:rPr>
          <w:rFonts w:ascii="Times New Roman" w:cs="Times New Roman" w:eastAsia="Times New Roman" w:hAnsi="Times New Roman"/>
          <w:sz w:val="18"/>
          <w:szCs w:val="18"/>
          <w:i w:val="1"/>
          <w:iCs w:val="1"/>
          <w:color w:val="auto"/>
        </w:rPr>
        <w:t>Employee Termination, Asset Impairment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Charges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Income (Expense)</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decreases in total interest and other expense, net for both the three and nine months ended March 29, 2019 are primarily due to the loss on extinguishment of debt of $854 million in the prior year as well as lower interest expense resulting from reductions in the principal amount of debt and lower interest rates as a result of changes to our debt facilities in the third and fourth quarters of fiscal 2018, partially offset by increases in the LIBOR interest rate.</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income tax information from our Condensed Consolidated Statements of Operations by dollar and effective tax rate: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8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right"/>
              <w:ind w:right="463"/>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0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60" w:type="dxa"/>
            <w:vAlign w:val="bottom"/>
          </w:tcPr>
          <w:p>
            <w:pPr>
              <w:spacing w:after="0"/>
              <w:rPr>
                <w:sz w:val="12"/>
                <w:szCs w:val="12"/>
                <w:color w:val="auto"/>
              </w:rPr>
            </w:pPr>
          </w:p>
        </w:tc>
        <w:tc>
          <w:tcPr>
            <w:tcW w:w="1280" w:type="dxa"/>
            <w:vAlign w:val="bottom"/>
          </w:tcPr>
          <w:p>
            <w:pPr>
              <w:jc w:val="center"/>
              <w:ind w:right="263"/>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20" w:type="dxa"/>
            <w:vAlign w:val="bottom"/>
          </w:tcPr>
          <w:p>
            <w:pPr>
              <w:spacing w:after="0"/>
              <w:rPr>
                <w:sz w:val="12"/>
                <w:szCs w:val="12"/>
                <w:color w:val="auto"/>
              </w:rPr>
            </w:pPr>
          </w:p>
        </w:tc>
        <w:tc>
          <w:tcPr>
            <w:tcW w:w="1240" w:type="dxa"/>
            <w:vAlign w:val="bottom"/>
          </w:tcPr>
          <w:p>
            <w:pPr>
              <w:jc w:val="right"/>
              <w:ind w:right="383"/>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4"/>
          </w:tcPr>
          <w:p>
            <w:pPr>
              <w:ind w:left="34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4"/>
        </w:trPr>
        <w:tc>
          <w:tcPr>
            <w:tcW w:w="5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(477)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187</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1,356</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tcPr>
          <w:p>
            <w:pPr>
              <w:spacing w:after="0"/>
              <w:rPr>
                <w:sz w:val="20"/>
                <w:szCs w:val="20"/>
                <w:color w:val="auto"/>
              </w:rPr>
            </w:pP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104</w:t>
            </w:r>
          </w:p>
        </w:tc>
        <w:tc>
          <w:tcPr>
            <w:tcW w:w="3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744</w:t>
            </w:r>
          </w:p>
        </w:tc>
        <w:tc>
          <w:tcPr>
            <w:tcW w:w="320" w:type="dxa"/>
            <w:vAlign w:val="bottom"/>
          </w:tcPr>
          <w:p>
            <w:pPr>
              <w:spacing w:after="0"/>
              <w:rPr>
                <w:sz w:val="20"/>
                <w:szCs w:val="20"/>
                <w:color w:val="auto"/>
              </w:rPr>
            </w:pPr>
          </w:p>
        </w:tc>
        <w:tc>
          <w:tcPr>
            <w:tcW w:w="12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1,437</w:t>
            </w:r>
          </w:p>
        </w:tc>
      </w:tr>
      <w:tr>
        <w:trPr>
          <w:trHeight w:val="33"/>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Effective tax rate</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398%</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33"/>
        </w:trPr>
        <w:tc>
          <w:tcPr>
            <w:tcW w:w="5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Tax Cuts and Jobs Act (the “2017 Act”), enacted on December 22, 2017, includes a broad range of tax reform proposals affecting businesses, including a reduction in the U.S. federal corporate tax rate from 35% to 21%, a one-time mandatory deemed repatriation tax on earnings of certain foreign subsidiaries that were previously tax deferred and the creation of new taxes on certain foreign earnings.</w:t>
      </w:r>
    </w:p>
    <w:p>
      <w:pPr>
        <w:spacing w:after="0" w:line="17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When initially accounting for the tax effects of the enactment of the 2017 Act, we applied the applicable Securities and Exchange Commission (“SEC”) guidance and made a reasonable estimate of the effects on our existing deferred tax balances and the one-time mandatory deemed repatriation tax required by the 2017 Act. As we finalized the accounting for the tax effects of the enactment of the 2017 Act during the one-year measurement period permitted by applicable SEC guidance, we reflected adjustments to the recorded provisional amounts. During the second quarter of fiscal 2019, we completed our accounting for the tax effects of the enactment of the 2017 Act. Although the U.S. Treasury and the Internal Revenue Service (“IRS”) have issued tax guidance on certain provisions of the 2017 Act since the enactment date, we anticipate the issuance of future additional regulatory and interpretive guidance, even though the one-year measurement period has ended. Although we were able to apply a reasonable interpretation of the law along with any available guidance in finalizing our accounting for the tax effects of the 2017 Act, such future additional regulatory or interpretive guidance would constitute new information which may require further refinements to our estimates in future periods.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primary driver of the difference between the effective tax rate for the three and nine months ended March 29, 2019 and the U.S. Federal statutory rate of 21% is the discrete effect of the finalization of the accounting for the tax effects of the enactment of the 2017 Act. For the three months ended March 29, 2019, these discrete effects consist of income tax benefits of $71 million related to the mandatory deemed repatriation tax. For the nine months ended March 29, 2019, these discrete effects consist of $107 million related to the mandatory deemed repatriation tax and $152 million related to the decision to change our indefinite reinvestment assertion. For both periods, the remaining difference is attributable primarily to an increase in the estimated effective tax rate due to changes in the relative mix of earnings by jurisdiction, partially offset by credits and tax holidays. The windfall tax benefits resulting from the adoption of ASU 2016-09 were not material for the three and nine months ended March 29, 2019.</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primary drivers for the difference between the effective tax rate for the three months ended March 30, 2018 and the U.S. Federal statutory rate of 28% included discrete effects consisting of an income tax benefit of $211 million from deductible make-whole premiums and the write-off of unamortized issuance costs from our debt financing transactions. The primary drivers for the difference between the effective tax rate for the nine months ended March 30, 2018 and the U.S. Federal statutory rate of 28% were related to the net charge of $1.66 billion for the one-time mandatory deemed repatriation tax, offset in part by an income tax benefit related to the re-measurement of deferred taxes as required by the 2017 Act and deductible make-whole premiums and the write-off of unamortized issuance costs from our debt financing transactions. The primary drivers for the remaining difference between the effective tax rate for the three and nine months ended March 30, 2018 and the U.S. Federal statutory rate of 28% were tax credits and tax holidays in Malaysia, Philippines, Singapore and Thailand that expired or expire at various dates during fiscal years 2018 through 2030 and windfall tax benefits related to vesting and exercises of stock-based awards. The windfall tax benefits are a result of the adoption of ASU 2016-09, which required us to recognize $46 million and $73 million of windfall tax benefits related to vesting and exercises of stock-based awards as a component of our income tax expense for the three and nine months ended March 30, 2018, respectively.</w:t>
      </w:r>
    </w:p>
    <w:p>
      <w:pPr>
        <w:spacing w:after="0" w:line="19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60"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(benefit), see Part I, Item 1, Note 11, </w:t>
      </w:r>
      <w:r>
        <w:rPr>
          <w:rFonts w:ascii="Times New Roman" w:cs="Times New Roman" w:eastAsia="Times New Roman" w:hAnsi="Times New Roman"/>
          <w:sz w:val="18"/>
          <w:szCs w:val="18"/>
          <w:i w:val="1"/>
          <w:iCs w:val="1"/>
          <w:color w:val="auto"/>
        </w:rPr>
        <w:t>Income Tax Expense (Benefit)</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statements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8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40" w:type="dxa"/>
            <w:vAlign w:val="bottom"/>
          </w:tcPr>
          <w:p>
            <w:pPr>
              <w:spacing w:after="0"/>
              <w:rPr>
                <w:sz w:val="12"/>
                <w:szCs w:val="12"/>
                <w:color w:val="auto"/>
              </w:rPr>
            </w:pPr>
          </w:p>
        </w:tc>
        <w:tc>
          <w:tcPr>
            <w:tcW w:w="1120" w:type="dxa"/>
            <w:vAlign w:val="bottom"/>
          </w:tcPr>
          <w:p>
            <w:pPr>
              <w:jc w:val="right"/>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21"/>
                <w:szCs w:val="2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1,378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3,342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r>
      <w:tr>
        <w:trPr>
          <w:trHeight w:val="24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believe our cash, cash equivalents and cash generated from operations as well as our available credit facilities will be sufficient to meet our working capital, debt, stock repurchases, dividend and capital expenditure needs for at least the next twelve months. Our ability to sustain our working capital position is subject to a number of risks that we discuss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See also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below for information regarding the credit agreement governing our revolving credit facility and term loans (as amended, the “Credit Agreement”).</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During fiscal 2019, we expect cash used for purchases of property, plant and equipment and net activity in notes receivable and equity investments relating to our Flash Ventures joint venture with Toshiba Memory Corporation to be approximately $1.50 billion to $1.90 billion. The total expected cash to be used could vary depending on the timing and completion of various capital projects and the availability, timing and terms of related financing.</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 total of $2.55 billion and $4.15 billion of our cash and cash equivalents was held outside of the U.S. as of March 29, 2019 and June 29, 2018, respectively. During the second quarter of fiscal 2019, we finalized the accounting for the tax effects of the mandatory deemed repatriation tax on our indefinite reinvestment assertion. After re-evaluating the existing short- and long-term capital allocation polices, we intend to repatriate all of our foreign undistributed earnings. Our decision to change our indefinite reinvestment assertion is based on interpretative guidance issued by the IRS to date related to the ordering and the taxation of a repatriation of our foreign undistributed earnings. For additional information regarding our indefinite reinvestment assertion, see Part I, Item 1, Note 11,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Cash flow from operating activities primarily consists of net income, adjusted for non-cash charges, plus or minus changes in other operating assets and liabilities. This represents our principal source of cash. Net cash used for changes in other operating assets and liabilities was $7 million for the nine months ended March 29, 2019, as compared to net cash provided of $948 million for the nine months ended March 30, 2018. The net cash provided by changes in other operating assets and liabilities in the nine months ended March 30, 2018 primarily reflects the payable recorded for the mandatory deemed repatriation tax as described in Part I, Item 1, Note 11,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 Changes in our other operating assets and liabilities are also largely affected by our working capital requirements, which are dependent on the effective management of our cash conversion cycle. Our cash conversion cycle measures how quickly we can convert our products into cash through sales. The cash conversion cycles were as follows:</w:t>
      </w:r>
    </w:p>
    <w:p>
      <w:pPr>
        <w:spacing w:after="0" w:line="19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Quarter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9420" w:type="dxa"/>
            <w:vAlign w:val="bottom"/>
            <w:gridSpan w:val="2"/>
          </w:tcPr>
          <w:p>
            <w:pPr>
              <w:ind w:left="89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i w:val="1"/>
                <w:iCs w:val="1"/>
                <w:color w:val="auto"/>
              </w:rPr>
              <w:t>(in days)</w:t>
            </w:r>
          </w:p>
        </w:tc>
        <w:tc>
          <w:tcPr>
            <w:tcW w:w="1180" w:type="dxa"/>
            <w:vAlign w:val="bottom"/>
            <w:tcBorders>
              <w:top w:val="single" w:sz="8" w:color="auto"/>
            </w:tcBorders>
          </w:tcPr>
          <w:p>
            <w:pPr>
              <w:spacing w:after="0"/>
              <w:rPr>
                <w:sz w:val="21"/>
                <w:szCs w:val="21"/>
                <w:color w:val="auto"/>
              </w:rPr>
            </w:pPr>
          </w:p>
        </w:tc>
      </w:tr>
      <w:tr>
        <w:trPr>
          <w:trHeight w:val="255"/>
        </w:trPr>
        <w:tc>
          <w:tcPr>
            <w:tcW w:w="9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Days sales outstanding</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9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Days in inventory</w:t>
            </w: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Days payables outstanding</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conversion cycle</w:t>
            </w:r>
          </w:p>
        </w:tc>
        <w:tc>
          <w:tcPr>
            <w:tcW w:w="108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8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8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29, 2019, DSO decreased by 6 days over the prior year, primarily reflecting the timing of shipments and customer collections and the factoring of receivables. DIO increased by 22 days over the prior year, primarily reflecting increases in hard drive inventory in response to the plant closure in Kuala Lumpur, Malaysia and increases in flash inventory. DPO decreased by 16 days over the prior year, primarily reflecting routine variations in timing of purchases and payments during the period.</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March 29, 2019, net cash used in investing activities primarily consisted of $722 million of capital expenditures and a net $288 million increase in notes receivable issuances to Flash Ventures to fund its capital expansion. Net cash used in investing activities for the nine months ended March 30, 2018 primarily consisted of $643 million of capital expenditures, a $707 million net increase in notes receivable issuances to and investments in Flash Ventures and $99 million for acquisitions.</w:t>
      </w:r>
    </w:p>
    <w:p>
      <w:pPr>
        <w:spacing w:after="0" w:line="18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 as well as bank certificates of deposit. In addition, we invest directly in U.S. Treasury securities, U.S. and International Government agency securities, certificates of deposit, asset-backed securities and corporate and municipal notes and bonds.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March 29, 2019, net cash used in financing activities primarily consisted of $613 million for the repayment of our revolving credit facility and debt, $563 million of share repurchases and $438 million to pay dividends on our common stock. Net cash used in financing activities for the nine months ended March 30, 2018 primarily consisted of $14.58 billion in debt repayments, $443 million to pay dividends on our common stock and $155 million of share repurchases, partially offset by net proceeds of $11.83 billion from debt issuances and draws under our revolving credit facility.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Other than the commitments related to Flash Ventures, facility lease commitments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special-purpose entities. For additional information regarding our off-balance sheet arrangements, see Part I, Item 1, Note 9, </w:t>
      </w:r>
      <w:r>
        <w:rPr>
          <w:rFonts w:ascii="Times New Roman" w:cs="Times New Roman" w:eastAsia="Times New Roman" w:hAnsi="Times New Roman"/>
          <w:sz w:val="18"/>
          <w:szCs w:val="18"/>
          <w:i w:val="1"/>
          <w:iCs w:val="1"/>
          <w:color w:val="auto"/>
        </w:rPr>
        <w:t>Commitments, Contingencies and Related Parties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known contractual cash obligations and commercial commitments as of March 29,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1 Year (Remaining</w:t>
            </w:r>
          </w:p>
        </w:tc>
        <w:tc>
          <w:tcPr>
            <w:tcW w:w="12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2-3 Years (2020-</w:t>
            </w:r>
          </w:p>
        </w:tc>
        <w:tc>
          <w:tcPr>
            <w:tcW w:w="12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4-5 Years (2022-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 months of 2019)</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(Beyond 2023)</w:t>
            </w: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including current portion(1)</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6,707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on debt</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Flash Ventures and other related commitments(2)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Mandatory Deemed Repatriation Tax</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9,726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4,962</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Principal portion of debt, excluding discounts and issuance costs.</w:t>
      </w:r>
    </w:p>
    <w:p>
      <w:pPr>
        <w:spacing w:after="0" w:line="1" w:lineRule="exact"/>
        <w:rPr>
          <w:rFonts w:ascii="Times New Roman" w:cs="Times New Roman" w:eastAsia="Times New Roman" w:hAnsi="Times New Roman"/>
          <w:sz w:val="25"/>
          <w:szCs w:val="25"/>
          <w:color w:val="auto"/>
          <w:vertAlign w:val="superscript"/>
        </w:rPr>
      </w:pPr>
    </w:p>
    <w:p>
      <w:pPr>
        <w:ind w:left="340" w:right="120" w:hanging="332"/>
        <w:spacing w:after="0" w:line="221" w:lineRule="auto"/>
        <w:tabs>
          <w:tab w:leader="none" w:pos="3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had $10.76 billion of debt outstanding as of March 29, 2019, including $7.33 billion of term loans under our Credit Agreement, $2.30 billion of senior unsecured notes due 2024 and $1.10 billion of convertible notes due 2024.</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Under the Credit Agreement, we are required to comply with certain financial covenants with respect to the revolving credit facility and Term Loan A-1, which consist of a leverage ratio and an interest coverage ratio, both of which are based upon a trailing twelve-month Adjusted EBITDA as defined in the Credit Agreement. As of March 29, 2019, we were in compliance with all financial covenants under the Credit Agreement.</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April 2019, we amended the Credit Agreement to include an addback for certain depreciation related payments with respect to the Company’s Flash Ventures in the Adjusted EBITDA calculation and to defer the reductions in required leverage ratios. The amendment provides additional operating flexibility for the term of the Credit Agreement; however, a significant deterioration in our operating results could cause our trailing twelve-month Adjusted EBITDA to drop below the threshold required for compliance with our leverage ratio, which could result in an event of default under the Credit Agreement. If an event of default under the Credit Agreement were to occur and if we were not able to obtain a waiver from the required lenders (or if we were not able to obtain such waiver on terms acceptable to us), there could be significant negative consequences for the Company. See Part II, Item 1A, “</w:t>
      </w:r>
      <w:r>
        <w:rPr>
          <w:rFonts w:ascii="Times New Roman" w:cs="Times New Roman" w:eastAsia="Times New Roman" w:hAnsi="Times New Roman"/>
          <w:sz w:val="18"/>
          <w:szCs w:val="18"/>
          <w:i w:val="1"/>
          <w:iCs w:val="1"/>
          <w:color w:val="auto"/>
        </w:rPr>
        <w:t>Risk Factors—Our high level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may have an adverse impact on our liquidity, restrict our current and future operations, particularly our ability to respond to business opportunities, and increase our vulnerability to adverse economic and industry conditions</w:t>
      </w:r>
      <w:r>
        <w:rPr>
          <w:rFonts w:ascii="Times New Roman" w:cs="Times New Roman" w:eastAsia="Times New Roman" w:hAnsi="Times New Roman"/>
          <w:sz w:val="18"/>
          <w:szCs w:val="18"/>
          <w:color w:val="auto"/>
        </w:rPr>
        <w:t>” for a discussion of risks related to our level of debt, including the consequences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of default thereunder.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21"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40" w:firstLine="324"/>
        <w:spacing w:after="0" w:line="226" w:lineRule="exact"/>
        <w:rPr>
          <w:sz w:val="20"/>
          <w:szCs w:val="20"/>
          <w:color w:val="auto"/>
        </w:rPr>
      </w:pPr>
      <w:r>
        <w:rPr>
          <w:rFonts w:ascii="Times New Roman" w:cs="Times New Roman" w:eastAsia="Times New Roman" w:hAnsi="Times New Roman"/>
          <w:sz w:val="18"/>
          <w:szCs w:val="18"/>
          <w:color w:val="auto"/>
        </w:rPr>
        <w:t xml:space="preserve">Additional information regarding our indebtedness, including information about availability under our revolving credit facility and the principal repayment terms, interest rates, covenants and other key terms of our outstanding indebtedness, is included in Part I, Item 1,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 and Part II, Item 8,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29, 2018.</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2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us. As of March 29, 2019, we were in compliance with all covenants under these Japanese lease facilities. See Part I, Item 1, Note 9, </w:t>
      </w:r>
      <w:r>
        <w:rPr>
          <w:rFonts w:ascii="Times New Roman" w:cs="Times New Roman" w:eastAsia="Times New Roman" w:hAnsi="Times New Roman"/>
          <w:sz w:val="18"/>
          <w:szCs w:val="18"/>
          <w:i w:val="1"/>
          <w:iCs w:val="1"/>
          <w:color w:val="auto"/>
        </w:rPr>
        <w:t>Commitments, Contingencies and Related Parties</w:t>
      </w:r>
      <w:r>
        <w:rPr>
          <w:rFonts w:ascii="Times New Roman" w:cs="Times New Roman" w:eastAsia="Times New Roman" w:hAnsi="Times New Roman"/>
          <w:sz w:val="18"/>
          <w:szCs w:val="18"/>
          <w:color w:val="auto"/>
        </w:rPr>
        <w:t>, of the Notes to Condensed Consolidated Financial Statements included in this Quarterly Report on Form 10-Q for information regarding Flash Ventures.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In addition, we have entered into long-term purchase agreements with various component suppliers, containing minimum quantity requirements. However, the dollar amount of the purchases may depend on the specific products ordered, achievement of pre-defined quantity or quality specifications or future price negotiations. The estimated related minimum purchase requirements are included in “Purchase obligations” in the table above. We have also entered into long-term purchase agreements with various component suppliers that carry fixed volumes and pricing which obligate us to make certain future purchases, contingent on certain conditions of performance, quality and technology of the vendor’s components. These arrangements are included under “Purchase obligations” in the table above.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Deemed Repatriation Tax</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estimated mandatory deemed repatriation tax obligations that are payable in the following fiscal years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Remaining three months of 2019</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w:t>
            </w:r>
          </w:p>
        </w:tc>
      </w:tr>
      <w:tr>
        <w:trPr>
          <w:trHeight w:val="33"/>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1,103</w:t>
            </w:r>
          </w:p>
        </w:tc>
      </w:tr>
      <w:tr>
        <w:trPr>
          <w:trHeight w:val="20"/>
        </w:trPr>
        <w:tc>
          <w:tcPr>
            <w:tcW w:w="9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The 2017 Act allows for the mandatory deemed repatriation tax of $1.25 billion to be payable over an 8-year period without interest. The payments are due with 8% of the tax to be paid in each of the first five years, 15% in the 6th year, 20% in the 7th year, and 25% in the 8th year. As of March 29, 2019, total payments of $150 million have been made towards the mandatory deemed repatriation tax of $1.25 billion for a remaining net tax liability owed of</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$1.10 billion. For additional information regarding our estimate of the total tax liability for the mandatory deemed repatriation tax, see Part I, Item 1, Note 11, </w:t>
      </w:r>
      <w:r>
        <w:rPr>
          <w:rFonts w:ascii="Times New Roman" w:cs="Times New Roman" w:eastAsia="Times New Roman" w:hAnsi="Times New Roman"/>
          <w:sz w:val="18"/>
          <w:szCs w:val="18"/>
          <w:i w:val="1"/>
          <w:iCs w:val="1"/>
          <w:color w:val="auto"/>
        </w:rPr>
        <w:t>Income Tax Expense (Benefit)</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27"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March 29, 2019, the liability for unrecognized tax benefits (excluding accrued interest and penalties) was approximately $708 million. Accrued interest and penalties related to unrecognized tax benefits as of March 29, 2019 was approximately $120 million. Of these amounts, approximately $717 million could result in potential cash payments. We are not able to provide a reasonable estimate of the timing of future tax payments related to these obligations. For additional information regarding our total tax liability for unrecognized tax benefits, see Part I, Item 1, Note 11,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entered into interest rate swap agreements to moderate our exposure to fluctuations in interest rates underlying our variable rate debt. For a description of our current interest rate swaps, see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included in this Quarterly Report on Form 10-Q.</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and Part I, Item 1, Note 6,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8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previously authorized $5.00 billion for the repurchase of our common stock. On July 25, 2018, our Board of Directors authorized a new $5.00 billion share repurchase program that is effective through July 25, 2023, replacing all prior programs. For the three months ended March 29, 2019, we did not make any stock repurchases. For the nine months ended March 29, 2019, we repurchased 0.8 million shares for a total cost of $61 million under the previous authorization and 7.6 million shares for a total cost of $502 million under the new authorization. Therefore, our stock repurchases under all stock repurchase authorizations in effect for the nine months ended March 29, 2019 totaled $563 million. The remaining amount available to be repurchased under our current stock repurchase program as of March 29, 2019 was $4.50 billion. Repurchases under the stock repurchase program may be made in the open market or in privately negotiated transactions and may be made under a Rule 10b5-1 plan. We expect stock repurchases to be funded principally by operating cash flows.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227"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Since the first quarter of 2013, we have issued a quarterly cash dividend. During the nine months ended March 29, 2019, we declared aggregate cash dividends of $1.50 per share on our outstanding common stock totaling $436 million, of which $146 million was paid on April 15, 2019.</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On May 2, 2019, we declared a cash dividend of $0.50 per share of our common stock to our shareholders of record as of June 28, 2019, which will be paid on July 15, 2019. We may modify, suspend, or cancel our cash dividend policy in any manner and at any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82" w:lineRule="exact"/>
        <w:rPr>
          <w:sz w:val="20"/>
          <w:szCs w:val="20"/>
          <w:color w:val="auto"/>
        </w:rPr>
      </w:pPr>
    </w:p>
    <w:p>
      <w:pPr>
        <w:ind w:firstLine="324"/>
        <w:spacing w:after="0" w:line="220" w:lineRule="exact"/>
        <w:rPr>
          <w:sz w:val="20"/>
          <w:szCs w:val="20"/>
          <w:color w:val="auto"/>
        </w:rPr>
      </w:pPr>
      <w:r>
        <w:rPr>
          <w:rFonts w:ascii="Times New Roman" w:cs="Times New Roman" w:eastAsia="Times New Roman" w:hAnsi="Times New Roman"/>
          <w:sz w:val="18"/>
          <w:szCs w:val="18"/>
          <w:color w:val="auto"/>
        </w:rPr>
        <w:t xml:space="preserve">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a discussion of a recently adopted accounting pronouncement that affects our recognition of revenue. There have been no other material changes in our critical accounting policies and estimates from those disclosed in our Annual Report on Form 10-K for the fiscal year ended June 29, 2018. Please refer to Part II, Item 7 of our Annual Report on Form 10-K for the fiscal year ended June 29, 2018 for a discussion of our critical accounting policies and estimates.</w:t>
      </w:r>
    </w:p>
    <w:p>
      <w:pPr>
        <w:spacing w:after="0" w:line="19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Disclosure About Foreign Currency Risk</w:t>
      </w:r>
    </w:p>
    <w:p>
      <w:pPr>
        <w:spacing w:after="0" w:line="229" w:lineRule="exact"/>
        <w:rPr>
          <w:sz w:val="20"/>
          <w:szCs w:val="20"/>
          <w:color w:val="auto"/>
        </w:rPr>
      </w:pPr>
    </w:p>
    <w:p>
      <w:pPr>
        <w:ind w:right="40" w:firstLine="324"/>
        <w:spacing w:after="0" w:line="221" w:lineRule="exact"/>
        <w:rPr>
          <w:sz w:val="20"/>
          <w:szCs w:val="20"/>
          <w:color w:val="auto"/>
        </w:rPr>
      </w:pPr>
      <w:r>
        <w:rPr>
          <w:rFonts w:ascii="Times New Roman" w:cs="Times New Roman" w:eastAsia="Times New Roman" w:hAnsi="Times New Roman"/>
          <w:sz w:val="18"/>
          <w:szCs w:val="18"/>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For additional information, see Part I, Item 1, Note 5, </w:t>
      </w:r>
      <w:r>
        <w:rPr>
          <w:rFonts w:ascii="Times New Roman" w:cs="Times New Roman" w:eastAsia="Times New Roman" w:hAnsi="Times New Roman"/>
          <w:sz w:val="18"/>
          <w:szCs w:val="18"/>
          <w:i w:val="1"/>
          <w:iCs w:val="1"/>
          <w:color w:val="auto"/>
        </w:rPr>
        <w:t>Fair Value Measurements and Investments</w:t>
      </w:r>
      <w:r>
        <w:rPr>
          <w:rFonts w:ascii="Times New Roman" w:cs="Times New Roman" w:eastAsia="Times New Roman" w:hAnsi="Times New Roman"/>
          <w:sz w:val="18"/>
          <w:szCs w:val="18"/>
          <w:color w:val="auto"/>
        </w:rPr>
        <w:t xml:space="preserve"> and Note 6,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20"/>
          </w:cols>
          <w:pgMar w:left="24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March 29, 2019, we had outstanding the foreign exchange contracts presented in the following table. The designated foreign exchange contracts are entered to protect the U.S. dollar value of our product cost and operating expenses. Changes in fair values of the non-designated foreign exchange contracts are recognized in other income (expense), net and are largely offset by corresponding changes in the fair values of the foreign currency denominated monetary assets and liabilities.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Contract Amount</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Weighted-Average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Mark to Market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xml:space="preserve">Contract Rate </w:t>
            </w:r>
            <w:r>
              <w:rPr>
                <w:rFonts w:ascii="Times New Roman" w:cs="Times New Roman" w:eastAsia="Times New Roman" w:hAnsi="Times New Roman"/>
                <w:sz w:val="8"/>
                <w:szCs w:val="8"/>
                <w:color w:val="auto"/>
              </w:rPr>
              <w:t>(1)</w:t>
            </w: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Unrealized Gain (Loss)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0" w:type="dxa"/>
            <w:vAlign w:val="bottom"/>
            <w:gridSpan w:val="3"/>
          </w:tcPr>
          <w:p>
            <w:pPr>
              <w:jc w:val="center"/>
              <w:ind w:left="40"/>
              <w:spacing w:after="0"/>
              <w:rPr>
                <w:sz w:val="20"/>
                <w:szCs w:val="20"/>
                <w:color w:val="auto"/>
              </w:rPr>
            </w:pPr>
            <w:r>
              <w:rPr>
                <w:rFonts w:ascii="Times New Roman" w:cs="Times New Roman" w:eastAsia="Times New Roman" w:hAnsi="Times New Roman"/>
                <w:sz w:val="14"/>
                <w:szCs w:val="14"/>
                <w:color w:val="auto"/>
              </w:rPr>
              <w:t>(in millions, except weighted-average contract rate)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Hedges (cash flow hedges):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Japanese yen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913</w:t>
            </w:r>
          </w:p>
        </w:tc>
        <w:tc>
          <w:tcPr>
            <w:tcW w:w="17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110.26</w:t>
            </w:r>
          </w:p>
        </w:tc>
        <w:tc>
          <w:tcPr>
            <w:tcW w:w="1180" w:type="dxa"/>
            <w:vAlign w:val="bottom"/>
          </w:tcPr>
          <w:p>
            <w:pPr>
              <w:jc w:val="right"/>
              <w:ind w:right="100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Malaysian ringgit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4.16</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Philippine peso</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17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53.42</w:t>
            </w:r>
          </w:p>
        </w:tc>
        <w:tc>
          <w:tcPr>
            <w:tcW w:w="1180" w:type="dxa"/>
            <w:vAlign w:val="bottom"/>
          </w:tcPr>
          <w:p>
            <w:pPr>
              <w:spacing w:after="0"/>
              <w:rPr>
                <w:sz w:val="20"/>
                <w:szCs w:val="20"/>
                <w:color w:val="auto"/>
              </w:rPr>
            </w:pP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Thai baht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31.9</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Total designated forward contracts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1,142</w:t>
            </w:r>
          </w:p>
        </w:tc>
        <w:tc>
          <w:tcPr>
            <w:tcW w:w="170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Non-Designated Hedges: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British pound sterling</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7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0.77</w:t>
            </w:r>
          </w:p>
        </w:tc>
        <w:tc>
          <w:tcPr>
            <w:tcW w:w="1180" w:type="dxa"/>
            <w:vAlign w:val="bottom"/>
          </w:tcPr>
          <w:p>
            <w:pPr>
              <w:jc w:val="right"/>
              <w:ind w:right="100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234</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0.89</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Japanese yen</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3,274</w:t>
            </w:r>
          </w:p>
        </w:tc>
        <w:tc>
          <w:tcPr>
            <w:tcW w:w="17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109.87</w:t>
            </w:r>
          </w:p>
        </w:tc>
        <w:tc>
          <w:tcPr>
            <w:tcW w:w="11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Malaysian ringgit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319</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4.08</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Philippine peso</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c>
          <w:tcPr>
            <w:tcW w:w="17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52.50</w:t>
            </w:r>
          </w:p>
        </w:tc>
        <w:tc>
          <w:tcPr>
            <w:tcW w:w="1180" w:type="dxa"/>
            <w:vAlign w:val="bottom"/>
          </w:tcPr>
          <w:p>
            <w:pPr>
              <w:spacing w:after="0"/>
              <w:rPr>
                <w:sz w:val="20"/>
                <w:szCs w:val="20"/>
                <w:color w:val="auto"/>
              </w:rPr>
            </w:pP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Thai baht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309</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31.65</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 non-designated forward contracts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4,214</w:t>
            </w:r>
          </w:p>
        </w:tc>
        <w:tc>
          <w:tcPr>
            <w:tcW w:w="170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Expressed in units of foreign currency per U.S. dollar.</w:t>
      </w:r>
    </w:p>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29, 2019 and March 30, 2018, total net realized and unrealized transaction and foreign exchange contract currency gains and losses were not material to our Condensed Consolidated Financial Statements.</w:t>
      </w:r>
    </w:p>
    <w:p>
      <w:pPr>
        <w:spacing w:after="0" w:line="162"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About Other Market Risks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Variable Interest Rate Risk</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Borrowings under our revolving credit facility and our term loan A-1 due 2023 bear interest at a rate per annum, at our option, of either an adjusted London Interbank Offered Rate (“LIBOR”) (subject to a 0.0% floor) plus an applicable margin varying from 1.125% to 2.000% or a base rate plus an applicable margin varying from 0.125% to 1.000%, in each case depending on our corporate credit ratings. As of March 29, 2019, the applicable margin based on our current credit ratings was 1.5%. Borrowings under our U.S. Term Loan B-4 due 2023 bear interest at a rate per annum, at our option, of either an adjusted LIBOR (subject to a 0.0% floor) plus a margin of 1.75% or a base rate plus a margin of 0.75%.</w:t>
      </w:r>
    </w:p>
    <w:p>
      <w:pPr>
        <w:spacing w:after="0" w:line="18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have generally held a balance of fixed and variable rate debt. At March 29, 2019, 68% of the par value of our debt was at variable rates. To balance the portfolio, we entered into pay-fixed interest rate swaps on $2.00 billion notional amount, which effectively converts a portion of our term loan to fixed rates through February 2023. As of March 29, 2019, we had $7.33 billion of variable rate debt. After giving effect to the $2.00 billion of interest rate swaps, we effectively had $5.33 billion of long-term debt subject to variations in interest rates and a one percent increase in the variable rate of interest would increase annual interest expense by $53 million.</w:t>
      </w:r>
    </w:p>
    <w:p>
      <w:pPr>
        <w:spacing w:after="0" w:line="182" w:lineRule="exact"/>
        <w:rPr>
          <w:sz w:val="20"/>
          <w:szCs w:val="20"/>
          <w:color w:val="auto"/>
        </w:rPr>
      </w:pPr>
    </w:p>
    <w:p>
      <w:pPr>
        <w:ind w:right="180" w:firstLine="324"/>
        <w:spacing w:after="0" w:line="230" w:lineRule="exact"/>
        <w:rPr>
          <w:sz w:val="20"/>
          <w:szCs w:val="20"/>
          <w:color w:val="auto"/>
        </w:rPr>
      </w:pPr>
      <w:r>
        <w:rPr>
          <w:rFonts w:ascii="Times New Roman" w:cs="Times New Roman" w:eastAsia="Times New Roman" w:hAnsi="Times New Roman"/>
          <w:sz w:val="18"/>
          <w:szCs w:val="18"/>
          <w:color w:val="auto"/>
        </w:rPr>
        <w:t xml:space="preserve">For additional information regarding our indebtedness, see Part I, Item 1,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 and Part II, Item 8,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29, 2018.</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8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fixed assets, supplier management and indirect procure-to-pay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240" w:top="121"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legal proceedings, see Part I, Item 1, Note 14,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the Notes to Condensed Consolidated Financial Statements included in this Quarterly Report on Form 10-Q, which is incorporated by reference in response to this item.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Adverse global economic conditions and credit market uncertainty could harm our business, results of operations and financial condition.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trade and tariff actions announced by the U.S., China and other countries and the referendum by British voters to exit the European Union, commonly referred to as “Brexit,” and changes to policies, rules and regulations, such as potential U.S. export control reform, including with respect to emerging and foundational technology. Some of the risks and uncertainties we face as a result of these conditions include, but are not limited to, the following:</w:t>
      </w:r>
    </w:p>
    <w:p>
      <w:pPr>
        <w:spacing w:after="0" w:line="18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and indirect customers may delay or reduce their purchases of our products and systems containing our products.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demand for our products slows as a result of a deterioration in economic conditions, we may undertake restructuring activities to realign our cost structure with softening demand.</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and payment terms to some of our customers and we could suffer significant losses if a customer whose accounts receivable we have not insured, or have underinsured, fails to pay us on their accounts receivable balances.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negative or uncertain global economic conditions result in circumstances, such as a sustained decline in our stock price and market capitalization or a decrease in our forecasted cash flows, indicating that the carrying value of our long-lived assets or goodwill may be impaired, we could be required to record a significant charge to earnings in our Consolidated Financial Statements.</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These actions and conditions could result in reductions in our revenue, increased operating costs, impairment charges and other expenses, which could adversely affect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right="100" w:firstLine="162"/>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substantially on our business ventures with Toshiba Memory Corporation (“TMC”) for the supply of flash-based memory and the development of flash-based technology, which subjects us to risks and uncertainties that could harm our business, financial condition and operating results.</w:t>
      </w:r>
    </w:p>
    <w:p>
      <w:pPr>
        <w:spacing w:after="0" w:line="13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dependent on our ventures with TMC to develop and manufacture flash-based memory products for our flash-based memory supply, and therefore our business, financial condition and operating results are dependent on the continued success of Flash Ventures. We partner with TMC on the development of flash-based technology, including the next technology transitions of flash-based memory, as well as other non-volatile memory technology in support of Flash Ventures. Flash Ventures is subject to various risks that could harm the value of our investments, our revenue and costs, our future rate of spending, our technology plans and our future growth opportunities.</w:t>
      </w:r>
    </w:p>
    <w:p>
      <w:pPr>
        <w:spacing w:after="0" w:line="184"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Substantially all of our flash-based memory is supplied by Flash Ventures, which limits our ability to respond to market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inventory or inventory write-downs or under-utilization charges, and the potential impairment of our investments in Flash Ventures. On the other hand, if we or TMC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market share as a result. If our flash-based memory supply is limited, we may make strategic decisions with respect to the allocation of our supply among our products and customers, and these strategic allocation decisions may result in less favorable gross margin or damage certain customer relationships. We are also contractually obligated to pay for 50% of the fixed costs of Flash Ventures regardless of whether we purchase any wafers from Flash Ventures. Furthermore, purchase orders placed with Flash Ventures and under the foundry arrangements with TMC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9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our venture agreements with TMC, which govern the operations of Flash Ventures, we have limited power to unilaterally direct most of the activities that most significantly impact Flash Ventures’ performance and we have limits to our ability to source or fabricate flash-based products outside of the Flash Ventures. We may not always agree with TMC on our joint R&amp;D roadmap or expansions or conversions of production capacity. In addition, TMC’s shift in strategic priorities could adversely impact our business.</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June 2018, Toshiba Corporation announced it had completed the sale of TMC, including its interests in Flash Ventures, to a consortium led by SK hynix Inc. and Bain Capital (the “Bain Consortium”) that includes other competitors, as well as key customers. The sale of TMC to the Bain Consortium could lead to delays in decision-making, disputes, or changes in strategic direction that could adversely impact Flash Ventures and/or adversely affect our business prospects, results of operations and financial condition. The Bain Consortium might not have the same interest that we do in protecting and growing Flash Ventures’ business and there may exist conflicts of interest between the Bain Consortium and Flash Ventures or us. Misalignment between us and TMC or the Bain Consortium on the strategic direction of Flash Ventures could adversely impact Flash Ventures’ ability to stay at the forefront of technological advancement and/or our investment in Flash Ventures. Flash Ventures’ competitiveness and/or our investment in Flash Ventures could also be harmed by a mishandling or misuse of IP or other competitively sensitive confidential information regarding Flash Ventures, such as its technology roadmap, business or investment plans, by a third party that might gain access to such information.</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Flash Ventures requires significant investments by both TMC and us for technology transitions, including the transition to 3D NAND, and capacity expansions. The Bain Consortium has entered into financing agreements in connection with its purchase of TMC that could limit TMC’s ability to timely fund or finance investments in Flash Ventures or our joint development efforts, as well as limit Flash Ventures’ ability to enter into lease financings. To the extent that lease financings for Flash Ventures are not accessible on favorable terms or at all, more cash would be required to fund investments. If TMC does not or we do not provide sufficient resources, or have adequate access to credit, to timely fund investments in Flash Ventures, our investments could be delayed or reduced. Delayed or reduced investment in manufacturing capacity or research and development by TMC or us could harm Flash Ventures’ competitiveness and/or our investment in Flash Ventures. In addition, the financing arrangements that the Bain Consortium has entered into in connection with its purchase of TMC are secured by TMC’s equity interests in Flash Ventures, permitting the lenders to foreclose on those equity interests under certain circumstances.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In July 2018, TMC announced that it was starting construction of a new wafer fabrication facility for the manufacture of 3D NAND in Kitakami, Iwate, Japan. Although we intend to enter into agreements with TMC in due course to participate in the new Kitakami facility, there is no certainty as to when, and on what terms, we will do so. If we are unable to extend our partnership with TMC to the Kitakami facility on favorable terms, our future supply of captive flash-based memory could be adversely impacted, which could adversely affect our long-term business and financial results.</w:t>
      </w:r>
    </w:p>
    <w:p>
      <w:pPr>
        <w:spacing w:after="0" w:line="176" w:lineRule="exact"/>
        <w:rPr>
          <w:sz w:val="20"/>
          <w:szCs w:val="20"/>
          <w:color w:val="auto"/>
        </w:rPr>
      </w:pPr>
    </w:p>
    <w:p>
      <w:pPr>
        <w:ind w:right="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participate in a highly competitive industry that is subject to volatile demand, declining average selling prices (“ASPs”), rapid technological change and industry consolidation, all of which could adversely affect our operating results and financial condition.</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including the effects of new fab capacity in the industry, macroeconomic factors, business conditions, technology transitions, and other actions taken by us or our competitors. The price of NAND flash memory is also influenced by conversion of industry DRAM capacity to NAND and conversion of 2D NAND capacity to 3D NAND. The storage market has experienced periods of excess capacity, which can lead to liquidation of excess inventories and significant reductions in price. If these price changes occur unnecessarily or in an unexpected manner, there will likely be an adverse impact on our revenue and gross margins.</w:t>
      </w:r>
    </w:p>
    <w:p>
      <w:pPr>
        <w:spacing w:after="0" w:line="18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In addition, we compete based on our ability to offer our customers competitive solutions that provide the most current and desired product and service features. We expect that competition will continue to be intense, and there is a risk that our competitors may be able to gain a technological or cost structure advantage over us, which may allow their products to be less costly or enable them to provide better performance or to include additional features when compared to our products. Further, some of our competitors may utilize certain pricing strategies, including offering products at prices at or below cost, that we may be unable to competitively match. In addition,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18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Additionally, some of our competitors offer products and technologies that we do not offer and may be able to use their broader product and technology portfolio to win sales from us.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revenue. Rapid technological changes often reduce the volume and profitability of sales of existing products and increase the risk of inventory obsolescence. Finally, the data storage industry as a whole has experienced consolidation over the past several years through acquisitions, mergers and decisions by industry players to exit the industry. Further consolidation across the industry could enhance the capacity, abilities and resources and lower the cost structure of some of our competitors, causing us to be at a competitive disadvantage.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185" w:lineRule="exact"/>
        <w:rPr>
          <w:sz w:val="20"/>
          <w:szCs w:val="20"/>
          <w:color w:val="auto"/>
        </w:rPr>
      </w:pPr>
    </w:p>
    <w:p>
      <w:pPr>
        <w:ind w:right="18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new markets may increase the complexity of our business and cause us to increase our R&amp;D expenses and investments in manufacturing capability, technology enhancements and go-to-market capability, and if we are unable to successfully adapt our business processes and product offerings as required by these new markets, our ability to grow will be adversely affected.</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remain a significant supplier in the storage industry and to expand into new markets, we will need to offer a broader range of storage products to our customers. As we expand our product lines to sell into new markets,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new markets may result in increases in R&amp;D expenses and substantial investments in manufacturing capability, technology enhancements and go-to-market capability. If we fail to successfully expand into new markets with products that we do not currently offer, we may lose business to our competitors or new entrants who offer these products.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21" w:right="2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do not properly manage technology transitions, our competitiveness and operating results may be negatively affected.</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For example,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flash-based memory producers or may not fall commensurate with declines in the price of flash-based memory, which would harm revenues, our gross margin and operating results.</w:t>
      </w:r>
    </w:p>
    <w:p>
      <w:pPr>
        <w:spacing w:after="0" w:line="18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additional technology transition risks related to 3D NAND, see the risk factors entitled “</w:t>
      </w:r>
      <w:r>
        <w:rPr>
          <w:rFonts w:ascii="Times New Roman" w:cs="Times New Roman" w:eastAsia="Times New Roman" w:hAnsi="Times New Roman"/>
          <w:sz w:val="18"/>
          <w:szCs w:val="18"/>
          <w:i w:val="1"/>
          <w:iCs w:val="1"/>
          <w:color w:val="auto"/>
        </w:rPr>
        <w:t>We rely substantially on our business ventures with Toshiba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Memory Corporation (“TMC”) for the supply of flash-based memory and the development of flash-based technology, which subjects us to risks and uncertainties that could harm our business, financial condition and operating results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“Our strategic relationships subject us to risks that could adversely affect our business, financial condition and results of operations.”</w:t>
      </w:r>
    </w:p>
    <w:p>
      <w:pPr>
        <w:spacing w:after="0" w:line="18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HDDs, we announced that we will use microwave-assisted magnetic recording (MAMR) technology to increase HDD capacities. If our HDD technology transitions, including the production ramp of MAMR HDDs, take longer or are more costly to complete than anticipated or if we otherwise fail to implement new HDD technologies successfully, we may not remain competitive with other HDD producers, which could adversely affect our revenues, gross margin and operating results.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Moving to new technologies may require us to align to, and build, a new supply base. Our success in new product areas may be dependent in part on our ability to develop close relationships with new suppliers and on our ability to enter into favorable supply agreements. Where this cannot be done, our business and operations may be adversely affected.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80" w:lineRule="exact"/>
        <w:rPr>
          <w:sz w:val="20"/>
          <w:szCs w:val="20"/>
          <w:color w:val="auto"/>
        </w:rPr>
      </w:pPr>
    </w:p>
    <w:p>
      <w:pPr>
        <w:ind w:right="48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substitution or replacement of our technologies and products by new technologies could make our products obsolete and harm our operating results.</w:t>
      </w:r>
    </w:p>
    <w:p>
      <w:pPr>
        <w:spacing w:after="0" w:line="15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Given the pace of technological development, there is a possibility that new technologies could substitute for or replace our current technologies and products and make them obsolete. Historically, when the industry experiences a fundamental change in storage technologies or standards, any manufacturer that fails to successfully and timely adjust its designs and processes to accommodate or manufacture the new technology or standard fails to remain competitive.</w:t>
      </w:r>
    </w:p>
    <w:p>
      <w:pPr>
        <w:spacing w:after="0" w:line="18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There are some revolutionary technologies that, if implemented by a competitor on a commercially viable basis ahead of the industry, could put us at a competitive disadvantage, including shingled magnetic recording, energy-assisted magnetic recording, patterned magnetic media and advanced signal processing.</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Many companies, including some of our competitors, have also developed or are attempting to develop alternative non-volatile technologies, including non-NAND technologies such as magnetoresistive random-access memory (MRAM), resistive random-access memory (ReRAM) and phase change memory (PCM), and NAND-based vertical or stacked 3D memories based on charge trap, floating gate and other cell architectures.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21" w:right="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do not properly manage new product development, our competitiveness and operating results may be negatively affected.</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develop and introduce new products in a timely manner in order to keep pace with technology advancements and compete with alternative storage technologies. If our products fail to offer a superior value proposition to alternative storage products, we will be at a competitive disadvantage and our business will suffer. As we introduce new products, standards or technologies, it can take time for these new standards or technologies to be adopted, for customers to accept and transition to these new standards or technologies and for significant sales to be generated, if at all. Failure of our customers to adopt our new products, standards or technologies could harm our results of operations as we fail to reap the benefits of our investments.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success of our new product introductions depends on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faced in manufacturing ramp;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at an acceptable cost product features expected by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transition future core, processor and controller development to the RISC-V architecture;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acceptance/qualification;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management of inventory levels in line with anticipated product demand;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customer requests for new products and software associated with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open source software elements into our products and operate in an open source environment;</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software development capability;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go-to-market capability in selling new products.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relationships subject us to risks that could adversely affect our business, financial condition and results of operations.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TMC for flash-based memory development and manufacturing. See the risk factor entitled “</w:t>
      </w:r>
      <w:r>
        <w:rPr>
          <w:rFonts w:ascii="Times New Roman" w:cs="Times New Roman" w:eastAsia="Times New Roman" w:hAnsi="Times New Roman"/>
          <w:sz w:val="18"/>
          <w:szCs w:val="18"/>
          <w:i w:val="1"/>
          <w:iCs w:val="1"/>
          <w:color w:val="auto"/>
        </w:rPr>
        <w:t>Because we are dependent on a limited number of qualified suppliers, a disruption in our supply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Times New Roman" w:cs="Times New Roman" w:eastAsia="Times New Roman" w:hAnsi="Times New Roman"/>
          <w:sz w:val="18"/>
          <w:szCs w:val="18"/>
          <w:color w:val="auto"/>
        </w:rPr>
        <w:t>” for a further description of the risks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reliance on external suppliers. These strategic relationships are subject to various risks that could adversely affect the value of our investments and our results of operations and financial condition. These risks include, but are not limited to, the following:</w:t>
      </w:r>
    </w:p>
    <w:p>
      <w:pPr>
        <w:spacing w:after="0" w:line="189" w:lineRule="exact"/>
        <w:rPr>
          <w:sz w:val="20"/>
          <w:szCs w:val="20"/>
          <w:color w:val="auto"/>
        </w:rPr>
      </w:pPr>
    </w:p>
    <w:p>
      <w:pPr>
        <w:ind w:left="660" w:right="1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right="3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product and technology development at, ramping production at, and transferring technology to, our business ventures;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our business ventures is limited;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co-venturers may be unable to meet their commitments to us or may pose credit risks for our transactions with them;</w:t>
      </w:r>
    </w:p>
    <w:p>
      <w:pPr>
        <w:spacing w:after="0" w:line="225" w:lineRule="exact"/>
        <w:rPr>
          <w:rFonts w:ascii="Times New Roman" w:cs="Times New Roman" w:eastAsia="Times New Roman" w:hAnsi="Times New Roman"/>
          <w:sz w:val="18"/>
          <w:szCs w:val="18"/>
          <w:color w:val="auto"/>
        </w:rPr>
      </w:pPr>
    </w:p>
    <w:p>
      <w:pPr>
        <w:ind w:left="660" w:right="160" w:hanging="328"/>
        <w:spacing w:after="0" w:line="313"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38" w:lineRule="exact"/>
        <w:rPr>
          <w:rFonts w:ascii="Times New Roman" w:cs="Times New Roman" w:eastAsia="Times New Roman" w:hAnsi="Times New Roman"/>
          <w:sz w:val="17"/>
          <w:szCs w:val="17"/>
          <w:color w:val="auto"/>
        </w:rPr>
      </w:pPr>
    </w:p>
    <w:p>
      <w:pPr>
        <w:ind w:left="660" w:right="2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6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bankruptcy event involving a co-venturer could result in the early termination or adverse modification of the business venture or agreements governing the business venture;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co-venturers;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158" w:lineRule="exact"/>
        <w:rPr>
          <w:sz w:val="20"/>
          <w:szCs w:val="20"/>
          <w:color w:val="auto"/>
        </w:rPr>
      </w:pPr>
    </w:p>
    <w:p>
      <w:pPr>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dependent on a limited number of qualified suppliers, a disruption in our supply 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We depend on an external supply base for technologies, software (including firmware), preamps,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w:t>
      </w:r>
    </w:p>
    <w:p>
      <w:pPr>
        <w:spacing w:after="0" w:line="17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Delays or cost increases experienced by our suppliers in developing or sourcing materials and components for use in our products or incompatibility or quality issues relating to our products, could also harm our financial results as well as business relationships with our customers. We do not have long-term contracts with some of our existing suppliers, nor do we always have guaranteed manufacturing capacity with our suppliers and, therefore, we cannot guarantee that they will devote sufficient resources or capacity to manufacturing our products.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our supply base has experienced industry consolidation. Our suppliers may be acquired by our competitors, consolidate, decide to exit the industry, or redirect their investments and increase costs to us, each of which may have an adverse effect on our business and operations. In addition, some of our suppliers have experienced a decline in financial performance. Where we rely on a limited number of suppliers or a single supplier, the risk of supplier loss due to industry consolidation or a decline in financial performance is enhanced. Some of our suppliers may also be competitors in other areas of our business, which could lead to difficulties in price negotiations or meeting our supply requirements. Any disruption in our supply chain could reduce our revenue and adversely impact our financial results.</w:t>
      </w:r>
    </w:p>
    <w:p>
      <w:pPr>
        <w:spacing w:after="0" w:line="18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the risk factors entitled </w:t>
      </w:r>
      <w:r>
        <w:rPr>
          <w:rFonts w:ascii="Times New Roman" w:cs="Times New Roman" w:eastAsia="Times New Roman" w:hAnsi="Times New Roman"/>
          <w:sz w:val="18"/>
          <w:szCs w:val="18"/>
          <w:i w:val="1"/>
          <w:iCs w:val="1"/>
          <w:color w:val="auto"/>
        </w:rPr>
        <w:t>“We rely substantially on our business ventures with Toshiba Memory Corporation (“TMC”) for the supply of flash-based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memory and the development of flash-based technology, which subjects us to risks and uncertainties that could harm our business, financial condition and operating results”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“Our strategic relationships subject us to risks that could adversely affect our business, financial condition and results of operations” </w:t>
      </w:r>
      <w:r>
        <w:rPr>
          <w:rFonts w:ascii="Times New Roman" w:cs="Times New Roman" w:eastAsia="Times New Roman" w:hAnsi="Times New Roman"/>
          <w:sz w:val="18"/>
          <w:szCs w:val="18"/>
          <w:color w:val="auto"/>
        </w:rPr>
        <w:t>for additional risks related to our supply of flash memory and our strategic relationships.</w:t>
      </w:r>
    </w:p>
    <w:p>
      <w:pPr>
        <w:spacing w:after="0" w:line="178" w:lineRule="exact"/>
        <w:rPr>
          <w:sz w:val="20"/>
          <w:szCs w:val="20"/>
          <w:color w:val="auto"/>
        </w:rPr>
      </w:pPr>
    </w:p>
    <w:p>
      <w:pPr>
        <w:ind w:right="6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Price volatility, shortages of critical materials or components, or use by other industries of materials and components used in the storage industry, or contractual commitments we enter into with suppliers to reduce the risk of component shortages, could increase our costs and may negatively impact our operating results.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flash-based memory and multi-layer ceramic capacitors (MLCC),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has imposed restrictions (such as trade and tariff actions) and China or other nations may impose other restrictions,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9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and may cause us to have inadequate or excess component inventory, which could increase our operating costs and adversely affect our operating results.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40" w:top="121" w:right="2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right="3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may be at a competitive disadvantage for retaining and hiring key management, staff and skilled employees versus other companies that may pay a relatively higher portion of fixed salary. If we lose our existing key management, staff or skilled employees, including to our competitors,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187" w:lineRule="exact"/>
        <w:rPr>
          <w:sz w:val="20"/>
          <w:szCs w:val="20"/>
          <w:color w:val="auto"/>
        </w:rPr>
      </w:pPr>
    </w:p>
    <w:p>
      <w:pPr>
        <w:ind w:right="6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a result of our cost structure and strategy of vertical integration, we conduct our operations at large, high volume, purpose-built facilities in California and throughout Asia. The current concentration of Flash Ventures in Yokkaichi, Japan, magnifies the risks of supply disruption. The facilities of many of our customers, our suppliers and our customers’ suppliers are also concentrated in certain geographic locations throughout Asia and elsewhere. A fire, flood, earthquake, tsunami or other natural disaster, condition or event such as a power outage, political instability, civil unrest, localized labor unrest or other employment issues, or a localized health risk that adversely affects any of these facilities or the employees or logistics operators at these facilities, would significantly affect our ability to manufacture or sell our products, which would result in a substantial loss of sales and revenue and a substantial harm to our operating results. In addition, the geographic concentration of our manufacturing sites could exacerbate the negative impacts resulting from any of these problems.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TMC to obtain and maintain sufficient property, business interruption and other insurance for Flash Ventures. If TMC fails to do so, we could suffer significant unreimbursable losses, and such failure could also cause Flash Ventures to breach various financing covenants.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Manufacturing, marketing and selling our products globally subjects us to numerous risks.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requisite governmental permits and approvals, compliance with foreign laws and regulations, changes in foreign laws and regulations;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or restrictions;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121" w:right="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civil unrest and natural disasters;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transportation availability, delays, and extended time required for shipping, which risks may be compounded in periods of price declines;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freight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challenges, including difficulties finding and retaining talent or responding to labor disputes or disruptions;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such as export controls, export bans, embargos, sanctions and license and certification requirements (including on encryption technology), new or increased tariffs and fees and complex customs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levies or similar fees or taxes imposed in European and other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currency and tax controls and reallocations;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labor and overhead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of IP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international operations, including appropriate internal controls;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non-renewal of favorable tax treatment under agreements or treaties with foreign tax authorities.</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a result of these risks, our business, results of operations or financial condition could be adversely affected. Some of these risks, such as trade restrictions, higher tariffs and fees, import and export restrictions or loss of favorable tax treatment under agreements or treaties with foreign tax authorities, could increase as a result of changes to trade agreements, policies, rules and regulations. For example, beginning in early 2018, the U.S. commenced certain trade actions, including proposed new and increased tariffs on an evolving list of imported materials and products. Countries have responded to these actions in various ways, including proposed tariff increases on products imported from the U.S. We cannot predict whether, or to what extent, there may be changes to international trade agreements or whether tariffs, export controls, or other restrictions may be changed or imposed on our products, our customers or our supply chain. Such tariffs, policy or regulatory changes, international trade agreements or trade restrictions have in the past adversely affected and may in the future adversely affect our ability to sell to certain customers or could increase our cost of doing business, which could adversely affect our operating results and financial condition.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experience sales seasonality and cyclicality, which could cause our operating results to fluctuate.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Sales of computer systems, mobile devices, storage subsystems, gaming consoles and consumer electronics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60"/>
          </w:cols>
          <w:pgMar w:left="240" w:top="121" w:right="2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right="2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that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190" w:lineRule="exact"/>
        <w:rPr>
          <w:sz w:val="20"/>
          <w:szCs w:val="20"/>
          <w:color w:val="auto"/>
        </w:rPr>
      </w:pPr>
    </w:p>
    <w:p>
      <w:pPr>
        <w:ind w:right="3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cost saving initiatives or restructurings that we undertake may result in disruptions to our operations and may not deliver the results we expect, which may adversely affect our business.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engage in cost saving initiatives and restructurings that may result in workforce reduction and consolidation of our manufacturing or other facilities. As a result of any cost saving initiatives or restructurings,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or that additional costs will not offset any such reductions or consolidations. If our operating costs are higher than we expect or if we do not maintain adequate control of our costs and expenses, our operating results could be adversely affected.</w:t>
      </w:r>
    </w:p>
    <w:p>
      <w:pPr>
        <w:spacing w:after="0" w:line="184" w:lineRule="exact"/>
        <w:rPr>
          <w:sz w:val="20"/>
          <w:szCs w:val="20"/>
          <w:color w:val="auto"/>
        </w:rPr>
      </w:pPr>
    </w:p>
    <w:p>
      <w:pPr>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demand for our products, changes in product life cycles and the failure to qualify our products and achieve design wins with our customers could adversely affect our sales, margins, ASPs and our ability to recover the cost of product development.</w:t>
      </w:r>
    </w:p>
    <w:p>
      <w:pPr>
        <w:spacing w:after="0" w:line="15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Events or circumstances that impact demand in the markets for our products, or our inability to address that demand successfully, could materially adversely impact our operating results. For example, demand for our products may be affected by, among other factors, the following: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demand from customers whose sales are correlated to large projects and expansions which can be sporadic;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customer development of storage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regulation and enforcement of digital rights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new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demand due to differing patterns of technology adoption and innovation;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data protection by end users.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121" w:right="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we are not able to respond to these or other events or circumstances that impact demand for our products, it could lead to our customers’ storage needs being satisfied by competing storage technologies, thereby decreasing our sales. As a result, even with increasing aggregate demand for digital storage, if we fail to anticipate or timely respond to the demand for storage, our sales, ASPs and gross margin could decline, which could adversely affect our operating results and financial condition.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Product life cycles may lengthen or shorten, both of which could adversely affect gross margins or our ability to recover the cost of product development.</w:t>
      </w:r>
    </w:p>
    <w:p>
      <w:pPr>
        <w:spacing w:after="0" w:line="23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regularly engage in new product qualification with our customers, and the product qualification process may be lengthy for some customers. Once a product is accepted for qualification testing, failures or delays in the qualification process can result in delayed or reduced product sales, reduced product margins or lost sales to that customer until the next generation of products is introduced.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w:t>
      </w:r>
    </w:p>
    <w:p>
      <w:pPr>
        <w:spacing w:after="0" w:line="184" w:lineRule="exact"/>
        <w:rPr>
          <w:sz w:val="20"/>
          <w:szCs w:val="20"/>
          <w:color w:val="auto"/>
        </w:rPr>
      </w:pPr>
    </w:p>
    <w:p>
      <w:pPr>
        <w:ind w:right="3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high level of debt may have an adverse impact on our liquidity, restrict our current and future operations, particularly our ability to respond to business opportunities, and increase our vulnerability to adverse economic and industry conditions.</w:t>
      </w:r>
    </w:p>
    <w:p>
      <w:pPr>
        <w:spacing w:after="0" w:line="15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As of March 29, 2019, our total indebtedness was $10.76 billion in aggregate principal, and we had $2.25 billion of additional borrowing availability under our revolving credit facility.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right="4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in the future for working capital, capital expenditures, acquisitions or other general corporate purposes;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financial and other restrictive covenants on our operations, including limiting our ability to (i) declare or pay dividends or repurchase shares of our common stock; (ii) purchase assets, make investments, complete acquisitions, consolidate or merge with or into, or sell all or substantially all of our assets to, another person; (iii) dispose of assets; (iv) incur liens; and (v) enter into transactions with affiliates;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competitors carrying less debt; and</w:t>
      </w:r>
    </w:p>
    <w:p>
      <w:pPr>
        <w:spacing w:after="0" w:line="225"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economic downturns and limiting our ability to withstand competitive pressures or take advantage of new opportunities to grow our business.</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ability to meet the debt service obligations and to comply with the financial and other restrictive covenants contained in our debt agreements will depend on our cash flows and future performance, which will be affected by financial, business, economic and other factors. Our bank debt also contains a variable interest rate component based on our corporate credit ratings, which could result in increased interest rates and debt service obligations if our ratings were to decline. If we are unable to meet our debt service obligations or should we fail to comply with our financial and other restrictive covenants contained in the agreements governing our indebtedness, it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If we are required to repay our indebtedness before the applicable due dates, we may not have sufficient funds available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121" w:right="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credit ratings impacting the interest rate on our current debt, our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17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credit agreement uses LIBOR as a reference rate for our term loans and revolving credit facility, such that the interest rate applicable to such loans may, at our option, be calculated based on LIBOR. In July 2017, the U. K.’s Financial Conduct Authority, which regulates LIBOR, announced that it intends to phase out LIBOR by the end of 2021. The U.S. Federal Reserve has begun publishing a Secured Overnight Funding Rate (“SOFR”), which is intended to replace U.S. dollar LIBOR. Plans for alternative reference rates for other currencies have also been announced. At this time, we cannot predict how markets will respond to these proposed alternative rates or the effect of any changes to LIBOR or the discontinuation of LIBOR. If LIBOR is no longer available or if our lenders have increased costs due to changes in LIBOR, we may experience potential increases in interest rates on our variable rate debt, which could adversely impact our interest expense, results of operations and cash flows.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may from time to time seek to further refinance our substantial indebtedness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increase our worldwide tax rate and materially affect our financial position and results of operations.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December 22, 2017, the President of the United States of America signed the Tax Cuts and Jobs Act (the “2017 Act”), which includes a broad range of tax reform proposals affecting businesses, including a reduction in the U.S. federal corporate tax rate from 35% to 21%, a one-time mandatory deemed repatriation tax on earnings of certain foreign subsidiaries that were previously tax deferred, and a new minimum tax on certain foreign earnings. The 2017 Act significantly impacted our effective tax rate for fiscal year 2018 and also impacted our effective tax rate for the first, second and third quarters of fiscal 2019. Taxes due over a period of time as a result of the 2017 Act could be accelerated upon certain triggering events, including failure to pay such taxes when due. We have completed our analysis of the impact of the 2017 Act within the one-year measurement period allowed by the Securities and Exchange Commission. However, we may see future regulatory, administrative or legislative guidance which may further impact our effective tax rate.</w:t>
      </w:r>
    </w:p>
    <w:p>
      <w:pPr>
        <w:spacing w:after="0" w:line="18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addition, many countries in the European Union and around the globe have adopted and/or proposed changes to current tax laws.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loss or non-renewal of favorable tax treatment under agreements or treaties with foreign tax authorities.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right="5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income taxes in the U.S.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statutory notices of deficiency seeking certain adjustments to income and have filed petitions with the U.S. Tax Court as disclosed in Part I, Item 1, Note 11, </w:t>
      </w:r>
      <w:r>
        <w:rPr>
          <w:rFonts w:ascii="Times New Roman" w:cs="Times New Roman" w:eastAsia="Times New Roman" w:hAnsi="Times New Roman"/>
          <w:sz w:val="18"/>
          <w:szCs w:val="18"/>
          <w:i w:val="1"/>
          <w:iCs w:val="1"/>
          <w:color w:val="auto"/>
        </w:rPr>
        <w:t>Income Tax Expense (Benefit)</w:t>
      </w:r>
      <w:r>
        <w:rPr>
          <w:rFonts w:ascii="Times New Roman" w:cs="Times New Roman" w:eastAsia="Times New Roman" w:hAnsi="Times New Roman"/>
          <w:sz w:val="18"/>
          <w:szCs w:val="18"/>
          <w:color w:val="auto"/>
        </w:rPr>
        <w:t>, of the Notes to Condensed Consolidated Financial Statements included in this Quarterly Report on Form 10-Q. Although we believe our tax positions are properly supported, the final timing and resolution of any tax examinations are subject to significant uncertainty and could result in our having to pay significant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181" w:lineRule="exact"/>
        <w:rPr>
          <w:sz w:val="20"/>
          <w:szCs w:val="20"/>
          <w:color w:val="auto"/>
        </w:rPr>
      </w:pPr>
    </w:p>
    <w:p>
      <w:pPr>
        <w:ind w:right="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experience cyber attacks of varying degrees on our technology infrastructure and systems and, as a result, unauthorized parties have obtained in the past, and may in the future obtain, access to our computer systems and networks, including cloud-based platforms. The technology infrastructure and systems of our suppliers, vendors, service providers, cloud solution providers and partners have in the past experienced and may in the future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or fraud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 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TMC, to undertake certain commitments to promote information security, and we may be liable to TMC or such other parties if we fail to meet our cyber security commitments.</w:t>
      </w:r>
    </w:p>
    <w:p>
      <w:pPr>
        <w:spacing w:after="0" w:line="19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0"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60"/>
          </w:cols>
          <w:pgMar w:left="240" w:top="121"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right="5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operating results could suffer.</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18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adverse publicity, whether or not justified, or allegations of product or service quality issues, even if false or unfounded, could damage our reputation and cause our customers to choose products offered by our competitors. If customers no longer maintain a preference for our product brands or if our retailers are not successful in selling our products, our operating results may be adversely affected.</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Loss of market share with or by a key customer, or consolidation among our customer base, could harm our operating results.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29, 2019, 41%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our sales to a key customer are prohibited by law, regulation or other government action,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if there is consolidation among our customer base, our customers may be able to command increased leverage in negotiating prices and other terms of sale, which could adversely affect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right="18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make significant R&amp;D investments to maintain our existing products and to lead innovation and development of new technologies. In addition, we may increase our capital expenditures and expenses above our historical run-rate model in order to remain competitive. The challenges of reducing operating costs could result in more costly capital expenditures that reduce the cost benefits of technology transitions and could limit our ability to keep pace with reductions in ASPs. Our R&amp;D investments may not result in viable technologies or products, and even if they do result in viable technologies or products, they may not be profitable or accepted by the market. In addition, if we are not able to improve our technology or develop new technologies at the same rate as our competitors or at a rate that is expected by our customers, we may be required to incur additional costs to meet demand without corresponding incremental revenue, which could negatively impact our operating margins and make achieving historical levels of cost reduction difficult or unlikely.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82" w:lineRule="exact"/>
        <w:rPr>
          <w:sz w:val="20"/>
          <w:szCs w:val="20"/>
          <w:color w:val="auto"/>
        </w:rPr>
      </w:pPr>
    </w:p>
    <w:p>
      <w:pPr>
        <w:ind w:right="26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8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addition, third-party components or applications that we incorporate or use in our products may contain defects in design or manufacturing that could unexpectedly result in epidemic failures, security vulnerabilities or performance issues and subject us to liability.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121" w:right="2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right="4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0"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85" w:lineRule="exact"/>
        <w:rPr>
          <w:sz w:val="20"/>
          <w:szCs w:val="20"/>
          <w:color w:val="auto"/>
        </w:rPr>
      </w:pPr>
    </w:p>
    <w:p>
      <w:pPr>
        <w:ind w:right="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5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8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IP and other proprietary information subjects us to the risk that these key ingredients of our business could be copied by competitors.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80"/>
          </w:cols>
          <w:pgMar w:left="240" w:top="121" w:right="2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costs of compliance with state, federal and international legal and regulatory requirements, such as environmental, labor, trade, health, safety, data privacy, anti-corruption and tax regulations, customers’ standards of corporate citizenship, and industry and coalition standards, such as those established by the Responsible Business Alliance (“RBA”), could cause an increase in our operating costs.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and may become subject to additional, state, federal and international laws and regulations governing our environmental, labor, trade, health, safety, data privacy,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18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184" w:lineRule="exact"/>
        <w:rPr>
          <w:sz w:val="20"/>
          <w:szCs w:val="20"/>
          <w:color w:val="auto"/>
        </w:rPr>
      </w:pPr>
    </w:p>
    <w:p>
      <w:pPr>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 of applicable laws, including labor or environmental laws, and certain other practices by our suppliers, customers or partners could harm our business.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 interrupting or otherwise disrupting the shipment of our product components, damaging our reputation, forcing us to find alternate component sources, reducing demand for our products (for example, through a consumer boycott), or exposing us to potential liability for our suppliers’, customers’ or partners’ wrongdoings.</w:t>
      </w:r>
    </w:p>
    <w:p>
      <w:pPr>
        <w:spacing w:after="0" w:line="184" w:lineRule="exact"/>
        <w:rPr>
          <w:sz w:val="20"/>
          <w:szCs w:val="20"/>
          <w:color w:val="auto"/>
        </w:rPr>
      </w:pPr>
    </w:p>
    <w:p>
      <w:pPr>
        <w:ind w:right="28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sales, ASPs and gross margin, thereby adversely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right="7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vertical integration of some of our products makes us dependent on our ability to timely and cost-effectively develop products with leading technology and overall quality, increasing capital expenditure costs and asset utilization risks for our business.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develop flash-based memory as well as other non-volatile memory technology through our partnership with TMC; we are also vertically integrated in a substantial portion of the recording heads and magnetic media used in the hard drive products we produce. Consequently, for some of our products, we are more dependent upon our own development and execution efforts and less able to take advantage of technologies developed by other manufacturers. Since we may not have access to alternative technologies that we do not develop internally, we may have to pay royalties in order to access those technologies.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may be unsuccessful in timely and cost-effectively developing and manufacturing products using future technologies. We also may not effectively transition our design and technology to achieve acceptable manufacturing yields using the technologies necessary to satisfy our customers’ product needs, or we may encounter quality problems with the products we manufacture. If we are unable to timely and cost-effectively develop products with leading technology and overall quality, continuing the cost reductions necessary to maintain adequate gross margin and our ability to sell our products may be significantly diminished, which could materially and adversely affect our business and financial results.</w:t>
      </w:r>
    </w:p>
    <w:p>
      <w:pPr>
        <w:spacing w:after="0" w:line="18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Further, as a result of our vertical integration of some of our products, we make more capital investments and carry a higher percentage of fixed costs than we would if we were not vertically integrated. If our overall level of production decreases for any reason, and we are unable to reduce our fixed costs to match sales, some of our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these challenges, our ongoing operations could be disrupted, resulting in a decrease in our revenue or profit margins and negatively impacting our operating results.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Terrorist attacks may adversely affect our business and operating results.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continued threat of terrorist activity and other acts of war or hostility have created, and may continue to create,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Future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Sudden disruptions to the availability of air transportation, or ocean or land freight lanes, could have an impact on our operations.</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ind w:right="8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185" w:lineRule="exact"/>
        <w:rPr>
          <w:sz w:val="20"/>
          <w:szCs w:val="20"/>
          <w:color w:val="auto"/>
        </w:rPr>
      </w:pPr>
    </w:p>
    <w:p>
      <w:pPr>
        <w:ind w:right="6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Flash Ventures sells to and leases back from a consortium of financial institutions (“lessors”) a portion of its equipment and Flash Ventures has entered into equipment lease agreements, most of which we and TMC each guarantee half of the total outstanding obligations and some of which we guarantee in full for our share of the Flash Ventures investment. As of March 29, 2019, the portion of outstanding Flash Ventures’ lease obligations covered by our guarantees totaled approximately $1.42 billion, based upon the Japanese yen to U.S. dollar exchange rate at March 29, 2019.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 bankruptcy event involving a guarantor and acceleration of other monetary debts of a guarantor above a specified threshold.</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184" w:lineRule="exact"/>
        <w:rPr>
          <w:sz w:val="20"/>
          <w:szCs w:val="20"/>
          <w:color w:val="auto"/>
        </w:rPr>
      </w:pPr>
    </w:p>
    <w:p>
      <w:pPr>
        <w:ind w:right="3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decisions to reduce or discontinue paying cash dividends to our shareholders or to reduce or discontinue repurchases of shares of our common stock pursuant to our previously announced stock repurchase program could cause the market price for our common stock to decline.</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may modify, suspend or cancel our cash dividend policy in any manner and at any time. In addition, we may reduce or discontinue repurchases of shares of our common stock as we deem appropriate and as market conditions allow. Any reduction or discontinuance by us of the payment of quarterly cash dividends or the repurchases of our common stock pursuant to our stock repurchase program could cause the market price of our common stock to decline. Moreover, in the event our payment of quarterly cash dividends or repurchases of shares of our common stock are reduced or discontinued, our failure or inability to resume paying cash dividends or repurchasing shares of our common stock at historical levels could cause the market price of our common stock to decline.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121" w:right="2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as a result of our international operations may negatively affect our operating results.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which could negatively impact our operating results. If any of these events occur, they would have a negative impact on our operating results.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84" w:lineRule="exact"/>
        <w:rPr>
          <w:sz w:val="20"/>
          <w:szCs w:val="20"/>
          <w:color w:val="auto"/>
        </w:rPr>
      </w:pPr>
    </w:p>
    <w:p>
      <w:pPr>
        <w:ind w:right="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81" w:lineRule="exact"/>
        <w:rPr>
          <w:sz w:val="20"/>
          <w:szCs w:val="20"/>
          <w:color w:val="auto"/>
        </w:rPr>
      </w:pPr>
    </w:p>
    <w:p>
      <w:pPr>
        <w:ind w:right="36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demand for one or more product categories;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orders from and shipment of products to major customers, loss of major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ASPs of our products and lower margins;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right="6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output, capacity or inventory, resulting in lower ASPs, financial charges or impairments, or insufficient output, capacity or inventory, resulting in lost revenue opportunities;</w:t>
      </w:r>
    </w:p>
    <w:p>
      <w:pPr>
        <w:spacing w:after="0" w:line="16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transition to 3D NAND or other technology developments, or other failure to reduce product costs to keep pace with reduction in ASPs;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or interruptions;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design wins or customer qualifications, acceptance by customers of competing products in lieu of our products;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realize the potential benefits of our acquisitions and the success of our integration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penetrate new markets for our storage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cost of and lead times for components for our products, disruptions of our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components that we obtain from a single or a limited number of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other fluctuations in demand often due to technological advances;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costs due to warranty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 a result of currency exchange rate fluctuations;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rates of transportation.</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76" w:lineRule="exact"/>
        <w:rPr>
          <w:sz w:val="20"/>
          <w:szCs w:val="20"/>
          <w:color w:val="auto"/>
        </w:rPr>
      </w:pPr>
    </w:p>
    <w:p>
      <w:pPr>
        <w:ind w:right="2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protection adjustments and other sales promotions and allowances on products sold to retailers, resellers and distributors;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adjustments for write-down of inventories to lower of cost or market value (net realizable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goodwill and other long-lived assets for impairment;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product returns;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litigation and other contingencies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unrecognized tax benefits;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provisional estimates related to tax reform.</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60"/>
          </w:cols>
          <w:pgMar w:left="240" w:top="121" w:right="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volatile.</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volatile. Factors that may significantly affect the market price of our common stock include the following:</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those resulting from the seasonality of our business;</w:t>
      </w:r>
    </w:p>
    <w:p>
      <w:pPr>
        <w:spacing w:after="0" w:line="225"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our strategic relationships and joint ventures, access to supply of flash-based memory, new technologies and technology transitions;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introduced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competitors, such as acquisitions and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of severe pricing pressures due to oversupply or price erosion resulting from competitive pressures or industry consolidation;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proprietary rights, and any litigation;</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or adopted regulatory changes or developments or anticipated or pending investigations, proceedings or litigation that involve or affect us or our competitors;</w:t>
      </w:r>
    </w:p>
    <w:p>
      <w:pPr>
        <w:spacing w:after="0" w:line="161" w:lineRule="exact"/>
        <w:rPr>
          <w:rFonts w:ascii="Times New Roman" w:cs="Times New Roman" w:eastAsia="Times New Roman" w:hAnsi="Times New Roman"/>
          <w:sz w:val="18"/>
          <w:szCs w:val="18"/>
          <w:color w:val="auto"/>
        </w:rPr>
      </w:pPr>
    </w:p>
    <w:p>
      <w:pPr>
        <w:ind w:left="660" w:right="10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hard drive, solid-state storage, flash memory, computer, mobile, data and content management, storage and communication industries;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contraction in our operating results or growth rates that are lower than our previous high growth-rate periods;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dividends and share repurchases;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that affect the market generally and, in particular, developments related to market conditions for our industry.</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88"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Further, a sustained decline in our stock price or market capitalization are among the factors that may be considered a change in circumstances indicating that the carrying value of our long-lived assets or goodwill may be impaired and, if an impairment review is triggered, could require us to record a significant charge to earnings in our Consolidated Financial Statements.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121" w:right="2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cash balances and investment portfolio are subject to various risks, any of which could adversely impact our financial position.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quarter ended March 29,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repurchases of shares of our common stock during the quarter ended March 29, 2019.</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3" w:lineRule="exact"/>
        <w:rPr>
          <w:sz w:val="20"/>
          <w:szCs w:val="20"/>
          <w:color w:val="auto"/>
        </w:rPr>
      </w:pPr>
    </w:p>
    <w:p>
      <w:pPr>
        <w:ind w:right="300" w:firstLine="8"/>
        <w:spacing w:after="0" w:line="250"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ind w:right="140" w:firstLine="8"/>
        <w:spacing w:after="0" w:line="261" w:lineRule="auto"/>
        <w:tabs>
          <w:tab w:leader="none" w:pos="3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60"/>
          </w:cols>
          <w:pgMar w:left="240" w:top="121"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INDEX</w:t>
      </w:r>
    </w:p>
    <w:p>
      <w:pPr>
        <w:sectPr>
          <w:pgSz w:w="11900" w:h="16838" w:orient="portrait"/>
          <w:cols w:equalWidth="0" w:num="1">
            <w:col w:w="11400"/>
          </w:cols>
          <w:pgMar w:left="240" w:top="121" w:right="259" w:bottom="1440" w:gutter="0" w:footer="0" w:header="0"/>
        </w:sect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Number</w:t>
      </w:r>
    </w:p>
    <w:p>
      <w:pPr>
        <w:spacing w:after="0" w:line="85"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2.1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34290</wp:posOffset>
            </wp:positionV>
            <wp:extent cx="7229475" cy="4546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29475" cy="454660"/>
                    </a:xfrm>
                    <a:prstGeom prst="rect">
                      <a:avLst/>
                    </a:prstGeom>
                    <a:noFill/>
                  </pic:spPr>
                </pic:pic>
              </a:graphicData>
            </a:graphic>
          </wp:anchor>
        </w:drawing>
      </w:r>
    </w:p>
    <w:p>
      <w:pPr>
        <w:spacing w:after="0" w:line="5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1" w:lineRule="exact"/>
        <w:rPr>
          <w:sz w:val="20"/>
          <w:szCs w:val="20"/>
          <w:color w:val="auto"/>
        </w:rPr>
      </w:pPr>
    </w:p>
    <w:p>
      <w:pPr>
        <w:sectPr>
          <w:pgSz w:w="11900" w:h="16838" w:orient="portrait"/>
          <w:cols w:equalWidth="0" w:num="2">
            <w:col w:w="900" w:space="400"/>
            <w:col w:w="1010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gridSpan w:val="4"/>
          </w:tcPr>
          <w:p>
            <w:pPr>
              <w:jc w:val="center"/>
              <w:ind w:left="310"/>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360" w:type="dxa"/>
            <w:vAlign w:val="bottom"/>
          </w:tcPr>
          <w:p>
            <w:pPr>
              <w:spacing w:after="0"/>
              <w:rPr>
                <w:sz w:val="17"/>
                <w:szCs w:val="17"/>
                <w:color w:val="auto"/>
              </w:rPr>
            </w:pP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Amended and Restated Certificate of Incorporation of Western Digital Corporation, as amended to date (Filed as Exhibit 3.1 to the</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Company’s Quarterly Report on Form 10-Q (File No. 1-08703) with the Securities and Exchange Commission on February 8, 2006)</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40" w:type="dxa"/>
            <w:vAlign w:val="bottom"/>
            <w:gridSpan w:val="4"/>
            <w:shd w:val="clear" w:color="auto" w:fill="CCEEFF"/>
          </w:tcPr>
          <w:p>
            <w:pPr>
              <w:jc w:val="center"/>
              <w:ind w:left="310"/>
              <w:spacing w:after="0" w:line="202" w:lineRule="exact"/>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360" w:type="dxa"/>
            <w:vAlign w:val="bottom"/>
            <w:shd w:val="clear" w:color="auto" w:fill="CCEEFF"/>
          </w:tcPr>
          <w:p>
            <w:pPr>
              <w:spacing w:after="0"/>
              <w:rPr>
                <w:sz w:val="17"/>
                <w:szCs w:val="17"/>
                <w:color w:val="auto"/>
              </w:rPr>
            </w:pPr>
          </w:p>
        </w:tc>
        <w:tc>
          <w:tcPr>
            <w:tcW w:w="1028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Amended and Restated By-Laws of Western Digital Corporation, as amended effective as of May 2, 2018 (Filed as Exhibit 3.1 to the</w:t>
            </w:r>
          </w:p>
        </w:tc>
      </w:tr>
      <w:tr>
        <w:trPr>
          <w:trHeight w:val="244"/>
        </w:trPr>
        <w:tc>
          <w:tcPr>
            <w:tcW w:w="20" w:type="dxa"/>
            <w:vAlign w:val="bottom"/>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Company’s Current Report on Form 8-K (File No. 1-08703) with the Securities and Exchange Commission on May 7, 2018)</w:t>
            </w:r>
          </w:p>
        </w:tc>
      </w:tr>
      <w:tr>
        <w:trPr>
          <w:trHeight w:val="203"/>
        </w:trPr>
        <w:tc>
          <w:tcPr>
            <w:tcW w:w="20" w:type="dxa"/>
            <w:vAlign w:val="bottom"/>
          </w:tcPr>
          <w:p>
            <w:pPr>
              <w:spacing w:after="0"/>
              <w:rPr>
                <w:sz w:val="17"/>
                <w:szCs w:val="17"/>
                <w:color w:val="auto"/>
              </w:rPr>
            </w:pPr>
          </w:p>
        </w:tc>
        <w:tc>
          <w:tcPr>
            <w:tcW w:w="1100" w:type="dxa"/>
            <w:vAlign w:val="bottom"/>
            <w:gridSpan w:val="5"/>
          </w:tcPr>
          <w:p>
            <w:pPr>
              <w:jc w:val="center"/>
              <w:spacing w:after="0" w:line="202"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2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Offer Letter, dated April 1, 2019, to Robert Eulau†*</w:t>
            </w:r>
          </w:p>
        </w:tc>
      </w:tr>
      <w:tr>
        <w:trPr>
          <w:trHeight w:val="48"/>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78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FF"/>
              </w:rPr>
            </w:pPr>
            <w:hyperlink w:anchor="page9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28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Amendment No. 9, dated as of April 29, 2019, to the Loan Agreement dated as of April 29, 2016, by and among Western Digital</w:t>
            </w:r>
          </w:p>
        </w:tc>
      </w:tr>
      <w:tr>
        <w:trPr>
          <w:trHeight w:val="218"/>
        </w:trPr>
        <w:tc>
          <w:tcPr>
            <w:tcW w:w="20" w:type="dxa"/>
            <w:vAlign w:val="bottom"/>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 JPMorgan Chase Bank, N.A., as administrative agent and collateral agent, the lenders party thereto and the other loan parties</w:t>
            </w:r>
          </w:p>
        </w:tc>
      </w:tr>
      <w:tr>
        <w:trPr>
          <w:trHeight w:val="241"/>
        </w:trPr>
        <w:tc>
          <w:tcPr>
            <w:tcW w:w="20" w:type="dxa"/>
            <w:vAlign w:val="bottom"/>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thereto†</w:t>
            </w:r>
          </w:p>
        </w:tc>
      </w:tr>
      <w:tr>
        <w:trPr>
          <w:trHeight w:val="203"/>
        </w:trPr>
        <w:tc>
          <w:tcPr>
            <w:tcW w:w="20" w:type="dxa"/>
            <w:vAlign w:val="bottom"/>
          </w:tcPr>
          <w:p>
            <w:pPr>
              <w:spacing w:after="0"/>
              <w:rPr>
                <w:sz w:val="17"/>
                <w:szCs w:val="17"/>
                <w:color w:val="auto"/>
              </w:rPr>
            </w:pPr>
          </w:p>
        </w:tc>
        <w:tc>
          <w:tcPr>
            <w:tcW w:w="1100" w:type="dxa"/>
            <w:vAlign w:val="bottom"/>
            <w:gridSpan w:val="5"/>
          </w:tcPr>
          <w:p>
            <w:pPr>
              <w:jc w:val="center"/>
              <w:spacing w:after="0" w:line="202" w:lineRule="exact"/>
              <w:rPr>
                <w:rFonts w:ascii="Times New Roman" w:cs="Times New Roman" w:eastAsia="Times New Roman" w:hAnsi="Times New Roman"/>
                <w:sz w:val="18"/>
                <w:szCs w:val="18"/>
                <w:color w:val="0000FF"/>
              </w:rPr>
            </w:pPr>
            <w:hyperlink w:anchor="page330">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102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48"/>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78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FF"/>
              </w:rPr>
            </w:pPr>
            <w:hyperlink w:anchor="page331">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1028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48"/>
        </w:trPr>
        <w:tc>
          <w:tcPr>
            <w:tcW w:w="20" w:type="dxa"/>
            <w:vAlign w:val="bottom"/>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7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tcPr>
          <w:p>
            <w:pPr>
              <w:jc w:val="center"/>
              <w:spacing w:after="0" w:line="202" w:lineRule="exact"/>
              <w:rPr>
                <w:rFonts w:ascii="Times New Roman" w:cs="Times New Roman" w:eastAsia="Times New Roman" w:hAnsi="Times New Roman"/>
                <w:sz w:val="18"/>
                <w:szCs w:val="18"/>
                <w:color w:val="0000FF"/>
              </w:rPr>
            </w:pPr>
            <w:hyperlink w:anchor="page332">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102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2002**</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FF"/>
              </w:rPr>
            </w:pPr>
            <w:hyperlink w:anchor="page333">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hyperlink>
          </w:p>
        </w:tc>
        <w:tc>
          <w:tcPr>
            <w:tcW w:w="1028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w:t>
            </w:r>
          </w:p>
        </w:tc>
      </w:tr>
      <w:tr>
        <w:trPr>
          <w:trHeight w:val="244"/>
        </w:trPr>
        <w:tc>
          <w:tcPr>
            <w:tcW w:w="20" w:type="dxa"/>
            <w:vAlign w:val="bottom"/>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2002**</w:t>
            </w:r>
          </w:p>
        </w:tc>
      </w:tr>
      <w:tr>
        <w:trPr>
          <w:trHeight w:val="243"/>
        </w:trPr>
        <w:tc>
          <w:tcPr>
            <w:tcW w:w="20" w:type="dxa"/>
            <w:vAlign w:val="bottom"/>
          </w:tcPr>
          <w:p>
            <w:pPr>
              <w:spacing w:after="0"/>
              <w:rPr>
                <w:sz w:val="21"/>
                <w:szCs w:val="21"/>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43"/>
        </w:trPr>
        <w:tc>
          <w:tcPr>
            <w:tcW w:w="20" w:type="dxa"/>
            <w:vAlign w:val="bottom"/>
          </w:tcPr>
          <w:p>
            <w:pPr>
              <w:spacing w:after="0"/>
              <w:rPr>
                <w:sz w:val="21"/>
                <w:szCs w:val="21"/>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20" w:type="dxa"/>
            <w:vAlign w:val="bottom"/>
          </w:tcPr>
          <w:p>
            <w:pPr>
              <w:spacing w:after="0"/>
              <w:rPr>
                <w:sz w:val="21"/>
                <w:szCs w:val="21"/>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135"/>
        </w:trPr>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780" w:type="dxa"/>
            <w:vAlign w:val="bottom"/>
          </w:tcPr>
          <w:p>
            <w:pPr>
              <w:spacing w:after="0"/>
              <w:rPr>
                <w:sz w:val="11"/>
                <w:szCs w:val="11"/>
                <w:color w:val="auto"/>
              </w:rPr>
            </w:pPr>
          </w:p>
        </w:tc>
      </w:tr>
    </w:tbl>
    <w:p>
      <w:pPr>
        <w:spacing w:after="0" w:line="103"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pursuant to applicable rules of the Securities and Exchange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report.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3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31045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Mark P. Long</w:t>
      </w:r>
    </w:p>
    <w:p>
      <w:pPr>
        <w:spacing w:after="0" w:line="6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President WD Capital, Chief Strategy Officer and Chief Financial</w:t>
      </w:r>
    </w:p>
    <w:p>
      <w:pPr>
        <w:spacing w:after="0" w:line="2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2019</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121" w:right="259"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20320</wp:posOffset>
            </wp:positionV>
            <wp:extent cx="162941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629410" cy="274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Western Digital Corporation</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5601 Great Oaks Parkway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San Jose, California 95119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April 1, 2019</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Robert Eulau</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[address redacted]</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Dear Bob,</w:t>
      </w:r>
    </w:p>
    <w:p>
      <w:pPr>
        <w:spacing w:after="0" w:line="260"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It is with great pleasure that we at Western Digital extend this offer of employment to you. Your position will be Executive Vice President and Chief Financial Officer of Western Digital Corporation, reporting to Stephen Milligan, in the Finance department. This position is exempt and will pay an annual base salary of $700,000 (US Dollar). This offer is contingent upon successful completion of all pre-employment criteria as outlined on Western Digital's Application for Employment, which you previously signed.</w:t>
      </w:r>
    </w:p>
    <w:p>
      <w:pPr>
        <w:spacing w:after="0" w:line="20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You will be eligible to participate in Western Digital's Short-Term Incentive (STI) Plan. The performance period is the company’s fiscal year. Your start date must be at least one month prior to the end of the fiscal year to be eligible to participate. The payout will be based on your eligible wages earned during the performance period. Funding will be based on corporate business results. Your participation will be based on your individual accomplishments and is contingent upon approval by the Compensation Committee of the Board of Directors. Your individual target bonus is 110% of your eligible earnings for each performance period.</w:t>
      </w:r>
    </w:p>
    <w:p>
      <w:pPr>
        <w:spacing w:after="0" w:line="209" w:lineRule="exact"/>
        <w:rPr>
          <w:sz w:val="20"/>
          <w:szCs w:val="20"/>
          <w:color w:val="auto"/>
        </w:rPr>
      </w:pPr>
    </w:p>
    <w:p>
      <w:pPr>
        <w:ind w:right="120"/>
        <w:spacing w:after="0" w:line="267" w:lineRule="auto"/>
        <w:rPr>
          <w:sz w:val="20"/>
          <w:szCs w:val="20"/>
          <w:color w:val="auto"/>
        </w:rPr>
      </w:pPr>
      <w:r>
        <w:rPr>
          <w:rFonts w:ascii="Arial" w:cs="Arial" w:eastAsia="Arial" w:hAnsi="Arial"/>
          <w:sz w:val="21"/>
          <w:szCs w:val="21"/>
          <w:color w:val="auto"/>
        </w:rPr>
        <w:t>You will also be eligible to receive awards under our annual long-term incentive (LTI) program. Contingent upon approval by the Compensation Committee of the Board of Directors, we will recommend a fiscal year 2020 LTI award with an approximate value of $4,000,000 (US Dollar). The LTI award will consist of 50% restricted stock units (RSUs) and 50% performance stock units (PSUs). The value of your annual LTI award and mix of RSUs, PSUs or other equity awards in future years is subject to change at the discretion of the Compensation Committee of the Board of Directors.</w:t>
      </w:r>
    </w:p>
    <w:p>
      <w:pPr>
        <w:spacing w:after="0" w:line="196"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Contingent upon approval by the Compensation Committee of the Board of Directors, we will recommend a new hire RSU award with an approximate value of $2,000,000 (US Dollar), subject to Western Digital's Standard Terms and Conditions for restricted stock unit awards. This award value will be converted to a number (rounded down to the nearest whole number) of RSUs equal to (i) $2,000,000 (US Dollar), divided by (ii) the closing stock price of a share of the Company’s common stock as of the grant date of the award. These RSUs are to be settled in shares of Western Digital common stock at the time of vesting. Vesting will occur in substantially equal, annual installments on each of the next four (4) anniversaries of the date of grant. Please note that vesting will cease upon termination of your service with the Company or one of its subsidiaries.</w:t>
      </w:r>
    </w:p>
    <w:p>
      <w:pPr>
        <w:sectPr>
          <w:pgSz w:w="11900" w:h="16838" w:orient="portrait"/>
          <w:cols w:equalWidth="0" w:num="1">
            <w:col w:w="11420"/>
          </w:cols>
          <w:pgMar w:left="240" w:top="360" w:right="239" w:bottom="1440" w:gutter="0" w:footer="0" w:header="0"/>
        </w:sectPr>
      </w:pPr>
    </w:p>
    <w:bookmarkStart w:id="93" w:name="page94"/>
    <w:bookmarkEnd w:id="93"/>
    <w:p>
      <w:pPr>
        <w:ind w:right="40"/>
        <w:spacing w:after="0" w:line="256" w:lineRule="auto"/>
        <w:rPr>
          <w:sz w:val="20"/>
          <w:szCs w:val="20"/>
          <w:color w:val="auto"/>
        </w:rPr>
      </w:pPr>
      <w:r>
        <w:rPr>
          <w:rFonts w:ascii="Arial" w:cs="Arial" w:eastAsia="Arial" w:hAnsi="Arial"/>
          <w:sz w:val="22"/>
          <w:szCs w:val="22"/>
          <w:color w:val="auto"/>
        </w:rPr>
        <w:t>You will receive a sign-on bonus of $500,000 (US Dollar), with $250,000 (US Dollar) payable within three weeks of your start date and $250,000 (US Dollar) payable within three weeks of the first anniversary of your start date, subject to your continued employment with Western Digital on the first anniversary of your start date. The sign-on bonus is considered taxable income to you.</w:t>
      </w:r>
    </w:p>
    <w:p>
      <w:pPr>
        <w:spacing w:after="0" w:line="163"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As a condition of employment, immediately upon hire you will be required to sign an Employee Inventions and Confidentiality Agreement governing inventions, proprietary information and such other subject matter, which the company considers vital to protect its operation. Please also be advised that the company respects the confidential information and trade secrets of others and endeavors to comply with all laws regarding the use and protection of trade secret information. The company takes its obligations in this respect very seriously and expects the same from its employees. As you prepare to terminate your current employment, please ensure that all documents and property belonging to your employer are returned. This includes documents you may have prepared in the course of your employment and documents that may be in your home, on your home computer or in your car. The company does not want access to any confidential information belonging to your former employer and specifically directs you not to take this information with you or bring onto company premises. You are prohibited from using trade secret or confidential information or property of any previous employer or other person in connection with carrying out your job duties at Western Digital.</w:t>
      </w:r>
    </w:p>
    <w:p>
      <w:pPr>
        <w:spacing w:after="0" w:line="238" w:lineRule="exact"/>
        <w:rPr>
          <w:sz w:val="20"/>
          <w:szCs w:val="20"/>
          <w:color w:val="auto"/>
        </w:rPr>
      </w:pPr>
    </w:p>
    <w:p>
      <w:pPr>
        <w:ind w:right="60"/>
        <w:spacing w:after="0" w:line="263" w:lineRule="auto"/>
        <w:rPr>
          <w:sz w:val="20"/>
          <w:szCs w:val="20"/>
          <w:color w:val="auto"/>
        </w:rPr>
      </w:pPr>
      <w:r>
        <w:rPr>
          <w:rFonts w:ascii="Arial" w:cs="Arial" w:eastAsia="Arial" w:hAnsi="Arial"/>
          <w:sz w:val="21"/>
          <w:szCs w:val="21"/>
          <w:color w:val="auto"/>
        </w:rPr>
        <w:t>You are employed by the company on an at-will basis. This means that either you or the company may terminate the employment relationship at any time, for any reason, with or without cause. The at-will nature of your employment with the company can only be changed by an agreement in writing signed by you and the senior vice president of Human Resources. Furthermore, by accepting employment with the company, you warrant that you are not bound by the terms of an employment agreement with a third party that would preclude or limit your right to work for the company. You agree to provide the company with a copy of any and all agreements with a third party that contain any restrictions or obligations that conflict with, or are inconsistent with, the performance of your duties for the company.</w:t>
      </w:r>
    </w:p>
    <w:p>
      <w:pPr>
        <w:spacing w:after="0" w:line="200" w:lineRule="exact"/>
        <w:rPr>
          <w:sz w:val="20"/>
          <w:szCs w:val="20"/>
          <w:color w:val="auto"/>
        </w:rPr>
      </w:pPr>
    </w:p>
    <w:p>
      <w:pPr>
        <w:ind w:right="40"/>
        <w:spacing w:after="0" w:line="249" w:lineRule="auto"/>
        <w:rPr>
          <w:sz w:val="20"/>
          <w:szCs w:val="20"/>
          <w:color w:val="auto"/>
        </w:rPr>
      </w:pPr>
      <w:r>
        <w:rPr>
          <w:rFonts w:ascii="Arial" w:cs="Arial" w:eastAsia="Arial" w:hAnsi="Arial"/>
          <w:sz w:val="22"/>
          <w:szCs w:val="22"/>
          <w:color w:val="auto"/>
        </w:rPr>
        <w:t>As a senior leader in the organization you will not accrue vacation hours, but will coordinate your time off requests with your manager around the needs of the business. You will be eligible on your first day of employment for our benefits plan, which allows you to choose the coverage that fits your needs. You will also be eligible to join the Western Digital Corporation 401(k) Plan immediately. You will receive a complete benefits summary during your orientation on your first day of employment. Your position qualifies you for additional benefits provided exclusively to executives of your level including Financial Counseling Reimbursement and company paid life insurance up to 500,000.00 US Dollar (USD) (which may require an Evidence of Insurability).</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Your first day of employment is tentatively scheduled for April 15, 2019. On your first day, we will conduct new hire orientation at our offices at 5601 Great Oaks Parkway, San Jose, CA 95119. At that time, you will be required to provide authentic documents that establish your identity and employment eligibility. Please refer to the List of Acceptable Documents provided.</w:t>
      </w:r>
    </w:p>
    <w:p>
      <w:pPr>
        <w:spacing w:after="0" w:line="204" w:lineRule="exact"/>
        <w:rPr>
          <w:sz w:val="20"/>
          <w:szCs w:val="20"/>
          <w:color w:val="auto"/>
        </w:rPr>
      </w:pPr>
    </w:p>
    <w:p>
      <w:pPr>
        <w:ind w:right="200"/>
        <w:spacing w:after="0" w:line="262" w:lineRule="auto"/>
        <w:rPr>
          <w:sz w:val="20"/>
          <w:szCs w:val="20"/>
          <w:color w:val="auto"/>
        </w:rPr>
      </w:pPr>
      <w:r>
        <w:rPr>
          <w:rFonts w:ascii="Arial" w:cs="Arial" w:eastAsia="Arial" w:hAnsi="Arial"/>
          <w:sz w:val="22"/>
          <w:szCs w:val="22"/>
          <w:color w:val="auto"/>
        </w:rPr>
        <w:t>Notwithstanding anything else contained herein to the contrary, this offer and your employment by Western Digital are subject to your appointment by the Board of Directors as Western Digital’s Executive Vice President and Chief Financial Officer.</w:t>
      </w:r>
    </w:p>
    <w:p>
      <w:pPr>
        <w:sectPr>
          <w:pgSz w:w="11900" w:h="16838" w:orient="portrait"/>
          <w:cols w:equalWidth="0" w:num="1">
            <w:col w:w="11420"/>
          </w:cols>
          <w:pgMar w:left="240" w:top="618" w:right="239" w:bottom="1440" w:gutter="0" w:footer="0" w:header="0"/>
        </w:sectPr>
      </w:pPr>
    </w:p>
    <w:bookmarkStart w:id="94" w:name="page95"/>
    <w:bookmarkEnd w:id="94"/>
    <w:p>
      <w:pPr>
        <w:spacing w:after="0"/>
        <w:rPr>
          <w:sz w:val="20"/>
          <w:szCs w:val="20"/>
          <w:color w:val="auto"/>
        </w:rPr>
      </w:pPr>
      <w:r>
        <w:rPr>
          <w:rFonts w:ascii="Arial" w:cs="Arial" w:eastAsia="Arial" w:hAnsi="Arial"/>
          <w:sz w:val="21"/>
          <w:szCs w:val="21"/>
          <w:color w:val="auto"/>
        </w:rPr>
        <w:t>If there are any questions of which I may be of assistance, please let me know.</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Lori Sundberg</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Lori Sundberg</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auto"/>
        </w:rPr>
        <w:t>Chief Human Resources Officer</w:t>
      </w:r>
    </w:p>
    <w:p>
      <w:pPr>
        <w:sectPr>
          <w:pgSz w:w="11900" w:h="16838" w:orient="portrait"/>
          <w:cols w:equalWidth="0" w:num="1">
            <w:col w:w="10219"/>
          </w:cols>
          <w:pgMar w:left="240" w:top="618"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9</w:t>
      </w:r>
    </w:p>
    <w:p>
      <w:pPr>
        <w:spacing w:after="0" w:line="200" w:lineRule="exact"/>
        <w:rPr>
          <w:sz w:val="20"/>
          <w:szCs w:val="20"/>
          <w:color w:val="auto"/>
        </w:rPr>
      </w:pPr>
    </w:p>
    <w:p>
      <w:pPr>
        <w:spacing w:after="0" w:line="240"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AMENDMENT NO. 9, dated as of April 29, 2019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Loan Agreement dated as of April 29, 2016, as amended by Amendment No. 1, dated as of August 17, 2016, Amendment No. 2, dated as of September 22, 2016, Amendment No. 3, dated as of March 14, 2017, Amendment No. 4, dated as of March 23, 2017, Amendment No. 5, dated as of November 8, 2017, Amendment No. 6, dated as of November 29, 2017, Amendment No. 7, dated as of February 27, 2018 and Amendment No. 8, dated as of May 15, 2018 (as further amended, supplemented, amended and restated or otherwise modified from time to time, including pursuant to this Amendment,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among WESTERN DIGITAL CORPORATION,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each lender from time to time party thereto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JPMORGAN CHASE BANK, N.A.,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Collateral Agent and the other parties thereto. Capitalized terms used and not otherwise defined herein shall have the meanings assigned to them in the Loan Agreement.</w:t>
      </w:r>
    </w:p>
    <w:p>
      <w:pPr>
        <w:spacing w:after="0" w:line="189"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2"/>
          <w:szCs w:val="22"/>
          <w:color w:val="auto"/>
        </w:rPr>
        <w:t>WHEREAS, pursuant to Section 10.11 of the Loan Agreement, the Borrower has requested certain amendments to the Loan Agreement, and the Lenders party hereto constitute the Lenders required pursuant to Section 10.11 of the Loan Agreement with respect to the amendments provided for in Section 1 below.</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WHEREAS, J.P. Morgan Securities LLC (“</w:t>
      </w:r>
      <w:r>
        <w:rPr>
          <w:rFonts w:ascii="Times New Roman" w:cs="Times New Roman" w:eastAsia="Times New Roman" w:hAnsi="Times New Roman"/>
          <w:sz w:val="21"/>
          <w:szCs w:val="21"/>
          <w:u w:val="single" w:color="auto"/>
          <w:color w:val="auto"/>
        </w:rPr>
        <w:t>J.P. Morgan</w:t>
      </w:r>
      <w:r>
        <w:rPr>
          <w:rFonts w:ascii="Times New Roman" w:cs="Times New Roman" w:eastAsia="Times New Roman" w:hAnsi="Times New Roman"/>
          <w:sz w:val="21"/>
          <w:szCs w:val="21"/>
          <w:color w:val="auto"/>
        </w:rPr>
        <w:t>”) will act as sole lead arranger and sole bookrunner for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w:t>
      </w:r>
    </w:p>
    <w:p>
      <w:pPr>
        <w:spacing w:after="0" w:line="196" w:lineRule="exact"/>
        <w:rPr>
          <w:sz w:val="20"/>
          <w:szCs w:val="20"/>
          <w:color w:val="auto"/>
        </w:rPr>
      </w:pPr>
    </w:p>
    <w:p>
      <w:pPr>
        <w:ind w:right="360" w:firstLine="1297"/>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169" w:lineRule="exact"/>
        <w:rPr>
          <w:sz w:val="20"/>
          <w:szCs w:val="20"/>
          <w:color w:val="auto"/>
        </w:rPr>
      </w:pPr>
    </w:p>
    <w:p>
      <w:pPr>
        <w:ind w:right="20" w:firstLine="129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Amendment No. 9 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as of the Amendment No. 9 Effective Date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defined below), the Loan Agreement is hereby amended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50" w:lineRule="exact"/>
        <w:rPr>
          <w:sz w:val="20"/>
          <w:szCs w:val="20"/>
          <w:color w:val="auto"/>
        </w:rPr>
      </w:pPr>
    </w:p>
    <w:p>
      <w:pPr>
        <w:ind w:left="1300"/>
        <w:spacing w:after="0"/>
        <w:tabs>
          <w:tab w:leader="none" w:pos="346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Each Loan Party represents and warrants to the Lenders party hereto as of the Amendment No. 9 Effective Date that:</w:t>
      </w:r>
    </w:p>
    <w:p>
      <w:pPr>
        <w:spacing w:after="0" w:line="231" w:lineRule="exact"/>
        <w:rPr>
          <w:sz w:val="20"/>
          <w:szCs w:val="20"/>
          <w:color w:val="auto"/>
        </w:rPr>
      </w:pPr>
    </w:p>
    <w:p>
      <w:pPr>
        <w:jc w:val="both"/>
        <w:ind w:right="300" w:firstLine="1305"/>
        <w:spacing w:after="0" w:line="273" w:lineRule="auto"/>
        <w:tabs>
          <w:tab w:leader="none" w:pos="171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before and after giving effect to this Amendment, each of the representations and warranties set forth in the Loan Agreement and in the other Loan Documents shall be and remain true and correct in all material respects (or, if qualified as to “materiality,” “material adverse effect” or similar language, shall be true and correct in all respects (after giving effect to any such qualification therein)) as of said time, except to the extent the same expressly relate to an earlier date.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21" w:right="239" w:bottom="1440" w:gutter="0" w:footer="0" w:header="0"/>
        </w:sectPr>
      </w:pPr>
    </w:p>
    <w:bookmarkStart w:id="96" w:name="page97"/>
    <w:bookmarkEnd w:id="96"/>
    <w:p>
      <w:pPr>
        <w:ind w:left="1740" w:hanging="435"/>
        <w:spacing w:after="0"/>
        <w:tabs>
          <w:tab w:leader="none" w:pos="1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after giving effect to this Amendment, no Default or Event of Default shall have occurred</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be continuing.</w:t>
      </w:r>
    </w:p>
    <w:p>
      <w:pPr>
        <w:spacing w:after="0" w:line="203" w:lineRule="exact"/>
        <w:rPr>
          <w:sz w:val="20"/>
          <w:szCs w:val="20"/>
          <w:color w:val="auto"/>
        </w:rPr>
      </w:pPr>
    </w:p>
    <w:p>
      <w:pPr>
        <w:ind w:left="1300"/>
        <w:spacing w:after="0"/>
        <w:tabs>
          <w:tab w:leader="none" w:pos="346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u w:val="single" w:color="auto"/>
          <w:color w:val="auto"/>
        </w:rPr>
        <w:t>Conditions to Effectiveness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right="560" w:firstLine="1297"/>
        <w:spacing w:after="0" w:line="271" w:lineRule="auto"/>
        <w:rPr>
          <w:sz w:val="20"/>
          <w:szCs w:val="20"/>
          <w:color w:val="auto"/>
        </w:rPr>
      </w:pPr>
      <w:r>
        <w:rPr>
          <w:rFonts w:ascii="Times New Roman" w:cs="Times New Roman" w:eastAsia="Times New Roman" w:hAnsi="Times New Roman"/>
          <w:sz w:val="22"/>
          <w:szCs w:val="22"/>
          <w:color w:val="auto"/>
        </w:rPr>
        <w:t>This Amendment shall become effective on the date on which all of the following conditions are satisfied (the “</w:t>
      </w:r>
      <w:r>
        <w:rPr>
          <w:rFonts w:ascii="Times New Roman" w:cs="Times New Roman" w:eastAsia="Times New Roman" w:hAnsi="Times New Roman"/>
          <w:sz w:val="22"/>
          <w:szCs w:val="22"/>
          <w:u w:val="single" w:color="auto"/>
          <w:color w:val="auto"/>
        </w:rPr>
        <w:t>Amendment No. 9 Effective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60" w:firstLine="1305"/>
        <w:spacing w:after="0" w:line="263" w:lineRule="auto"/>
        <w:tabs>
          <w:tab w:leader="none" w:pos="17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receipt of counterparts of this Amendment executed by each of the Loan Parties and the Required RC/TLA Lenders, each of which shall be originals or facsimiles or electronic copies (and, to the extent requested by the Administrative Agent, followed promptly by originals) unless otherwise specified; and</w:t>
      </w:r>
    </w:p>
    <w:p>
      <w:pPr>
        <w:spacing w:after="0" w:line="167" w:lineRule="exact"/>
        <w:rPr>
          <w:rFonts w:ascii="Times New Roman" w:cs="Times New Roman" w:eastAsia="Times New Roman" w:hAnsi="Times New Roman"/>
          <w:sz w:val="22"/>
          <w:szCs w:val="22"/>
          <w:color w:val="auto"/>
        </w:rPr>
      </w:pPr>
    </w:p>
    <w:p>
      <w:pPr>
        <w:ind w:firstLine="1305"/>
        <w:spacing w:after="0" w:line="251" w:lineRule="auto"/>
        <w:tabs>
          <w:tab w:leader="none" w:pos="172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(x) for the ratable account of each Term A-1 Lender who provides a counterpart to this Amendment, a consent fee equal to 0.05% of the aggregate principal amount of the Term A-1 Loans of such Term A-1 Lender immediately prior to the Amendment No. 9 Effective Date and (y) for the ratable account of each Revolving Lender who provides a counterpart to this Amendment, a consent fee equal to 0.05% of the aggregate principal amount of unutilized Revolving Credit Commitments and outstanding Revolving Loans of such Revolving Lender immediately prior to the Amendment No. 9 Effective Date.</w:t>
      </w:r>
    </w:p>
    <w:p>
      <w:pPr>
        <w:spacing w:after="0" w:line="181" w:lineRule="exact"/>
        <w:rPr>
          <w:rFonts w:ascii="Times New Roman" w:cs="Times New Roman" w:eastAsia="Times New Roman" w:hAnsi="Times New Roman"/>
          <w:sz w:val="22"/>
          <w:szCs w:val="22"/>
          <w:color w:val="auto"/>
        </w:rPr>
      </w:pPr>
    </w:p>
    <w:p>
      <w:pPr>
        <w:ind w:right="140" w:firstLine="1305"/>
        <w:spacing w:after="0" w:line="263" w:lineRule="auto"/>
        <w:tabs>
          <w:tab w:leader="none" w:pos="17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and documented out-of-pocket fees and expenses due to the Administrative Agent and J.P. Morgan required to be paid on the Amendment No. 9 Effective Date (including pursuant to Section 9 hereof) shall have been paid (or the Borrower shall have made arrangements reasonably satisfactory to the Administrative Agent for such payment).</w:t>
      </w:r>
    </w:p>
    <w:p>
      <w:pPr>
        <w:spacing w:after="0" w:line="167" w:lineRule="exact"/>
        <w:rPr>
          <w:rFonts w:ascii="Times New Roman" w:cs="Times New Roman" w:eastAsia="Times New Roman" w:hAnsi="Times New Roman"/>
          <w:sz w:val="22"/>
          <w:szCs w:val="22"/>
          <w:color w:val="auto"/>
        </w:rPr>
      </w:pPr>
    </w:p>
    <w:p>
      <w:pPr>
        <w:ind w:right="80" w:firstLine="1305"/>
        <w:spacing w:after="0" w:line="284" w:lineRule="auto"/>
        <w:tabs>
          <w:tab w:leader="none" w:pos="172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and immediately after giving effect to the effectiveness of this Amendment, no Default or Event of Default shall have occurred and be continuing.</w:t>
      </w:r>
    </w:p>
    <w:p>
      <w:pPr>
        <w:spacing w:after="0" w:line="144" w:lineRule="exact"/>
        <w:rPr>
          <w:rFonts w:ascii="Times New Roman" w:cs="Times New Roman" w:eastAsia="Times New Roman" w:hAnsi="Times New Roman"/>
          <w:sz w:val="22"/>
          <w:szCs w:val="22"/>
          <w:color w:val="auto"/>
        </w:rPr>
      </w:pPr>
    </w:p>
    <w:p>
      <w:pPr>
        <w:ind w:right="20" w:firstLine="1305"/>
        <w:spacing w:after="0" w:line="273" w:lineRule="auto"/>
        <w:tabs>
          <w:tab w:leader="none" w:pos="171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of the Loan Parties set forth in the Loan Agreement, Section 2 of this Amendment and in the other Loan Documents shall be and remain true and correct in all material respects (or, if qualified as to “materiality,” “material adverse effect” or similar language, shall be true and correct in all respects (after giving effect to any such qualification therein)) as of the Amendment No. 9 Effective Date, except to the extent the same expressly relate to an earlier date.</w:t>
      </w:r>
    </w:p>
    <w:p>
      <w:pPr>
        <w:spacing w:after="0" w:line="15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The Administrative Agent shall notify the Borrower and the Lenders of the Amendment No. 9 Effective Date and such notice shall be conclusive and binding. Notwithstanding the foregoing, the amendments effected hereby shall not become effective, if all of the conditions set forth or referred to in this Section 3 have not been satisfied at or prior to 5:00 p.m., New York City time, April 29, 2019.</w:t>
      </w:r>
    </w:p>
    <w:p>
      <w:pPr>
        <w:spacing w:after="0" w:line="176" w:lineRule="exact"/>
        <w:rPr>
          <w:sz w:val="20"/>
          <w:szCs w:val="20"/>
          <w:color w:val="auto"/>
        </w:rPr>
      </w:pPr>
    </w:p>
    <w:p>
      <w:pPr>
        <w:ind w:left="1300"/>
        <w:spacing w:after="0"/>
        <w:tabs>
          <w:tab w:leader="none" w:pos="346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80"/>
          </w:cols>
          <w:pgMar w:left="240" w:top="369" w:right="279" w:bottom="1440" w:gutter="0" w:footer="0" w:header="0"/>
        </w:sectPr>
      </w:pPr>
    </w:p>
    <w:bookmarkStart w:id="97" w:name="page98"/>
    <w:bookmarkEnd w:id="97"/>
    <w:p>
      <w:pPr>
        <w:ind w:left="1300"/>
        <w:spacing w:after="0"/>
        <w:tabs>
          <w:tab w:leader="none" w:pos="346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u w:val="single" w:color="auto"/>
          <w:color w:val="auto"/>
        </w:rPr>
        <w:t>Acknowledgments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Each Loan Party hereby expressly acknowledges the terms of this Amendment and reaffirms, as of the date hereof,</w:t>
      </w:r>
    </w:p>
    <w:p>
      <w:pPr>
        <w:spacing w:after="0" w:line="39" w:lineRule="exact"/>
        <w:rPr>
          <w:sz w:val="20"/>
          <w:szCs w:val="20"/>
          <w:color w:val="auto"/>
        </w:rPr>
      </w:pPr>
    </w:p>
    <w:p>
      <w:pPr>
        <w:ind w:right="200" w:firstLine="8"/>
        <w:spacing w:after="0" w:line="245" w:lineRule="auto"/>
        <w:tabs>
          <w:tab w:leader="none" w:pos="25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covenants and agreements contained in each Loan Document to which it is a party, including, in each case, such covenants and agreements as in effect immediately after giving effect to this Amendment and the transactions contemplated hereby, (ii) its guarantee of the Obligations pursuant to the Collateral Documents and (iii) its grant of Liens on the Collateral to secure the Obligations pursuant to the Collateral Documents.</w:t>
      </w:r>
    </w:p>
    <w:p>
      <w:pPr>
        <w:spacing w:after="0" w:line="181" w:lineRule="exact"/>
        <w:rPr>
          <w:sz w:val="20"/>
          <w:szCs w:val="20"/>
          <w:color w:val="auto"/>
        </w:rPr>
      </w:pPr>
    </w:p>
    <w:p>
      <w:pPr>
        <w:ind w:left="1300"/>
        <w:spacing w:after="0"/>
        <w:tabs>
          <w:tab w:leader="none" w:pos="346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u w:val="single" w:color="auto"/>
          <w:color w:val="auto"/>
        </w:rPr>
        <w:t>Liens Unimpaired</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After giving effect to this Amendment, neither the modification of the Loan Agreement effected pursuant to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 nor the execution, delivery, performance or effectiveness of this Amendment:</w:t>
      </w:r>
    </w:p>
    <w:p>
      <w:pPr>
        <w:spacing w:after="0" w:line="196" w:lineRule="exact"/>
        <w:rPr>
          <w:sz w:val="20"/>
          <w:szCs w:val="20"/>
          <w:color w:val="auto"/>
        </w:rPr>
      </w:pPr>
    </w:p>
    <w:p>
      <w:pPr>
        <w:ind w:firstLine="1305"/>
        <w:spacing w:after="0" w:line="263" w:lineRule="auto"/>
        <w:tabs>
          <w:tab w:leader="none" w:pos="171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impairs the validity, effectiveness or priority of the Liens granted pursuant to any Loan Document (including, for the avoidance of doubt, any Cayman Islands law governed share mortgage granted by any Loan Party), and such Liens continue unimpaired with the same priority to secure repayment of all Obligations, whether heretofore or hereafter incurred; or</w:t>
      </w:r>
    </w:p>
    <w:p>
      <w:pPr>
        <w:spacing w:after="0" w:line="167"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requires that any new filings be made or other action taken to perfect or to maintain the perfection of such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w:t>
      </w:r>
    </w:p>
    <w:p>
      <w:pPr>
        <w:spacing w:after="0" w:line="203" w:lineRule="exact"/>
        <w:rPr>
          <w:sz w:val="20"/>
          <w:szCs w:val="20"/>
          <w:color w:val="auto"/>
        </w:rPr>
      </w:pPr>
    </w:p>
    <w:p>
      <w:pPr>
        <w:ind w:left="1300"/>
        <w:spacing w:after="0"/>
        <w:tabs>
          <w:tab w:leader="none" w:pos="346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u w:val="single" w:color="auto"/>
          <w:color w:val="auto"/>
        </w:rPr>
        <w:t>Entire Agreement.</w:t>
      </w:r>
    </w:p>
    <w:p>
      <w:pPr>
        <w:spacing w:after="0" w:line="224"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This Amendment, the Loan Agreement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and the Loan Agreement shall not by implication or otherwise limit, impair, constitute a waiver of, or otherwise affect the rights and remedies of any party under, the Loan Agreement, nor alter, modify, amend or in any way affect any of the terms, conditions, obligations, covenants or agreements contained in the Loan Agreement, all of which are ratified and affirmed in all respects and shall continue in full force and effect. This Amendment shall not constitute a novation of the Loan Agreement or any of the Loan Documents. It is understood and agreed that each reference in each Loan Document to the “Loan Agreement,” whether direct or indirect, shall hereafter be deemed to be a reference to the Loan Agreement as amended by this Amendment and that this Amendment is a “Loan Document”.</w:t>
      </w:r>
    </w:p>
    <w:p>
      <w:pPr>
        <w:spacing w:after="0" w:line="185" w:lineRule="exact"/>
        <w:rPr>
          <w:sz w:val="20"/>
          <w:szCs w:val="20"/>
          <w:color w:val="auto"/>
        </w:rPr>
      </w:pPr>
    </w:p>
    <w:p>
      <w:pPr>
        <w:ind w:left="1300"/>
        <w:spacing w:after="0"/>
        <w:tabs>
          <w:tab w:leader="none" w:pos="346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u w:val="single" w:color="auto"/>
          <w:color w:val="auto"/>
        </w:rPr>
        <w:t>Amendment, Modification and Waiver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Amendment may not be amended, modified or waived except pursuant to a writing signed by each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hereto.</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80"/>
          </w:cols>
          <w:pgMar w:left="240" w:top="365" w:right="279" w:bottom="1440" w:gutter="0" w:footer="0" w:header="0"/>
        </w:sectPr>
      </w:pPr>
    </w:p>
    <w:bookmarkStart w:id="98" w:name="page99"/>
    <w:bookmarkEnd w:id="98"/>
    <w:p>
      <w:pPr>
        <w:ind w:left="1300"/>
        <w:spacing w:after="0"/>
        <w:tabs>
          <w:tab w:leader="none" w:pos="346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u w:val="single" w:color="auto"/>
          <w:color w:val="auto"/>
        </w:rPr>
        <w:t>Expenses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right="640" w:firstLine="1297"/>
        <w:spacing w:after="0" w:line="257" w:lineRule="auto"/>
        <w:rPr>
          <w:sz w:val="20"/>
          <w:szCs w:val="20"/>
          <w:color w:val="auto"/>
        </w:rPr>
      </w:pPr>
      <w:r>
        <w:rPr>
          <w:rFonts w:ascii="Times New Roman" w:cs="Times New Roman" w:eastAsia="Times New Roman" w:hAnsi="Times New Roman"/>
          <w:sz w:val="22"/>
          <w:szCs w:val="22"/>
          <w:color w:val="auto"/>
        </w:rPr>
        <w:t>The Borrower agrees to reimburse the Administrative Agent for its reasonable and documented out-of-pocket expenses incurred by them in connection with this Amendment, including the reasonable and documented fees, charges and disbursements of Cahill Gordon &amp; Reindel LLP, counsel for the Administrative Agent.</w:t>
      </w:r>
    </w:p>
    <w:p>
      <w:pPr>
        <w:spacing w:after="0" w:line="169" w:lineRule="exact"/>
        <w:rPr>
          <w:sz w:val="20"/>
          <w:szCs w:val="20"/>
          <w:color w:val="auto"/>
        </w:rPr>
      </w:pPr>
    </w:p>
    <w:p>
      <w:pPr>
        <w:ind w:left="1300"/>
        <w:spacing w:after="0"/>
        <w:tabs>
          <w:tab w:leader="none" w:pos="358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firstLine="1297"/>
        <w:spacing w:after="0" w:line="252" w:lineRule="auto"/>
        <w:rPr>
          <w:sz w:val="20"/>
          <w:szCs w:val="20"/>
          <w:color w:val="auto"/>
        </w:rPr>
      </w:pPr>
      <w:r>
        <w:rPr>
          <w:rFonts w:ascii="Times New Roman" w:cs="Times New Roman" w:eastAsia="Times New Roman" w:hAnsi="Times New Roman"/>
          <w:sz w:val="22"/>
          <w:szCs w:val="22"/>
          <w:color w:val="auto"/>
        </w:rPr>
        <w:t>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transmission or electronic transmission shall be effective as delivery of a manually executed counterpart hereof.</w:t>
      </w:r>
    </w:p>
    <w:p>
      <w:pPr>
        <w:spacing w:after="0" w:line="176" w:lineRule="exact"/>
        <w:rPr>
          <w:sz w:val="20"/>
          <w:szCs w:val="20"/>
          <w:color w:val="auto"/>
        </w:rPr>
      </w:pPr>
    </w:p>
    <w:p>
      <w:pPr>
        <w:ind w:left="1300"/>
        <w:spacing w:after="0"/>
        <w:tabs>
          <w:tab w:leader="none" w:pos="356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u w:val="single" w:color="auto"/>
          <w:color w:val="auto"/>
        </w:rPr>
        <w:t>Governing Law and Waiver of Right to Trial by Jury</w:t>
      </w:r>
      <w:r>
        <w:rPr>
          <w:rFonts w:ascii="Times New Roman" w:cs="Times New Roman" w:eastAsia="Times New Roman" w:hAnsi="Times New Roman"/>
          <w:sz w:val="21"/>
          <w:szCs w:val="21"/>
          <w:b w:val="1"/>
          <w:bCs w:val="1"/>
          <w:color w:val="auto"/>
        </w:rPr>
        <w:t>.</w:t>
      </w:r>
    </w:p>
    <w:p>
      <w:pPr>
        <w:spacing w:after="0" w:line="220" w:lineRule="exact"/>
        <w:rPr>
          <w:sz w:val="20"/>
          <w:szCs w:val="20"/>
          <w:color w:val="auto"/>
        </w:rPr>
      </w:pPr>
    </w:p>
    <w:p>
      <w:pPr>
        <w:ind w:right="400" w:firstLine="1297"/>
        <w:spacing w:after="0" w:line="251" w:lineRule="auto"/>
        <w:rPr>
          <w:sz w:val="20"/>
          <w:szCs w:val="20"/>
          <w:color w:val="auto"/>
        </w:rPr>
      </w:pPr>
      <w:r>
        <w:rPr>
          <w:rFonts w:ascii="Times New Roman" w:cs="Times New Roman" w:eastAsia="Times New Roman" w:hAnsi="Times New Roman"/>
          <w:sz w:val="22"/>
          <w:szCs w:val="22"/>
          <w:b w:val="1"/>
          <w:bCs w:val="1"/>
          <w:color w:val="auto"/>
        </w:rPr>
        <w:t>THIS AMENDMENT AND ANY CLAIM, CONTROVERSY OR DISPUTE ARISING UNDER OR RELATED TO THIS AMENDMENT AND THE RIGHTS AND OBLIGATIONS OF THE PARTIES UNDER THIS AMENDMENT SHALL BE GOVERNED BY, AND CONSTRUED AND INTERPRETED IN ACCORDANCE WITH, THE LAW OF THE STATE OF NEW YORK. SECTION 10.22 OF THE LOAN AGREEMENT IS HEREBY INCORPORATED BY REFERENCE INTO THIS AMENDMENT AND SHALL APPLY HERETO.</w:t>
      </w:r>
    </w:p>
    <w:p>
      <w:pPr>
        <w:spacing w:after="0" w:line="176" w:lineRule="exact"/>
        <w:rPr>
          <w:sz w:val="20"/>
          <w:szCs w:val="20"/>
          <w:color w:val="auto"/>
        </w:rPr>
      </w:pPr>
    </w:p>
    <w:p>
      <w:pPr>
        <w:ind w:left="1300"/>
        <w:spacing w:after="0"/>
        <w:tabs>
          <w:tab w:leader="none" w:pos="358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b w:val="1"/>
          <w:bCs w:val="1"/>
          <w:u w:val="single" w:color="auto"/>
          <w:color w:val="auto"/>
        </w:rPr>
        <w:t>Headings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right="640" w:firstLine="1297"/>
        <w:spacing w:after="0" w:line="271" w:lineRule="auto"/>
        <w:rPr>
          <w:sz w:val="20"/>
          <w:szCs w:val="20"/>
          <w:color w:val="auto"/>
        </w:rPr>
      </w:pPr>
      <w:r>
        <w:rPr>
          <w:rFonts w:ascii="Times New Roman" w:cs="Times New Roman" w:eastAsia="Times New Roman" w:hAnsi="Times New Roman"/>
          <w:sz w:val="22"/>
          <w:szCs w:val="22"/>
          <w:color w:val="auto"/>
        </w:rPr>
        <w:t>The headings of this Amendment are for purposes of reference only and shall not limit or otherwise affect the meaning hereof.</w:t>
      </w:r>
    </w:p>
    <w:p>
      <w:pPr>
        <w:spacing w:after="0" w:line="154" w:lineRule="exact"/>
        <w:rPr>
          <w:sz w:val="20"/>
          <w:szCs w:val="20"/>
          <w:color w:val="auto"/>
        </w:rPr>
      </w:pPr>
    </w:p>
    <w:p>
      <w:pPr>
        <w:ind w:left="1300"/>
        <w:spacing w:after="0"/>
        <w:tabs>
          <w:tab w:leader="none" w:pos="358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b w:val="1"/>
          <w:bCs w:val="1"/>
          <w:u w:val="single" w:color="auto"/>
          <w:color w:val="auto"/>
        </w:rPr>
        <w:t>Effect of Amendment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right="40" w:firstLine="1297"/>
        <w:spacing w:after="0" w:line="250" w:lineRule="auto"/>
        <w:rPr>
          <w:sz w:val="20"/>
          <w:szCs w:val="20"/>
          <w:color w:val="auto"/>
        </w:rPr>
      </w:pPr>
      <w:r>
        <w:rPr>
          <w:rFonts w:ascii="Times New Roman" w:cs="Times New Roman" w:eastAsia="Times New Roman" w:hAnsi="Times New Roman"/>
          <w:sz w:val="22"/>
          <w:szCs w:val="22"/>
          <w:color w:val="auto"/>
        </w:rPr>
        <w:t>Except as expressly set forth herein, this Amendment shall not by implication or otherwise limit, impair, constitute a waiver of or otherwise affect the rights and remedies of the Lenders or the Administrative Agent under the Loan Agreement or any other Loan Document, and shall not alter, modify, amend or in any way affect any of the terms, conditions, obligations, covenants or agreements contained in the Loan Agreement or any other provision of the Loan Agreement or any other Loan Document, all of which are ratified and affirmed in all respects and shall continue in full force and effect.</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00"/>
          </w:cols>
          <w:pgMar w:left="240" w:top="365" w:right="2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as of the date first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 written.</w:t>
      </w:r>
    </w:p>
    <w:p>
      <w:pPr>
        <w:spacing w:after="0" w:line="1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WESTERN DIGITAL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Mark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9220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922020" cy="8890"/>
                    </a:xfrm>
                    <a:prstGeom prst="rect">
                      <a:avLst/>
                    </a:prstGeom>
                    <a:noFill/>
                  </pic:spPr>
                </pic:pic>
              </a:graphicData>
            </a:graphic>
          </wp:anchor>
        </w:drawing>
      </w:r>
    </w:p>
    <w:p>
      <w:pPr>
        <w:spacing w:after="0" w:line="1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Mark Long</w:t>
      </w:r>
    </w:p>
    <w:p>
      <w:pPr>
        <w:spacing w:after="0" w:line="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President WD Capital, Chief Strategy</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Officer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[SIGNATURE PAGE TO AMENDMENT NO. 9]</w:t>
      </w:r>
    </w:p>
    <w:p>
      <w:pPr>
        <w:sectPr>
          <w:pgSz w:w="11900" w:h="16838" w:orient="portrait"/>
          <w:cols w:equalWidth="0" w:num="1">
            <w:col w:w="11140"/>
          </w:cols>
          <w:pgMar w:left="240" w:top="625" w:right="519" w:bottom="1440" w:gutter="0" w:footer="0" w:header="0"/>
        </w:sectPr>
      </w:pPr>
    </w:p>
    <w:bookmarkStart w:id="100" w:name="page101"/>
    <w:bookmarkEnd w:id="100"/>
    <w:p>
      <w:pPr>
        <w:ind w:left="2680"/>
        <w:spacing w:after="0"/>
        <w:rPr>
          <w:sz w:val="20"/>
          <w:szCs w:val="20"/>
          <w:color w:val="auto"/>
        </w:rPr>
      </w:pPr>
      <w:r>
        <w:rPr>
          <w:rFonts w:ascii="Times New Roman" w:cs="Times New Roman" w:eastAsia="Times New Roman" w:hAnsi="Times New Roman"/>
          <w:sz w:val="22"/>
          <w:szCs w:val="22"/>
          <w:color w:val="auto"/>
        </w:rPr>
        <w:t>HGST,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Michael C. Ray</w:t>
            </w:r>
          </w:p>
        </w:tc>
        <w:tc>
          <w:tcPr>
            <w:tcW w:w="340" w:type="dxa"/>
            <w:vAlign w:val="bottom"/>
          </w:tcPr>
          <w:p>
            <w:pPr>
              <w:spacing w:after="0"/>
              <w:rPr>
                <w:sz w:val="22"/>
                <w:szCs w:val="22"/>
                <w:color w:val="auto"/>
              </w:rPr>
            </w:pPr>
          </w:p>
        </w:tc>
      </w:tr>
      <w:tr>
        <w:trPr>
          <w:trHeight w:val="290"/>
        </w:trPr>
        <w:tc>
          <w:tcPr>
            <w:tcW w:w="292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Name:  Michael C. Ray</w:t>
            </w:r>
          </w:p>
        </w:tc>
      </w:tr>
      <w:tr>
        <w:trPr>
          <w:trHeight w:val="283"/>
        </w:trPr>
        <w:tc>
          <w:tcPr>
            <w:tcW w:w="7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7"/>
              </w:rPr>
              <w:t>President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WD MEDIA,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Michael C. Ray</w:t>
            </w:r>
          </w:p>
        </w:tc>
      </w:tr>
      <w:tr>
        <w:trPr>
          <w:trHeight w:val="290"/>
        </w:trPr>
        <w:tc>
          <w:tcPr>
            <w:tcW w:w="25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Name:  Michael C. Ray</w:t>
            </w:r>
          </w:p>
        </w:tc>
      </w:tr>
      <w:tr>
        <w:trPr>
          <w:trHeight w:val="283"/>
        </w:trPr>
        <w:tc>
          <w:tcPr>
            <w:tcW w:w="7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1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WESTERN DIGITAL (FREMONT),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Michael C. Ray</w:t>
            </w:r>
          </w:p>
        </w:tc>
        <w:tc>
          <w:tcPr>
            <w:tcW w:w="800" w:type="dxa"/>
            <w:vAlign w:val="bottom"/>
          </w:tcPr>
          <w:p>
            <w:pPr>
              <w:spacing w:after="0"/>
              <w:rPr>
                <w:sz w:val="21"/>
                <w:szCs w:val="21"/>
                <w:color w:val="auto"/>
              </w:rPr>
            </w:pPr>
          </w:p>
        </w:tc>
      </w:tr>
      <w:tr>
        <w:trPr>
          <w:trHeight w:val="290"/>
        </w:trPr>
        <w:tc>
          <w:tcPr>
            <w:tcW w:w="338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Name:  Michael C. Ray</w:t>
            </w:r>
          </w:p>
        </w:tc>
      </w:tr>
      <w:tr>
        <w:trPr>
          <w:trHeight w:val="283"/>
        </w:trPr>
        <w:tc>
          <w:tcPr>
            <w:tcW w:w="7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7"/>
              </w:rPr>
              <w:t>Vice President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WESTERN DIGITAL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Michael C. Ray</w:t>
            </w:r>
          </w:p>
        </w:tc>
        <w:tc>
          <w:tcPr>
            <w:tcW w:w="1060" w:type="dxa"/>
            <w:vAlign w:val="bottom"/>
          </w:tcPr>
          <w:p>
            <w:pPr>
              <w:spacing w:after="0"/>
              <w:rPr>
                <w:sz w:val="22"/>
                <w:szCs w:val="22"/>
                <w:color w:val="auto"/>
              </w:rPr>
            </w:pPr>
          </w:p>
        </w:tc>
      </w:tr>
      <w:tr>
        <w:trPr>
          <w:trHeight w:val="290"/>
        </w:trPr>
        <w:tc>
          <w:tcPr>
            <w:tcW w:w="364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Name:  Michael C. Ray</w:t>
            </w:r>
          </w:p>
        </w:tc>
      </w:tr>
      <w:tr>
        <w:trPr>
          <w:trHeight w:val="281"/>
        </w:trPr>
        <w:tc>
          <w:tcPr>
            <w:tcW w:w="7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29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7"/>
              </w:rPr>
              <w:t>Executive Vice President, Chief</w:t>
            </w:r>
          </w:p>
        </w:tc>
      </w:tr>
    </w:tbl>
    <w:p>
      <w:pPr>
        <w:jc w:val="right"/>
        <w:spacing w:after="0"/>
        <w:rPr>
          <w:sz w:val="20"/>
          <w:szCs w:val="20"/>
          <w:color w:val="auto"/>
        </w:rPr>
      </w:pPr>
      <w:r>
        <w:rPr>
          <w:rFonts w:ascii="Times New Roman" w:cs="Times New Roman" w:eastAsia="Times New Roman" w:hAnsi="Times New Roman"/>
          <w:sz w:val="22"/>
          <w:szCs w:val="22"/>
          <w:color w:val="auto"/>
        </w:rPr>
        <w:t>Legal Officer and</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Secretary</w:t>
      </w:r>
    </w:p>
    <w:p>
      <w:pPr>
        <w:sectPr>
          <w:pgSz w:w="11900" w:h="16838" w:orient="portrait"/>
          <w:cols w:equalWidth="0" w:num="1">
            <w:col w:w="9420"/>
          </w:cols>
          <w:pgMar w:left="1440" w:top="625"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1"/>
          <w:szCs w:val="21"/>
          <w:color w:val="auto"/>
        </w:rPr>
        <w:t>[SIGNATURE PAGE TO AMENDMENT NO. 9]</w:t>
      </w:r>
    </w:p>
    <w:p>
      <w:pPr>
        <w:sectPr>
          <w:pgSz w:w="11900" w:h="16838" w:orient="portrait"/>
          <w:cols w:equalWidth="0" w:num="1">
            <w:col w:w="9420"/>
          </w:cols>
          <w:pgMar w:left="1440" w:top="625" w:right="1039" w:bottom="1440" w:gutter="0" w:footer="0" w:header="0"/>
          <w:type w:val="continuous"/>
        </w:sectPr>
      </w:pPr>
    </w:p>
    <w:bookmarkStart w:id="101" w:name="page102"/>
    <w:bookmarkEnd w:id="101"/>
    <w:p>
      <w:pPr>
        <w:ind w:left="2680"/>
        <w:spacing w:after="0"/>
        <w:rPr>
          <w:sz w:val="20"/>
          <w:szCs w:val="20"/>
          <w:color w:val="auto"/>
        </w:rPr>
      </w:pPr>
      <w:r>
        <w:rPr>
          <w:rFonts w:ascii="Times New Roman" w:cs="Times New Roman" w:eastAsia="Times New Roman" w:hAnsi="Times New Roman"/>
          <w:sz w:val="22"/>
          <w:szCs w:val="22"/>
          <w:color w:val="auto"/>
        </w:rPr>
        <w:t>JPMORGAN CHASE BANK, N.A., as</w:t>
      </w:r>
    </w:p>
    <w:p>
      <w:pPr>
        <w:spacing w:after="0" w:line="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00"/>
        <w:spacing w:after="0"/>
        <w:tabs>
          <w:tab w:leader="none" w:pos="34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Caitlin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-13970</wp:posOffset>
            </wp:positionV>
            <wp:extent cx="12655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265555" cy="8890"/>
                    </a:xfrm>
                    <a:prstGeom prst="rect">
                      <a:avLst/>
                    </a:prstGeom>
                    <a:noFill/>
                  </pic:spPr>
                </pic:pic>
              </a:graphicData>
            </a:graphic>
          </wp:anchor>
        </w:drawing>
      </w:r>
    </w:p>
    <w:p>
      <w:pPr>
        <w:spacing w:after="0" w:line="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Caitlin Stewart</w:t>
      </w:r>
    </w:p>
    <w:p>
      <w:pPr>
        <w:spacing w:after="0" w:line="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[SIGNATURE PAGE TO AMENDMENT NO. 9]</w:t>
      </w:r>
    </w:p>
    <w:p>
      <w:pPr>
        <w:sectPr>
          <w:pgSz w:w="11900" w:h="16838" w:orient="portrait"/>
          <w:cols w:equalWidth="0" w:num="1">
            <w:col w:w="9019"/>
          </w:cols>
          <w:pgMar w:left="1440" w:top="625" w:right="1440" w:bottom="1440" w:gutter="0" w:footer="0" w:header="0"/>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21"/>
          <w:szCs w:val="21"/>
          <w:color w:val="auto"/>
        </w:rPr>
        <w:t>[LENDER CONSENTS ON FILE WITH THE ADMINISTRATIVE AGENT]</w:t>
      </w:r>
    </w:p>
    <w:p>
      <w:pPr>
        <w:sectPr>
          <w:pgSz w:w="11900" w:h="16838" w:orient="portrait"/>
          <w:cols w:equalWidth="0" w:num="1">
            <w:col w:w="9019"/>
          </w:cols>
          <w:pgMar w:left="1440" w:top="625"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351155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LOAN AGREEMENT</w:t>
      </w:r>
    </w:p>
    <w:p>
      <w:pPr>
        <w:spacing w:after="0" w:line="236"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AMONG</w:t>
      </w:r>
    </w:p>
    <w:p>
      <w:pPr>
        <w:spacing w:after="0" w:line="27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WESTERN DIGITAL CORPORATION,</w:t>
      </w:r>
    </w:p>
    <w:p>
      <w:pPr>
        <w:spacing w:after="0" w:line="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a Delaware corporation, as Borrower,</w:t>
      </w:r>
    </w:p>
    <w:p>
      <w:pPr>
        <w:spacing w:after="0" w:line="196"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VARIOUS LENDERS</w:t>
      </w:r>
    </w:p>
    <w:p>
      <w:pPr>
        <w:spacing w:after="0" w:line="2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FROM TIME TO TIME PARTY HERETO,</w:t>
      </w:r>
    </w:p>
    <w:p>
      <w:pPr>
        <w:spacing w:after="0" w:line="19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as Administrative Agent and Collateral Agent,</w:t>
      </w:r>
    </w:p>
    <w:p>
      <w:pPr>
        <w:spacing w:after="0" w:line="19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MERRILL LYNCH, PIERCE, FENNER &amp; SMITH INCORPORATED,</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MIZUHO BANK, LTD.,</w:t>
      </w:r>
    </w:p>
    <w:p>
      <w:pPr>
        <w:spacing w:after="0" w:line="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RBC CAPITAL MARKETS,</w:t>
      </w:r>
    </w:p>
    <w:p>
      <w:pPr>
        <w:spacing w:after="0" w:line="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WELLS FARGO SECURITIES, LLC,</w:t>
      </w:r>
    </w:p>
    <w:p>
      <w:pPr>
        <w:spacing w:after="0" w:line="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THE BANK OF TOKYO-MITSUBISHI UFJ, LTD.,</w:t>
      </w:r>
    </w:p>
    <w:p>
      <w:pPr>
        <w:spacing w:after="0" w:line="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SUNTRUST ROBINSON HUMPHREY, INC,</w:t>
      </w:r>
    </w:p>
    <w:p>
      <w:pPr>
        <w:spacing w:after="0" w:line="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HSBC SECURITIES (USA) INC.,</w:t>
      </w:r>
    </w:p>
    <w:p>
      <w:pPr>
        <w:spacing w:after="0" w:line="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SUMITOMO MITSUI BANKING CORPORATION,</w:t>
      </w:r>
    </w:p>
    <w:p>
      <w:pPr>
        <w:spacing w:after="0" w:line="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CITIGROUP GLOBAL MARKETS INC., and</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TD BANK, N.A.,</w:t>
      </w:r>
    </w:p>
    <w:p>
      <w:pPr>
        <w:spacing w:after="0" w:line="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23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MIZUHO BANK, LTD.,</w:t>
      </w:r>
    </w:p>
    <w:p>
      <w:pPr>
        <w:spacing w:after="0" w:line="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RBC CAPITAL MARKETS, and</w:t>
      </w:r>
    </w:p>
    <w:p>
      <w:pPr>
        <w:spacing w:after="0" w:line="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WELLS FARGO SECURITIES, LLC,</w:t>
      </w:r>
    </w:p>
    <w:p>
      <w:pPr>
        <w:spacing w:after="0" w:line="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as Co-Syndication Agents,</w:t>
      </w:r>
    </w:p>
    <w:p>
      <w:pPr>
        <w:spacing w:after="0" w:line="19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THE BANK OF TOKYO-MITSUBISHI UFJ, LTD.,</w:t>
      </w:r>
    </w:p>
    <w:p>
      <w:pPr>
        <w:spacing w:after="0" w:line="2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SUNTRUST BANK,</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HSBC BANK PLC,</w:t>
      </w:r>
    </w:p>
    <w:p>
      <w:pPr>
        <w:spacing w:after="0" w:line="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SUMITOMO MITSUI BANKING CORPORATION,</w:t>
      </w:r>
    </w:p>
    <w:p>
      <w:pPr>
        <w:spacing w:after="0" w:line="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CITIBANK, N.A.,</w:t>
      </w:r>
    </w:p>
    <w:p>
      <w:pPr>
        <w:spacing w:after="0" w:line="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TD BANK, N.A.,</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BBVA COMPASS,</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THE BANK OF NOVA SCOTIA, and</w:t>
      </w:r>
    </w:p>
    <w:p>
      <w:pPr>
        <w:spacing w:after="0" w:line="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BNP PARIBAS SA,</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as Co-Documentation Agents</w:t>
      </w:r>
    </w:p>
    <w:p>
      <w:pPr>
        <w:sectPr>
          <w:pgSz w:w="11900" w:h="16838" w:orient="portrait"/>
          <w:cols w:equalWidth="0" w:num="1">
            <w:col w:w="10220"/>
          </w:cols>
          <w:pgMar w:left="1440" w:top="621" w:right="2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DBS BANK LTD.,</w:t>
      </w:r>
    </w:p>
    <w:p>
      <w:pPr>
        <w:spacing w:after="0" w:line="2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U.S. BANK N.A., and</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FIFTH THIRD BANK,</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as Senior Managing Agents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April 29, 2016</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by Amendment No. 1, dated as of August 17, 2016</w:t>
      </w:r>
    </w:p>
    <w:p>
      <w:pPr>
        <w:spacing w:after="0" w:line="4" w:lineRule="exact"/>
        <w:rPr>
          <w:sz w:val="20"/>
          <w:szCs w:val="20"/>
          <w:color w:val="auto"/>
        </w:rPr>
      </w:pPr>
    </w:p>
    <w:p>
      <w:pPr>
        <w:jc w:val="center"/>
        <w:ind w:left="1300" w:right="1299"/>
        <w:spacing w:after="0" w:line="257" w:lineRule="auto"/>
        <w:rPr>
          <w:sz w:val="20"/>
          <w:szCs w:val="20"/>
          <w:color w:val="auto"/>
        </w:rPr>
      </w:pPr>
      <w:r>
        <w:rPr>
          <w:rFonts w:ascii="Times New Roman" w:cs="Times New Roman" w:eastAsia="Times New Roman" w:hAnsi="Times New Roman"/>
          <w:sz w:val="21"/>
          <w:szCs w:val="21"/>
          <w:color w:val="auto"/>
        </w:rPr>
        <w:t>as further amended by Amendment No. 2, dated as of September 22, 2016 as further amended by Amendment No. 3, dated as of March 14, 2017 as further amended by Amendment No. 4, dated as of March 23, 2017 as further amended by Amendment No. 5, dated as of November 8, 2017 as further amended by Amendment No. 6, dated as of November 29, 2017 as further amended by Amendment No. 7, dated as of February 27, 2018 as further amended by Amendment No. 8, dated as of May 15, 2018 and as further amended by Amendment No. 9, dated as of April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39370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87"/>
        </w:trPr>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5"/>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0" w:type="dxa"/>
            <w:vAlign w:val="bottom"/>
          </w:tcPr>
          <w:p>
            <w:pPr>
              <w:spacing w:after="0"/>
              <w:rPr>
                <w:sz w:val="1"/>
                <w:szCs w:val="1"/>
                <w:color w:val="auto"/>
              </w:rPr>
            </w:pPr>
          </w:p>
        </w:tc>
      </w:tr>
      <w:tr>
        <w:trPr>
          <w:trHeight w:val="420"/>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ARTICLE 1.</w:t>
            </w:r>
          </w:p>
        </w:tc>
        <w:tc>
          <w:tcPr>
            <w:tcW w:w="3320" w:type="dxa"/>
            <w:vAlign w:val="bottom"/>
            <w:gridSpan w:val="9"/>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DEFINITIONS; INTERPRETATION</w:t>
            </w:r>
          </w:p>
        </w:tc>
        <w:tc>
          <w:tcPr>
            <w:tcW w:w="8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w:t>
            </w:r>
          </w:p>
        </w:tc>
        <w:tc>
          <w:tcPr>
            <w:tcW w:w="1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2"/>
              </w:rPr>
              <w:t>Page</w:t>
            </w:r>
          </w:p>
        </w:tc>
        <w:tc>
          <w:tcPr>
            <w:tcW w:w="0" w:type="dxa"/>
            <w:vAlign w:val="bottom"/>
          </w:tcPr>
          <w:p>
            <w:pPr>
              <w:spacing w:after="0"/>
              <w:rPr>
                <w:sz w:val="1"/>
                <w:szCs w:val="1"/>
                <w:color w:val="auto"/>
              </w:rPr>
            </w:pPr>
          </w:p>
        </w:tc>
      </w:tr>
      <w:tr>
        <w:trPr>
          <w:trHeight w:val="259"/>
        </w:trPr>
        <w:tc>
          <w:tcPr>
            <w:tcW w:w="1320" w:type="dxa"/>
            <w:vAlign w:val="bottom"/>
            <w:vMerge w:val="continue"/>
          </w:tcPr>
          <w:p>
            <w:pPr>
              <w:spacing w:after="0"/>
              <w:rPr>
                <w:sz w:val="22"/>
                <w:szCs w:val="22"/>
                <w:color w:val="auto"/>
              </w:rPr>
            </w:pPr>
          </w:p>
        </w:tc>
        <w:tc>
          <w:tcPr>
            <w:tcW w:w="3320" w:type="dxa"/>
            <w:vAlign w:val="bottom"/>
            <w:gridSpan w:val="9"/>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1.1</w:t>
            </w:r>
          </w:p>
        </w:tc>
        <w:tc>
          <w:tcPr>
            <w:tcW w:w="114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1.2</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Interpretation</w:t>
            </w:r>
          </w:p>
        </w:tc>
        <w:tc>
          <w:tcPr>
            <w:tcW w:w="56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48</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i w:val="1"/>
                <w:iCs w:val="1"/>
                <w:color w:val="auto"/>
              </w:rPr>
              <w:t>Certain Determinations</w:t>
            </w:r>
            <w:r>
              <w:rPr>
                <w:rFonts w:ascii="Times New Roman" w:cs="Times New Roman" w:eastAsia="Times New Roman" w:hAnsi="Times New Roman"/>
                <w:sz w:val="22"/>
                <w:szCs w:val="22"/>
                <w:color w:val="auto"/>
              </w:rPr>
              <w:t>.  49</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1.4</w:t>
            </w:r>
          </w:p>
        </w:tc>
        <w:tc>
          <w:tcPr>
            <w:tcW w:w="4160" w:type="dxa"/>
            <w:vAlign w:val="bottom"/>
            <w:gridSpan w:val="10"/>
          </w:tcPr>
          <w:p>
            <w:pPr>
              <w:ind w:left="100"/>
              <w:spacing w:after="0"/>
              <w:rPr>
                <w:sz w:val="20"/>
                <w:szCs w:val="20"/>
                <w:color w:val="auto"/>
              </w:rPr>
            </w:pPr>
            <w:r>
              <w:rPr>
                <w:rFonts w:ascii="Times New Roman" w:cs="Times New Roman" w:eastAsia="Times New Roman" w:hAnsi="Times New Roman"/>
                <w:sz w:val="22"/>
                <w:szCs w:val="22"/>
                <w:i w:val="1"/>
                <w:iCs w:val="1"/>
                <w:color w:val="auto"/>
              </w:rPr>
              <w:t xml:space="preserve">Change in Accounting Principles  </w:t>
            </w:r>
            <w:r>
              <w:rPr>
                <w:rFonts w:ascii="Times New Roman" w:cs="Times New Roman" w:eastAsia="Times New Roman" w:hAnsi="Times New Roman"/>
                <w:sz w:val="22"/>
                <w:szCs w:val="22"/>
                <w:color w:val="auto"/>
              </w:rPr>
              <w:t>49</w:t>
            </w: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1.5</w:t>
            </w: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rPr>
              <w:t>Currency Generally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ARTICLE 2.</w:t>
            </w: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w w:val="97"/>
              </w:rPr>
              <w:t>THE LOAN FACILITIES</w:t>
            </w:r>
          </w:p>
        </w:tc>
        <w:tc>
          <w:tcPr>
            <w:tcW w:w="120" w:type="dxa"/>
            <w:vAlign w:val="bottom"/>
          </w:tcPr>
          <w:p>
            <w:pPr>
              <w:spacing w:after="0"/>
              <w:rPr>
                <w:sz w:val="21"/>
                <w:szCs w:val="21"/>
                <w:color w:val="auto"/>
              </w:rPr>
            </w:pP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50</w:t>
            </w: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2.1</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22"/>
                <w:szCs w:val="22"/>
                <w:i w:val="1"/>
                <w:iCs w:val="1"/>
                <w:color w:val="auto"/>
              </w:rPr>
              <w:t>The Term Loans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50</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2.2</w:t>
            </w:r>
          </w:p>
        </w:tc>
        <w:tc>
          <w:tcPr>
            <w:tcW w:w="2840" w:type="dxa"/>
            <w:vAlign w:val="bottom"/>
            <w:gridSpan w:val="8"/>
          </w:tcPr>
          <w:p>
            <w:pPr>
              <w:ind w:left="100"/>
              <w:spacing w:after="0"/>
              <w:rPr>
                <w:sz w:val="20"/>
                <w:szCs w:val="20"/>
                <w:color w:val="auto"/>
              </w:rPr>
            </w:pPr>
            <w:r>
              <w:rPr>
                <w:rFonts w:ascii="Times New Roman" w:cs="Times New Roman" w:eastAsia="Times New Roman" w:hAnsi="Times New Roman"/>
                <w:sz w:val="22"/>
                <w:szCs w:val="22"/>
                <w:i w:val="1"/>
                <w:iCs w:val="1"/>
                <w:color w:val="auto"/>
                <w:w w:val="98"/>
              </w:rPr>
              <w:t>Revolving Credit Commitments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2.3</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22"/>
                <w:szCs w:val="22"/>
                <w:i w:val="1"/>
                <w:iCs w:val="1"/>
                <w:color w:val="auto"/>
              </w:rPr>
              <w:t>Letters of Credit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2.4</w:t>
            </w:r>
          </w:p>
        </w:tc>
        <w:tc>
          <w:tcPr>
            <w:tcW w:w="2300" w:type="dxa"/>
            <w:vAlign w:val="bottom"/>
            <w:gridSpan w:val="5"/>
          </w:tcPr>
          <w:p>
            <w:pPr>
              <w:ind w:left="80"/>
              <w:spacing w:after="0"/>
              <w:rPr>
                <w:sz w:val="20"/>
                <w:szCs w:val="20"/>
                <w:color w:val="auto"/>
              </w:rPr>
            </w:pPr>
            <w:r>
              <w:rPr>
                <w:rFonts w:ascii="Times New Roman" w:cs="Times New Roman" w:eastAsia="Times New Roman" w:hAnsi="Times New Roman"/>
                <w:sz w:val="22"/>
                <w:szCs w:val="22"/>
                <w:i w:val="1"/>
                <w:iCs w:val="1"/>
                <w:color w:val="auto"/>
                <w:w w:val="98"/>
              </w:rPr>
              <w:t>Applicable Interest Rates</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2.5</w:t>
            </w:r>
          </w:p>
        </w:tc>
        <w:tc>
          <w:tcPr>
            <w:tcW w:w="10100" w:type="dxa"/>
            <w:vAlign w:val="bottom"/>
            <w:gridSpan w:val="13"/>
          </w:tcPr>
          <w:p>
            <w:pPr>
              <w:ind w:left="100"/>
              <w:spacing w:after="0"/>
              <w:rPr>
                <w:sz w:val="20"/>
                <w:szCs w:val="20"/>
                <w:color w:val="auto"/>
              </w:rPr>
            </w:pPr>
            <w:r>
              <w:rPr>
                <w:rFonts w:ascii="Times New Roman" w:cs="Times New Roman" w:eastAsia="Times New Roman" w:hAnsi="Times New Roman"/>
                <w:sz w:val="22"/>
                <w:szCs w:val="22"/>
                <w:i w:val="1"/>
                <w:iCs w:val="1"/>
                <w:color w:val="auto"/>
              </w:rPr>
              <w:t xml:space="preserve">Manner of Borrowing Loans and Designating Applicable Interest Rates  </w:t>
            </w: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2.6</w:t>
            </w:r>
          </w:p>
        </w:tc>
        <w:tc>
          <w:tcPr>
            <w:tcW w:w="5380" w:type="dxa"/>
            <w:vAlign w:val="bottom"/>
            <w:gridSpan w:val="11"/>
          </w:tcPr>
          <w:p>
            <w:pPr>
              <w:ind w:left="100"/>
              <w:spacing w:after="0"/>
              <w:rPr>
                <w:sz w:val="20"/>
                <w:szCs w:val="20"/>
                <w:color w:val="auto"/>
              </w:rPr>
            </w:pPr>
            <w:r>
              <w:rPr>
                <w:rFonts w:ascii="Times New Roman" w:cs="Times New Roman" w:eastAsia="Times New Roman" w:hAnsi="Times New Roman"/>
                <w:sz w:val="22"/>
                <w:szCs w:val="22"/>
                <w:i w:val="1"/>
                <w:iCs w:val="1"/>
                <w:color w:val="auto"/>
                <w:w w:val="99"/>
              </w:rPr>
              <w:t>Minimum Borrowing Amounts; Maximum Eurodollar Loans</w:t>
            </w:r>
          </w:p>
        </w:tc>
        <w:tc>
          <w:tcPr>
            <w:tcW w:w="428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58</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2.7</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22"/>
                <w:szCs w:val="22"/>
                <w:i w:val="1"/>
                <w:iCs w:val="1"/>
                <w:color w:val="auto"/>
                <w:w w:val="98"/>
              </w:rPr>
              <w:t>Maturity of Loans</w:t>
            </w:r>
          </w:p>
        </w:tc>
        <w:tc>
          <w:tcPr>
            <w:tcW w:w="62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2.8</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Prepayments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59</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2.9</w:t>
            </w:r>
          </w:p>
        </w:tc>
        <w:tc>
          <w:tcPr>
            <w:tcW w:w="3320" w:type="dxa"/>
            <w:vAlign w:val="bottom"/>
            <w:gridSpan w:val="9"/>
          </w:tcPr>
          <w:p>
            <w:pPr>
              <w:ind w:left="100"/>
              <w:spacing w:after="0"/>
              <w:rPr>
                <w:sz w:val="20"/>
                <w:szCs w:val="20"/>
                <w:color w:val="auto"/>
              </w:rPr>
            </w:pPr>
            <w:r>
              <w:rPr>
                <w:rFonts w:ascii="Times New Roman" w:cs="Times New Roman" w:eastAsia="Times New Roman" w:hAnsi="Times New Roman"/>
                <w:sz w:val="22"/>
                <w:szCs w:val="22"/>
                <w:i w:val="1"/>
                <w:iCs w:val="1"/>
                <w:color w:val="auto"/>
              </w:rPr>
              <w:t>Place and Application of Payments</w:t>
            </w:r>
          </w:p>
        </w:tc>
        <w:tc>
          <w:tcPr>
            <w:tcW w:w="84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63</w:t>
            </w: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2.10</w:t>
            </w:r>
          </w:p>
        </w:tc>
        <w:tc>
          <w:tcPr>
            <w:tcW w:w="2700" w:type="dxa"/>
            <w:vAlign w:val="bottom"/>
            <w:gridSpan w:val="7"/>
          </w:tcPr>
          <w:p>
            <w:pPr>
              <w:ind w:left="200"/>
              <w:spacing w:after="0"/>
              <w:rPr>
                <w:sz w:val="20"/>
                <w:szCs w:val="20"/>
                <w:color w:val="auto"/>
              </w:rPr>
            </w:pPr>
            <w:r>
              <w:rPr>
                <w:rFonts w:ascii="Times New Roman" w:cs="Times New Roman" w:eastAsia="Times New Roman" w:hAnsi="Times New Roman"/>
                <w:sz w:val="22"/>
                <w:szCs w:val="22"/>
                <w:i w:val="1"/>
                <w:iCs w:val="1"/>
                <w:color w:val="auto"/>
              </w:rPr>
              <w:t>Commitment Terminations</w:t>
            </w:r>
          </w:p>
        </w:tc>
        <w:tc>
          <w:tcPr>
            <w:tcW w:w="62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w w:val="90"/>
              </w:rPr>
              <w:t>64</w:t>
            </w: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2.11</w:t>
            </w:r>
          </w:p>
        </w:tc>
        <w:tc>
          <w:tcPr>
            <w:tcW w:w="11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6"/>
              </w:rPr>
              <w:t>[</w:t>
            </w:r>
            <w:r>
              <w:rPr>
                <w:rFonts w:ascii="Times New Roman" w:cs="Times New Roman" w:eastAsia="Times New Roman" w:hAnsi="Times New Roman"/>
                <w:sz w:val="22"/>
                <w:szCs w:val="22"/>
                <w:i w:val="1"/>
                <w:iCs w:val="1"/>
                <w:color w:val="auto"/>
                <w:w w:val="96"/>
              </w:rPr>
              <w:t>Reserved</w:t>
            </w:r>
            <w:r>
              <w:rPr>
                <w:rFonts w:ascii="Times New Roman" w:cs="Times New Roman" w:eastAsia="Times New Roman" w:hAnsi="Times New Roman"/>
                <w:sz w:val="22"/>
                <w:szCs w:val="22"/>
                <w:color w:val="auto"/>
                <w:w w:val="96"/>
              </w:rPr>
              <w:t>]</w:t>
            </w:r>
          </w:p>
        </w:tc>
        <w:tc>
          <w:tcPr>
            <w:tcW w:w="5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64</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2.12</w:t>
            </w:r>
          </w:p>
        </w:tc>
        <w:tc>
          <w:tcPr>
            <w:tcW w:w="2420" w:type="dxa"/>
            <w:vAlign w:val="bottom"/>
            <w:gridSpan w:val="6"/>
          </w:tcPr>
          <w:p>
            <w:pPr>
              <w:ind w:left="200"/>
              <w:spacing w:after="0"/>
              <w:rPr>
                <w:sz w:val="20"/>
                <w:szCs w:val="20"/>
                <w:color w:val="auto"/>
              </w:rPr>
            </w:pPr>
            <w:r>
              <w:rPr>
                <w:rFonts w:ascii="Times New Roman" w:cs="Times New Roman" w:eastAsia="Times New Roman" w:hAnsi="Times New Roman"/>
                <w:sz w:val="22"/>
                <w:szCs w:val="22"/>
                <w:i w:val="1"/>
                <w:iCs w:val="1"/>
                <w:color w:val="auto"/>
                <w:w w:val="98"/>
              </w:rPr>
              <w:t>Evidence of Indebtedness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2.13</w:t>
            </w:r>
          </w:p>
        </w:tc>
        <w:tc>
          <w:tcPr>
            <w:tcW w:w="1140" w:type="dxa"/>
            <w:vAlign w:val="bottom"/>
          </w:tcPr>
          <w:p>
            <w:pPr>
              <w:ind w:left="200"/>
              <w:spacing w:after="0"/>
              <w:rPr>
                <w:sz w:val="20"/>
                <w:szCs w:val="20"/>
                <w:color w:val="auto"/>
              </w:rPr>
            </w:pPr>
            <w:r>
              <w:rPr>
                <w:rFonts w:ascii="Times New Roman" w:cs="Times New Roman" w:eastAsia="Times New Roman" w:hAnsi="Times New Roman"/>
                <w:sz w:val="22"/>
                <w:szCs w:val="22"/>
                <w:i w:val="1"/>
                <w:iCs w:val="1"/>
                <w:color w:val="auto"/>
              </w:rPr>
              <w:t xml:space="preserve">Fees  </w:t>
            </w:r>
            <w:r>
              <w:rPr>
                <w:rFonts w:ascii="Times New Roman" w:cs="Times New Roman" w:eastAsia="Times New Roman" w:hAnsi="Times New Roman"/>
                <w:sz w:val="22"/>
                <w:szCs w:val="22"/>
                <w:color w:val="auto"/>
              </w:rPr>
              <w:t>65</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2.14</w:t>
            </w:r>
          </w:p>
        </w:tc>
        <w:tc>
          <w:tcPr>
            <w:tcW w:w="2840" w:type="dxa"/>
            <w:vAlign w:val="bottom"/>
            <w:gridSpan w:val="8"/>
          </w:tcPr>
          <w:p>
            <w:pPr>
              <w:ind w:left="200"/>
              <w:spacing w:after="0"/>
              <w:rPr>
                <w:sz w:val="20"/>
                <w:szCs w:val="20"/>
                <w:color w:val="auto"/>
              </w:rPr>
            </w:pPr>
            <w:r>
              <w:rPr>
                <w:rFonts w:ascii="Times New Roman" w:cs="Times New Roman" w:eastAsia="Times New Roman" w:hAnsi="Times New Roman"/>
                <w:sz w:val="22"/>
                <w:szCs w:val="22"/>
                <w:i w:val="1"/>
                <w:iCs w:val="1"/>
                <w:color w:val="auto"/>
                <w:w w:val="97"/>
              </w:rPr>
              <w:t>Incremental Credit Extensions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2.15</w:t>
            </w:r>
          </w:p>
        </w:tc>
        <w:tc>
          <w:tcPr>
            <w:tcW w:w="10100" w:type="dxa"/>
            <w:vAlign w:val="bottom"/>
            <w:gridSpan w:val="13"/>
          </w:tcPr>
          <w:p>
            <w:pPr>
              <w:ind w:left="200"/>
              <w:spacing w:after="0"/>
              <w:rPr>
                <w:sz w:val="20"/>
                <w:szCs w:val="20"/>
                <w:color w:val="auto"/>
              </w:rPr>
            </w:pPr>
            <w:r>
              <w:rPr>
                <w:rFonts w:ascii="Times New Roman" w:cs="Times New Roman" w:eastAsia="Times New Roman" w:hAnsi="Times New Roman"/>
                <w:sz w:val="22"/>
                <w:szCs w:val="22"/>
                <w:i w:val="1"/>
                <w:iCs w:val="1"/>
                <w:color w:val="auto"/>
              </w:rPr>
              <w:t xml:space="preserve">Extensions of Term Loans and Revolving Credit Commitments  </w:t>
            </w:r>
            <w:r>
              <w:rPr>
                <w:rFonts w:ascii="Times New Roman" w:cs="Times New Roman" w:eastAsia="Times New Roman" w:hAnsi="Times New Roman"/>
                <w:sz w:val="22"/>
                <w:szCs w:val="22"/>
                <w:color w:val="auto"/>
              </w:rPr>
              <w:t>69</w:t>
            </w: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2.16</w:t>
            </w: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22"/>
                <w:szCs w:val="22"/>
                <w:i w:val="1"/>
                <w:iCs w:val="1"/>
                <w:color w:val="auto"/>
              </w:rPr>
              <w:t>Refinancing Facilities</w:t>
            </w: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w w:val="99"/>
              </w:rPr>
              <w:t>72</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2.17</w:t>
            </w:r>
          </w:p>
        </w:tc>
        <w:tc>
          <w:tcPr>
            <w:tcW w:w="2420" w:type="dxa"/>
            <w:vAlign w:val="bottom"/>
            <w:gridSpan w:val="6"/>
          </w:tcPr>
          <w:p>
            <w:pPr>
              <w:ind w:left="200"/>
              <w:spacing w:after="0"/>
              <w:rPr>
                <w:sz w:val="20"/>
                <w:szCs w:val="20"/>
                <w:color w:val="auto"/>
              </w:rPr>
            </w:pPr>
            <w:r>
              <w:rPr>
                <w:rFonts w:ascii="Times New Roman" w:cs="Times New Roman" w:eastAsia="Times New Roman" w:hAnsi="Times New Roman"/>
                <w:sz w:val="22"/>
                <w:szCs w:val="22"/>
                <w:i w:val="1"/>
                <w:iCs w:val="1"/>
                <w:color w:val="auto"/>
                <w:w w:val="97"/>
              </w:rPr>
              <w:t>Escrow of Loan Proceeds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2.18</w:t>
            </w:r>
          </w:p>
        </w:tc>
        <w:tc>
          <w:tcPr>
            <w:tcW w:w="1980" w:type="dxa"/>
            <w:vAlign w:val="bottom"/>
            <w:gridSpan w:val="4"/>
          </w:tcPr>
          <w:p>
            <w:pPr>
              <w:ind w:left="200"/>
              <w:spacing w:after="0"/>
              <w:rPr>
                <w:sz w:val="20"/>
                <w:szCs w:val="20"/>
                <w:color w:val="auto"/>
              </w:rPr>
            </w:pPr>
            <w:r>
              <w:rPr>
                <w:rFonts w:ascii="Times New Roman" w:cs="Times New Roman" w:eastAsia="Times New Roman" w:hAnsi="Times New Roman"/>
                <w:sz w:val="22"/>
                <w:szCs w:val="22"/>
                <w:i w:val="1"/>
                <w:iCs w:val="1"/>
                <w:color w:val="auto"/>
              </w:rPr>
              <w:t>Defaulting Lenders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ARTICLE 3.</w:t>
            </w:r>
          </w:p>
        </w:tc>
        <w:tc>
          <w:tcPr>
            <w:tcW w:w="270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w w:val="99"/>
              </w:rPr>
              <w:t>CONDITIONS PRECEDENT</w:t>
            </w:r>
          </w:p>
        </w:tc>
        <w:tc>
          <w:tcPr>
            <w:tcW w:w="140" w:type="dxa"/>
            <w:vAlign w:val="bottom"/>
          </w:tcPr>
          <w:p>
            <w:pPr>
              <w:spacing w:after="0"/>
              <w:rPr>
                <w:sz w:val="21"/>
                <w:szCs w:val="21"/>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9"/>
              </w:rPr>
              <w:t>77</w:t>
            </w: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3.1</w:t>
            </w:r>
          </w:p>
        </w:tc>
        <w:tc>
          <w:tcPr>
            <w:tcW w:w="1980" w:type="dxa"/>
            <w:vAlign w:val="bottom"/>
            <w:gridSpan w:val="4"/>
          </w:tcPr>
          <w:p>
            <w:pPr>
              <w:ind w:left="80"/>
              <w:spacing w:after="0"/>
              <w:rPr>
                <w:sz w:val="20"/>
                <w:szCs w:val="20"/>
                <w:color w:val="auto"/>
              </w:rPr>
            </w:pPr>
            <w:r>
              <w:rPr>
                <w:rFonts w:ascii="Times New Roman" w:cs="Times New Roman" w:eastAsia="Times New Roman" w:hAnsi="Times New Roman"/>
                <w:sz w:val="22"/>
                <w:szCs w:val="22"/>
                <w:i w:val="1"/>
                <w:iCs w:val="1"/>
                <w:color w:val="auto"/>
                <w:w w:val="99"/>
              </w:rPr>
              <w:t>All Credit Extensions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3.2</w:t>
            </w:r>
          </w:p>
        </w:tc>
        <w:tc>
          <w:tcPr>
            <w:tcW w:w="5380" w:type="dxa"/>
            <w:vAlign w:val="bottom"/>
            <w:gridSpan w:val="11"/>
          </w:tcPr>
          <w:p>
            <w:pPr>
              <w:ind w:left="100"/>
              <w:spacing w:after="0"/>
              <w:rPr>
                <w:sz w:val="20"/>
                <w:szCs w:val="20"/>
                <w:color w:val="auto"/>
              </w:rPr>
            </w:pPr>
            <w:r>
              <w:rPr>
                <w:rFonts w:ascii="Times New Roman" w:cs="Times New Roman" w:eastAsia="Times New Roman" w:hAnsi="Times New Roman"/>
                <w:sz w:val="22"/>
                <w:szCs w:val="22"/>
                <w:i w:val="1"/>
                <w:iCs w:val="1"/>
                <w:color w:val="auto"/>
              </w:rPr>
              <w:t>Initial Credit Extensions and Effectiveness on Closing Date</w:t>
            </w:r>
          </w:p>
        </w:tc>
        <w:tc>
          <w:tcPr>
            <w:tcW w:w="4280" w:type="dxa"/>
            <w:vAlign w:val="bottom"/>
          </w:tcPr>
          <w:p>
            <w:pPr>
              <w:jc w:val="right"/>
              <w:ind w:right="3872"/>
              <w:spacing w:after="0"/>
              <w:rPr>
                <w:sz w:val="20"/>
                <w:szCs w:val="20"/>
                <w:color w:val="auto"/>
              </w:rPr>
            </w:pPr>
            <w:r>
              <w:rPr>
                <w:rFonts w:ascii="Times New Roman" w:cs="Times New Roman" w:eastAsia="Times New Roman" w:hAnsi="Times New Roman"/>
                <w:sz w:val="22"/>
                <w:szCs w:val="22"/>
                <w:color w:val="auto"/>
              </w:rPr>
              <w:t>77</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3.3</w:t>
            </w: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w w:val="98"/>
              </w:rPr>
              <w:t>Escrow Release Date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ARTICLE 4.</w:t>
            </w:r>
          </w:p>
        </w:tc>
        <w:tc>
          <w:tcPr>
            <w:tcW w:w="416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w w:val="97"/>
              </w:rPr>
              <w:t>THE COLLATERAL AND THE GUARANTY</w:t>
            </w:r>
          </w:p>
        </w:tc>
        <w:tc>
          <w:tcPr>
            <w:tcW w:w="122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82</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4.1</w:t>
            </w:r>
          </w:p>
        </w:tc>
        <w:tc>
          <w:tcPr>
            <w:tcW w:w="114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Collateral</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4.2</w:t>
            </w:r>
          </w:p>
        </w:tc>
        <w:tc>
          <w:tcPr>
            <w:tcW w:w="2300" w:type="dxa"/>
            <w:vAlign w:val="bottom"/>
            <w:gridSpan w:val="5"/>
          </w:tcPr>
          <w:p>
            <w:pPr>
              <w:ind w:left="100"/>
              <w:spacing w:after="0"/>
              <w:rPr>
                <w:sz w:val="20"/>
                <w:szCs w:val="20"/>
                <w:color w:val="auto"/>
              </w:rPr>
            </w:pPr>
            <w:r>
              <w:rPr>
                <w:rFonts w:ascii="Times New Roman" w:cs="Times New Roman" w:eastAsia="Times New Roman" w:hAnsi="Times New Roman"/>
                <w:sz w:val="22"/>
                <w:szCs w:val="22"/>
                <w:i w:val="1"/>
                <w:iCs w:val="1"/>
                <w:color w:val="auto"/>
              </w:rPr>
              <w:t>Liens on Real Property</w:t>
            </w:r>
          </w:p>
        </w:tc>
        <w:tc>
          <w:tcPr>
            <w:tcW w:w="4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w w:val="90"/>
              </w:rPr>
              <w:t>82</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4.3</w:t>
            </w:r>
          </w:p>
        </w:tc>
        <w:tc>
          <w:tcPr>
            <w:tcW w:w="114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Guaranty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83</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4.4</w:t>
            </w: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rPr>
              <w:t>Further Assurances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4.5</w:t>
            </w:r>
          </w:p>
        </w:tc>
        <w:tc>
          <w:tcPr>
            <w:tcW w:w="2300" w:type="dxa"/>
            <w:vAlign w:val="bottom"/>
            <w:gridSpan w:val="5"/>
          </w:tcPr>
          <w:p>
            <w:pPr>
              <w:ind w:left="100"/>
              <w:spacing w:after="0"/>
              <w:rPr>
                <w:sz w:val="20"/>
                <w:szCs w:val="20"/>
                <w:color w:val="auto"/>
              </w:rPr>
            </w:pPr>
            <w:r>
              <w:rPr>
                <w:rFonts w:ascii="Times New Roman" w:cs="Times New Roman" w:eastAsia="Times New Roman" w:hAnsi="Times New Roman"/>
                <w:sz w:val="22"/>
                <w:szCs w:val="22"/>
                <w:i w:val="1"/>
                <w:iCs w:val="1"/>
                <w:color w:val="auto"/>
              </w:rPr>
              <w:t>Limitation on Collateral</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83</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ARTICLE 5.</w:t>
            </w:r>
          </w:p>
        </w:tc>
        <w:tc>
          <w:tcPr>
            <w:tcW w:w="416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12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w w:val="90"/>
              </w:rPr>
              <w:t>84</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5.1</w:t>
            </w: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w w:val="99"/>
              </w:rPr>
              <w:t>Financial Statements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5.2</w:t>
            </w:r>
          </w:p>
        </w:tc>
        <w:tc>
          <w:tcPr>
            <w:tcW w:w="2840" w:type="dxa"/>
            <w:vAlign w:val="bottom"/>
            <w:gridSpan w:val="8"/>
          </w:tcPr>
          <w:p>
            <w:pPr>
              <w:ind w:left="100"/>
              <w:spacing w:after="0"/>
              <w:rPr>
                <w:sz w:val="20"/>
                <w:szCs w:val="20"/>
                <w:color w:val="auto"/>
              </w:rPr>
            </w:pPr>
            <w:r>
              <w:rPr>
                <w:rFonts w:ascii="Times New Roman" w:cs="Times New Roman" w:eastAsia="Times New Roman" w:hAnsi="Times New Roman"/>
                <w:sz w:val="22"/>
                <w:szCs w:val="22"/>
                <w:i w:val="1"/>
                <w:iCs w:val="1"/>
                <w:color w:val="auto"/>
                <w:w w:val="97"/>
              </w:rPr>
              <w:t>Organization and Qualification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5.3</w:t>
            </w: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22"/>
                <w:szCs w:val="22"/>
                <w:i w:val="1"/>
                <w:iCs w:val="1"/>
                <w:color w:val="auto"/>
              </w:rPr>
              <w:t>Authority and Enforceability</w:t>
            </w:r>
          </w:p>
        </w:tc>
        <w:tc>
          <w:tcPr>
            <w:tcW w:w="62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84</w:t>
            </w: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5.4</w:t>
            </w:r>
          </w:p>
        </w:tc>
        <w:tc>
          <w:tcPr>
            <w:tcW w:w="2700" w:type="dxa"/>
            <w:vAlign w:val="bottom"/>
            <w:gridSpan w:val="7"/>
          </w:tcPr>
          <w:p>
            <w:pPr>
              <w:ind w:left="100"/>
              <w:spacing w:after="0"/>
              <w:rPr>
                <w:sz w:val="20"/>
                <w:szCs w:val="20"/>
                <w:color w:val="auto"/>
              </w:rPr>
            </w:pPr>
            <w:r>
              <w:rPr>
                <w:rFonts w:ascii="Times New Roman" w:cs="Times New Roman" w:eastAsia="Times New Roman" w:hAnsi="Times New Roman"/>
                <w:sz w:val="22"/>
                <w:szCs w:val="22"/>
                <w:i w:val="1"/>
                <w:iCs w:val="1"/>
                <w:color w:val="auto"/>
                <w:w w:val="99"/>
              </w:rPr>
              <w:t>No Material Adverse Change</w:t>
            </w:r>
          </w:p>
        </w:tc>
        <w:tc>
          <w:tcPr>
            <w:tcW w:w="140" w:type="dxa"/>
            <w:vAlign w:val="bottom"/>
          </w:tcPr>
          <w:p>
            <w:pPr>
              <w:spacing w:after="0"/>
              <w:rPr>
                <w:sz w:val="22"/>
                <w:szCs w:val="22"/>
                <w:color w:val="auto"/>
              </w:rPr>
            </w:pP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85</w:t>
            </w: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5.5</w:t>
            </w:r>
          </w:p>
        </w:tc>
        <w:tc>
          <w:tcPr>
            <w:tcW w:w="3320" w:type="dxa"/>
            <w:vAlign w:val="bottom"/>
            <w:gridSpan w:val="9"/>
          </w:tcPr>
          <w:p>
            <w:pPr>
              <w:ind w:left="100"/>
              <w:spacing w:after="0"/>
              <w:rPr>
                <w:sz w:val="20"/>
                <w:szCs w:val="20"/>
                <w:color w:val="auto"/>
              </w:rPr>
            </w:pPr>
            <w:r>
              <w:rPr>
                <w:rFonts w:ascii="Times New Roman" w:cs="Times New Roman" w:eastAsia="Times New Roman" w:hAnsi="Times New Roman"/>
                <w:sz w:val="22"/>
                <w:szCs w:val="22"/>
                <w:i w:val="1"/>
                <w:iCs w:val="1"/>
                <w:color w:val="auto"/>
              </w:rPr>
              <w:t>Litigation and Other Controversies</w:t>
            </w:r>
          </w:p>
        </w:tc>
        <w:tc>
          <w:tcPr>
            <w:tcW w:w="84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85</w:t>
            </w:r>
          </w:p>
        </w:tc>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5.6</w:t>
            </w:r>
          </w:p>
        </w:tc>
        <w:tc>
          <w:tcPr>
            <w:tcW w:w="2840" w:type="dxa"/>
            <w:vAlign w:val="bottom"/>
            <w:gridSpan w:val="8"/>
          </w:tcPr>
          <w:p>
            <w:pPr>
              <w:ind w:left="100"/>
              <w:spacing w:after="0"/>
              <w:rPr>
                <w:sz w:val="20"/>
                <w:szCs w:val="20"/>
                <w:color w:val="auto"/>
              </w:rPr>
            </w:pPr>
            <w:r>
              <w:rPr>
                <w:rFonts w:ascii="Times New Roman" w:cs="Times New Roman" w:eastAsia="Times New Roman" w:hAnsi="Times New Roman"/>
                <w:sz w:val="22"/>
                <w:szCs w:val="22"/>
                <w:i w:val="1"/>
                <w:iCs w:val="1"/>
                <w:color w:val="auto"/>
              </w:rPr>
              <w:t>True and Complete Disclosure</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85</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1"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5.7</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22"/>
                <w:szCs w:val="22"/>
                <w:i w:val="1"/>
                <w:iCs w:val="1"/>
                <w:color w:val="auto"/>
              </w:rPr>
              <w:t>Margin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5.8</w:t>
            </w:r>
          </w:p>
        </w:tc>
        <w:tc>
          <w:tcPr>
            <w:tcW w:w="76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Taxes</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9"/>
              </w:rPr>
              <w:t>85</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5.9</w:t>
            </w:r>
          </w:p>
        </w:tc>
        <w:tc>
          <w:tcPr>
            <w:tcW w:w="76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ERISA</w:t>
            </w:r>
          </w:p>
        </w:tc>
        <w:tc>
          <w:tcPr>
            <w:tcW w:w="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86</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5.10</w:t>
            </w:r>
          </w:p>
        </w:tc>
        <w:tc>
          <w:tcPr>
            <w:tcW w:w="1340" w:type="dxa"/>
            <w:vAlign w:val="bottom"/>
            <w:gridSpan w:val="3"/>
          </w:tcPr>
          <w:p>
            <w:pPr>
              <w:ind w:left="200"/>
              <w:spacing w:after="0"/>
              <w:rPr>
                <w:sz w:val="20"/>
                <w:szCs w:val="20"/>
                <w:color w:val="auto"/>
              </w:rPr>
            </w:pPr>
            <w:r>
              <w:rPr>
                <w:rFonts w:ascii="Times New Roman" w:cs="Times New Roman" w:eastAsia="Times New Roman" w:hAnsi="Times New Roman"/>
                <w:sz w:val="22"/>
                <w:szCs w:val="22"/>
                <w:i w:val="1"/>
                <w:iCs w:val="1"/>
                <w:color w:val="auto"/>
              </w:rPr>
              <w:t>Subsidiaries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5.11</w:t>
            </w: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22"/>
                <w:szCs w:val="22"/>
                <w:i w:val="1"/>
                <w:iCs w:val="1"/>
                <w:color w:val="auto"/>
                <w:w w:val="98"/>
              </w:rPr>
              <w:t>Compliance with Laws</w:t>
            </w: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5.12</w:t>
            </w: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22"/>
                <w:szCs w:val="22"/>
                <w:i w:val="1"/>
                <w:iCs w:val="1"/>
                <w:color w:val="auto"/>
                <w:w w:val="96"/>
              </w:rPr>
              <w:t>Environmental Matters</w:t>
            </w: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5.13</w:t>
            </w: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22"/>
                <w:szCs w:val="22"/>
                <w:i w:val="1"/>
                <w:iCs w:val="1"/>
                <w:color w:val="auto"/>
              </w:rPr>
              <w:t>Investment Company</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86</w:t>
            </w: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5.14</w:t>
            </w: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22"/>
                <w:szCs w:val="22"/>
                <w:i w:val="1"/>
                <w:iCs w:val="1"/>
                <w:color w:val="auto"/>
              </w:rPr>
              <w:t>Intellectual Property</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86</w:t>
            </w: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5.15</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22"/>
                <w:szCs w:val="22"/>
                <w:i w:val="1"/>
                <w:iCs w:val="1"/>
                <w:color w:val="auto"/>
              </w:rPr>
              <w:t>Good Title</w:t>
            </w:r>
          </w:p>
        </w:tc>
        <w:tc>
          <w:tcPr>
            <w:tcW w:w="160" w:type="dxa"/>
            <w:vAlign w:val="bottom"/>
          </w:tcPr>
          <w:p>
            <w:pPr>
              <w:spacing w:after="0"/>
              <w:rPr>
                <w:sz w:val="22"/>
                <w:szCs w:val="22"/>
                <w:color w:val="auto"/>
              </w:rPr>
            </w:pPr>
          </w:p>
        </w:tc>
        <w:tc>
          <w:tcPr>
            <w:tcW w:w="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87</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5.16</w:t>
            </w:r>
          </w:p>
        </w:tc>
        <w:tc>
          <w:tcPr>
            <w:tcW w:w="1780" w:type="dxa"/>
            <w:vAlign w:val="bottom"/>
            <w:gridSpan w:val="4"/>
          </w:tcPr>
          <w:p>
            <w:pPr>
              <w:ind w:left="200"/>
              <w:spacing w:after="0"/>
              <w:rPr>
                <w:sz w:val="20"/>
                <w:szCs w:val="20"/>
                <w:color w:val="auto"/>
              </w:rPr>
            </w:pPr>
            <w:r>
              <w:rPr>
                <w:rFonts w:ascii="Times New Roman" w:cs="Times New Roman" w:eastAsia="Times New Roman" w:hAnsi="Times New Roman"/>
                <w:sz w:val="22"/>
                <w:szCs w:val="22"/>
                <w:i w:val="1"/>
                <w:iCs w:val="1"/>
                <w:color w:val="auto"/>
              </w:rPr>
              <w:t>Labor Relations</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5.17</w:t>
            </w: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22"/>
                <w:szCs w:val="22"/>
                <w:i w:val="1"/>
                <w:iCs w:val="1"/>
                <w:color w:val="auto"/>
              </w:rPr>
              <w:t xml:space="preserve">Capitalization  </w:t>
            </w:r>
            <w:r>
              <w:rPr>
                <w:rFonts w:ascii="Times New Roman" w:cs="Times New Roman" w:eastAsia="Times New Roman" w:hAnsi="Times New Roman"/>
                <w:sz w:val="22"/>
                <w:szCs w:val="22"/>
                <w:color w:val="auto"/>
              </w:rPr>
              <w:t>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5.18</w:t>
            </w:r>
          </w:p>
        </w:tc>
        <w:tc>
          <w:tcPr>
            <w:tcW w:w="9180" w:type="dxa"/>
            <w:vAlign w:val="bottom"/>
            <w:gridSpan w:val="9"/>
          </w:tcPr>
          <w:p>
            <w:pPr>
              <w:ind w:left="200"/>
              <w:spacing w:after="0"/>
              <w:rPr>
                <w:sz w:val="20"/>
                <w:szCs w:val="20"/>
                <w:color w:val="auto"/>
              </w:rPr>
            </w:pPr>
            <w:r>
              <w:rPr>
                <w:rFonts w:ascii="Times New Roman" w:cs="Times New Roman" w:eastAsia="Times New Roman" w:hAnsi="Times New Roman"/>
                <w:sz w:val="22"/>
                <w:szCs w:val="22"/>
                <w:i w:val="1"/>
                <w:iCs w:val="1"/>
                <w:color w:val="auto"/>
              </w:rPr>
              <w:t xml:space="preserve">Governmental Authority and Licensing  </w:t>
            </w:r>
            <w:r>
              <w:rPr>
                <w:rFonts w:ascii="Times New Roman" w:cs="Times New Roman" w:eastAsia="Times New Roman" w:hAnsi="Times New Roman"/>
                <w:sz w:val="22"/>
                <w:szCs w:val="22"/>
                <w:color w:val="auto"/>
              </w:rPr>
              <w:t>87</w:t>
            </w: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5.19</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22"/>
                <w:szCs w:val="22"/>
                <w:i w:val="1"/>
                <w:iCs w:val="1"/>
                <w:color w:val="auto"/>
              </w:rPr>
              <w:t>Approvals</w:t>
            </w:r>
          </w:p>
        </w:tc>
        <w:tc>
          <w:tcPr>
            <w:tcW w:w="60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87</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5.20</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22"/>
                <w:szCs w:val="22"/>
                <w:i w:val="1"/>
                <w:iCs w:val="1"/>
                <w:color w:val="auto"/>
              </w:rPr>
              <w:t>Solvency</w:t>
            </w:r>
          </w:p>
        </w:tc>
        <w:tc>
          <w:tcPr>
            <w:tcW w:w="60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w w:val="90"/>
              </w:rPr>
              <w:t>87</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5.21</w:t>
            </w:r>
          </w:p>
        </w:tc>
        <w:tc>
          <w:tcPr>
            <w:tcW w:w="9180" w:type="dxa"/>
            <w:vAlign w:val="bottom"/>
            <w:gridSpan w:val="9"/>
          </w:tcPr>
          <w:p>
            <w:pPr>
              <w:ind w:left="200"/>
              <w:spacing w:after="0"/>
              <w:rPr>
                <w:sz w:val="20"/>
                <w:szCs w:val="20"/>
                <w:color w:val="auto"/>
              </w:rPr>
            </w:pPr>
            <w:r>
              <w:rPr>
                <w:rFonts w:ascii="Times New Roman" w:cs="Times New Roman" w:eastAsia="Times New Roman" w:hAnsi="Times New Roman"/>
                <w:sz w:val="22"/>
                <w:szCs w:val="22"/>
                <w:i w:val="1"/>
                <w:iCs w:val="1"/>
                <w:color w:val="auto"/>
              </w:rPr>
              <w:t xml:space="preserve">Anti-Corruption Laws, Sanctions and Anti-Money Laundering  </w:t>
            </w:r>
            <w:r>
              <w:rPr>
                <w:rFonts w:ascii="Times New Roman" w:cs="Times New Roman" w:eastAsia="Times New Roman" w:hAnsi="Times New Roman"/>
                <w:sz w:val="22"/>
                <w:szCs w:val="22"/>
                <w:color w:val="auto"/>
              </w:rPr>
              <w:t>87</w:t>
            </w:r>
          </w:p>
        </w:tc>
      </w:tr>
      <w:tr>
        <w:trPr>
          <w:trHeight w:val="261"/>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5.22</w:t>
            </w:r>
          </w:p>
        </w:tc>
        <w:tc>
          <w:tcPr>
            <w:tcW w:w="3260" w:type="dxa"/>
            <w:vAlign w:val="bottom"/>
            <w:gridSpan w:val="8"/>
          </w:tcPr>
          <w:p>
            <w:pPr>
              <w:ind w:left="200"/>
              <w:spacing w:after="0"/>
              <w:rPr>
                <w:sz w:val="20"/>
                <w:szCs w:val="20"/>
                <w:color w:val="auto"/>
              </w:rPr>
            </w:pPr>
            <w:r>
              <w:rPr>
                <w:rFonts w:ascii="Times New Roman" w:cs="Times New Roman" w:eastAsia="Times New Roman" w:hAnsi="Times New Roman"/>
                <w:sz w:val="22"/>
                <w:szCs w:val="22"/>
                <w:i w:val="1"/>
                <w:iCs w:val="1"/>
                <w:color w:val="auto"/>
              </w:rPr>
              <w:t xml:space="preserve">Security Interest in Collateral  </w:t>
            </w:r>
            <w:r>
              <w:rPr>
                <w:rFonts w:ascii="Times New Roman" w:cs="Times New Roman" w:eastAsia="Times New Roman" w:hAnsi="Times New Roman"/>
                <w:sz w:val="22"/>
                <w:szCs w:val="22"/>
                <w:color w:val="auto"/>
              </w:rPr>
              <w:t>88</w:t>
            </w:r>
          </w:p>
        </w:tc>
        <w:tc>
          <w:tcPr>
            <w:tcW w:w="5920" w:type="dxa"/>
            <w:vAlign w:val="bottom"/>
          </w:tcPr>
          <w:p>
            <w:pPr>
              <w:spacing w:after="0"/>
              <w:rPr>
                <w:sz w:val="22"/>
                <w:szCs w:val="22"/>
                <w:color w:val="auto"/>
              </w:rPr>
            </w:pPr>
          </w:p>
        </w:tc>
      </w:tr>
      <w:tr>
        <w:trPr>
          <w:trHeight w:val="25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ARTICLE 6.</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COVENANTS</w:t>
            </w:r>
          </w:p>
        </w:tc>
        <w:tc>
          <w:tcPr>
            <w:tcW w:w="4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9"/>
              </w:rPr>
              <w:t>88</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920" w:type="dxa"/>
            <w:vAlign w:val="bottom"/>
          </w:tcPr>
          <w:p>
            <w:pPr>
              <w:spacing w:after="0"/>
              <w:rPr>
                <w:sz w:val="21"/>
                <w:szCs w:val="21"/>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6.1</w:t>
            </w: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22"/>
                <w:szCs w:val="22"/>
                <w:i w:val="1"/>
                <w:iCs w:val="1"/>
                <w:color w:val="auto"/>
              </w:rPr>
              <w:t>Information Covenants</w:t>
            </w:r>
          </w:p>
        </w:tc>
        <w:tc>
          <w:tcPr>
            <w:tcW w:w="100" w:type="dxa"/>
            <w:vAlign w:val="bottom"/>
          </w:tcPr>
          <w:p>
            <w:pPr>
              <w:spacing w:after="0"/>
              <w:rPr>
                <w:sz w:val="22"/>
                <w:szCs w:val="22"/>
                <w:color w:val="auto"/>
              </w:rPr>
            </w:pP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89</w:t>
            </w: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6.2</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Inspections</w:t>
            </w:r>
          </w:p>
        </w:tc>
        <w:tc>
          <w:tcPr>
            <w:tcW w:w="60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91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0500" w:type="dxa"/>
            <w:vAlign w:val="bottom"/>
            <w:gridSpan w:val="10"/>
          </w:tcPr>
          <w:p>
            <w:pPr>
              <w:ind w:left="220"/>
              <w:spacing w:after="0"/>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i w:val="1"/>
                <w:iCs w:val="1"/>
                <w:color w:val="auto"/>
              </w:rPr>
              <w:t>Maintenance of Property, Insurance, Environmental Matters, etc</w:t>
            </w:r>
            <w:r>
              <w:rPr>
                <w:rFonts w:ascii="Times New Roman" w:cs="Times New Roman" w:eastAsia="Times New Roman" w:hAnsi="Times New Roman"/>
                <w:sz w:val="22"/>
                <w:szCs w:val="22"/>
                <w:color w:val="auto"/>
              </w:rPr>
              <w:t>.  91</w:t>
            </w: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6.4</w:t>
            </w: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w w:val="97"/>
              </w:rPr>
              <w:t>Books and Records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6.5</w:t>
            </w:r>
          </w:p>
        </w:tc>
        <w:tc>
          <w:tcPr>
            <w:tcW w:w="2300" w:type="dxa"/>
            <w:vAlign w:val="bottom"/>
            <w:gridSpan w:val="6"/>
          </w:tcPr>
          <w:p>
            <w:pPr>
              <w:ind w:left="100"/>
              <w:spacing w:after="0"/>
              <w:rPr>
                <w:sz w:val="20"/>
                <w:szCs w:val="20"/>
                <w:color w:val="auto"/>
              </w:rPr>
            </w:pPr>
            <w:r>
              <w:rPr>
                <w:rFonts w:ascii="Times New Roman" w:cs="Times New Roman" w:eastAsia="Times New Roman" w:hAnsi="Times New Roman"/>
                <w:sz w:val="22"/>
                <w:szCs w:val="22"/>
                <w:i w:val="1"/>
                <w:iCs w:val="1"/>
                <w:color w:val="auto"/>
                <w:w w:val="96"/>
              </w:rPr>
              <w:t>Preservation of Existence</w:t>
            </w:r>
          </w:p>
        </w:tc>
        <w:tc>
          <w:tcPr>
            <w:tcW w:w="960" w:type="dxa"/>
            <w:vAlign w:val="bottom"/>
            <w:gridSpan w:val="2"/>
          </w:tcPr>
          <w:p>
            <w:pPr>
              <w:jc w:val="right"/>
              <w:ind w:right="412"/>
              <w:spacing w:after="0"/>
              <w:rPr>
                <w:sz w:val="20"/>
                <w:szCs w:val="20"/>
                <w:color w:val="auto"/>
              </w:rPr>
            </w:pPr>
            <w:r>
              <w:rPr>
                <w:rFonts w:ascii="Times New Roman" w:cs="Times New Roman" w:eastAsia="Times New Roman" w:hAnsi="Times New Roman"/>
                <w:sz w:val="22"/>
                <w:szCs w:val="22"/>
                <w:color w:val="auto"/>
              </w:rPr>
              <w:t>92</w:t>
            </w: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6.6</w:t>
            </w: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22"/>
                <w:szCs w:val="22"/>
                <w:i w:val="1"/>
                <w:iCs w:val="1"/>
                <w:color w:val="auto"/>
              </w:rPr>
              <w:t>Compliance with Laws</w:t>
            </w:r>
          </w:p>
        </w:tc>
        <w:tc>
          <w:tcPr>
            <w:tcW w:w="46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92</w:t>
            </w: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6.7</w:t>
            </w:r>
          </w:p>
        </w:tc>
        <w:tc>
          <w:tcPr>
            <w:tcW w:w="76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ERISA</w:t>
            </w:r>
          </w:p>
        </w:tc>
        <w:tc>
          <w:tcPr>
            <w:tcW w:w="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92</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6.8</w:t>
            </w: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rPr>
              <w:t>Payment of Taxes</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6.9</w:t>
            </w:r>
          </w:p>
        </w:tc>
        <w:tc>
          <w:tcPr>
            <w:tcW w:w="2660" w:type="dxa"/>
            <w:vAlign w:val="bottom"/>
            <w:gridSpan w:val="7"/>
          </w:tcPr>
          <w:p>
            <w:pPr>
              <w:ind w:left="100"/>
              <w:spacing w:after="0"/>
              <w:rPr>
                <w:sz w:val="20"/>
                <w:szCs w:val="20"/>
                <w:color w:val="auto"/>
              </w:rPr>
            </w:pPr>
            <w:r>
              <w:rPr>
                <w:rFonts w:ascii="Times New Roman" w:cs="Times New Roman" w:eastAsia="Times New Roman" w:hAnsi="Times New Roman"/>
                <w:sz w:val="22"/>
                <w:szCs w:val="22"/>
                <w:i w:val="1"/>
                <w:iCs w:val="1"/>
                <w:color w:val="auto"/>
              </w:rPr>
              <w:t>Designation of Subsidiaries</w:t>
            </w:r>
          </w:p>
        </w:tc>
        <w:tc>
          <w:tcPr>
            <w:tcW w:w="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93</w:t>
            </w: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6.10</w:t>
            </w:r>
          </w:p>
        </w:tc>
        <w:tc>
          <w:tcPr>
            <w:tcW w:w="1780" w:type="dxa"/>
            <w:vAlign w:val="bottom"/>
            <w:gridSpan w:val="4"/>
          </w:tcPr>
          <w:p>
            <w:pPr>
              <w:ind w:left="200"/>
              <w:spacing w:after="0"/>
              <w:rPr>
                <w:sz w:val="20"/>
                <w:szCs w:val="20"/>
                <w:color w:val="auto"/>
              </w:rPr>
            </w:pPr>
            <w:r>
              <w:rPr>
                <w:rFonts w:ascii="Times New Roman" w:cs="Times New Roman" w:eastAsia="Times New Roman" w:hAnsi="Times New Roman"/>
                <w:sz w:val="22"/>
                <w:szCs w:val="22"/>
                <w:i w:val="1"/>
                <w:iCs w:val="1"/>
                <w:color w:val="auto"/>
              </w:rPr>
              <w:t>Use of Proceeds</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6.11</w:t>
            </w:r>
          </w:p>
        </w:tc>
        <w:tc>
          <w:tcPr>
            <w:tcW w:w="2660" w:type="dxa"/>
            <w:vAlign w:val="bottom"/>
            <w:gridSpan w:val="7"/>
          </w:tcPr>
          <w:p>
            <w:pPr>
              <w:ind w:left="200"/>
              <w:spacing w:after="0"/>
              <w:rPr>
                <w:sz w:val="20"/>
                <w:szCs w:val="20"/>
                <w:color w:val="auto"/>
              </w:rPr>
            </w:pPr>
            <w:r>
              <w:rPr>
                <w:rFonts w:ascii="Times New Roman" w:cs="Times New Roman" w:eastAsia="Times New Roman" w:hAnsi="Times New Roman"/>
                <w:sz w:val="22"/>
                <w:szCs w:val="22"/>
                <w:i w:val="1"/>
                <w:iCs w:val="1"/>
                <w:color w:val="auto"/>
              </w:rPr>
              <w:t>Transactions with Affiliates</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93</w:t>
            </w: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6.12</w:t>
            </w:r>
          </w:p>
        </w:tc>
        <w:tc>
          <w:tcPr>
            <w:tcW w:w="2660" w:type="dxa"/>
            <w:vAlign w:val="bottom"/>
            <w:gridSpan w:val="7"/>
          </w:tcPr>
          <w:p>
            <w:pPr>
              <w:ind w:left="200"/>
              <w:spacing w:after="0"/>
              <w:rPr>
                <w:sz w:val="20"/>
                <w:szCs w:val="20"/>
                <w:color w:val="auto"/>
              </w:rPr>
            </w:pPr>
            <w:r>
              <w:rPr>
                <w:rFonts w:ascii="Times New Roman" w:cs="Times New Roman" w:eastAsia="Times New Roman" w:hAnsi="Times New Roman"/>
                <w:sz w:val="22"/>
                <w:szCs w:val="22"/>
                <w:i w:val="1"/>
                <w:iCs w:val="1"/>
                <w:color w:val="auto"/>
              </w:rPr>
              <w:t>No Changes in Fiscal Year</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94</w:t>
            </w: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6.13</w:t>
            </w:r>
          </w:p>
        </w:tc>
        <w:tc>
          <w:tcPr>
            <w:tcW w:w="3260" w:type="dxa"/>
            <w:vAlign w:val="bottom"/>
            <w:gridSpan w:val="8"/>
          </w:tcPr>
          <w:p>
            <w:pPr>
              <w:ind w:left="200"/>
              <w:spacing w:after="0"/>
              <w:rPr>
                <w:sz w:val="20"/>
                <w:szCs w:val="20"/>
                <w:color w:val="auto"/>
              </w:rPr>
            </w:pPr>
            <w:r>
              <w:rPr>
                <w:rFonts w:ascii="Times New Roman" w:cs="Times New Roman" w:eastAsia="Times New Roman" w:hAnsi="Times New Roman"/>
                <w:sz w:val="22"/>
                <w:szCs w:val="22"/>
                <w:i w:val="1"/>
                <w:iCs w:val="1"/>
                <w:color w:val="auto"/>
              </w:rPr>
              <w:t>Change in the Nature of Business</w:t>
            </w:r>
          </w:p>
        </w:tc>
        <w:tc>
          <w:tcPr>
            <w:tcW w:w="5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95</w:t>
            </w: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6.14</w:t>
            </w:r>
          </w:p>
        </w:tc>
        <w:tc>
          <w:tcPr>
            <w:tcW w:w="1340" w:type="dxa"/>
            <w:vAlign w:val="bottom"/>
            <w:gridSpan w:val="3"/>
          </w:tcPr>
          <w:p>
            <w:pPr>
              <w:ind w:left="200"/>
              <w:spacing w:after="0"/>
              <w:rPr>
                <w:sz w:val="20"/>
                <w:szCs w:val="20"/>
                <w:color w:val="auto"/>
              </w:rPr>
            </w:pPr>
            <w:r>
              <w:rPr>
                <w:rFonts w:ascii="Times New Roman" w:cs="Times New Roman" w:eastAsia="Times New Roman" w:hAnsi="Times New Roman"/>
                <w:sz w:val="22"/>
                <w:szCs w:val="22"/>
                <w:i w:val="1"/>
                <w:iCs w:val="1"/>
                <w:color w:val="auto"/>
                <w:w w:val="97"/>
              </w:rPr>
              <w:t>Indebtedness</w:t>
            </w:r>
          </w:p>
        </w:tc>
        <w:tc>
          <w:tcPr>
            <w:tcW w:w="4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9"/>
              </w:rPr>
              <w:t>95</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6.15</w:t>
            </w:r>
          </w:p>
        </w:tc>
        <w:tc>
          <w:tcPr>
            <w:tcW w:w="760" w:type="dxa"/>
            <w:vAlign w:val="bottom"/>
          </w:tcPr>
          <w:p>
            <w:pPr>
              <w:ind w:left="200"/>
              <w:spacing w:after="0"/>
              <w:rPr>
                <w:sz w:val="20"/>
                <w:szCs w:val="20"/>
                <w:color w:val="auto"/>
              </w:rPr>
            </w:pPr>
            <w:r>
              <w:rPr>
                <w:rFonts w:ascii="Times New Roman" w:cs="Times New Roman" w:eastAsia="Times New Roman" w:hAnsi="Times New Roman"/>
                <w:sz w:val="22"/>
                <w:szCs w:val="22"/>
                <w:i w:val="1"/>
                <w:iCs w:val="1"/>
                <w:color w:val="auto"/>
              </w:rPr>
              <w:t>Liens</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103</w:t>
            </w: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0500" w:type="dxa"/>
            <w:vAlign w:val="bottom"/>
            <w:gridSpan w:val="10"/>
          </w:tcPr>
          <w:p>
            <w:pPr>
              <w:ind w:left="220"/>
              <w:spacing w:after="0"/>
              <w:rPr>
                <w:sz w:val="20"/>
                <w:szCs w:val="20"/>
                <w:color w:val="auto"/>
              </w:rPr>
            </w:pPr>
            <w:r>
              <w:rPr>
                <w:rFonts w:ascii="Times New Roman" w:cs="Times New Roman" w:eastAsia="Times New Roman" w:hAnsi="Times New Roman"/>
                <w:sz w:val="22"/>
                <w:szCs w:val="22"/>
                <w:color w:val="auto"/>
              </w:rPr>
              <w:t xml:space="preserve">Section 6.16  </w:t>
            </w:r>
            <w:r>
              <w:rPr>
                <w:rFonts w:ascii="Times New Roman" w:cs="Times New Roman" w:eastAsia="Times New Roman" w:hAnsi="Times New Roman"/>
                <w:sz w:val="22"/>
                <w:szCs w:val="22"/>
                <w:i w:val="1"/>
                <w:iCs w:val="1"/>
                <w:color w:val="auto"/>
              </w:rPr>
              <w:t>Consolidation, Merger, Sale of Assets, etc</w:t>
            </w:r>
            <w:r>
              <w:rPr>
                <w:rFonts w:ascii="Times New Roman" w:cs="Times New Roman" w:eastAsia="Times New Roman" w:hAnsi="Times New Roman"/>
                <w:sz w:val="22"/>
                <w:szCs w:val="22"/>
                <w:color w:val="auto"/>
              </w:rPr>
              <w:t>.  109</w:t>
            </w: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6.17</w:t>
            </w:r>
          </w:p>
        </w:tc>
        <w:tc>
          <w:tcPr>
            <w:tcW w:w="3260" w:type="dxa"/>
            <w:vAlign w:val="bottom"/>
            <w:gridSpan w:val="8"/>
          </w:tcPr>
          <w:p>
            <w:pPr>
              <w:ind w:left="200"/>
              <w:spacing w:after="0"/>
              <w:rPr>
                <w:sz w:val="20"/>
                <w:szCs w:val="20"/>
                <w:color w:val="auto"/>
              </w:rPr>
            </w:pPr>
            <w:r>
              <w:rPr>
                <w:rFonts w:ascii="Times New Roman" w:cs="Times New Roman" w:eastAsia="Times New Roman" w:hAnsi="Times New Roman"/>
                <w:sz w:val="22"/>
                <w:szCs w:val="22"/>
                <w:i w:val="1"/>
                <w:iCs w:val="1"/>
                <w:color w:val="auto"/>
              </w:rPr>
              <w:t>Advances, Investments and Loans</w:t>
            </w:r>
          </w:p>
        </w:tc>
        <w:tc>
          <w:tcPr>
            <w:tcW w:w="5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111</w:t>
            </w: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6.18</w:t>
            </w:r>
          </w:p>
        </w:tc>
        <w:tc>
          <w:tcPr>
            <w:tcW w:w="2660" w:type="dxa"/>
            <w:vAlign w:val="bottom"/>
            <w:gridSpan w:val="7"/>
          </w:tcPr>
          <w:p>
            <w:pPr>
              <w:ind w:left="200"/>
              <w:spacing w:after="0"/>
              <w:rPr>
                <w:sz w:val="20"/>
                <w:szCs w:val="20"/>
                <w:color w:val="auto"/>
              </w:rPr>
            </w:pPr>
            <w:r>
              <w:rPr>
                <w:rFonts w:ascii="Times New Roman" w:cs="Times New Roman" w:eastAsia="Times New Roman" w:hAnsi="Times New Roman"/>
                <w:sz w:val="22"/>
                <w:szCs w:val="22"/>
                <w:i w:val="1"/>
                <w:iCs w:val="1"/>
                <w:color w:val="auto"/>
              </w:rPr>
              <w:t xml:space="preserve">Restricted Payments  </w:t>
            </w:r>
            <w:r>
              <w:rPr>
                <w:rFonts w:ascii="Times New Roman" w:cs="Times New Roman" w:eastAsia="Times New Roman" w:hAnsi="Times New Roman"/>
                <w:sz w:val="22"/>
                <w:szCs w:val="22"/>
                <w:color w:val="auto"/>
              </w:rPr>
              <w:t>114</w:t>
            </w: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6.19</w:t>
            </w:r>
          </w:p>
        </w:tc>
        <w:tc>
          <w:tcPr>
            <w:tcW w:w="2660" w:type="dxa"/>
            <w:vAlign w:val="bottom"/>
            <w:gridSpan w:val="7"/>
          </w:tcPr>
          <w:p>
            <w:pPr>
              <w:ind w:left="200"/>
              <w:spacing w:after="0"/>
              <w:rPr>
                <w:sz w:val="20"/>
                <w:szCs w:val="20"/>
                <w:color w:val="auto"/>
              </w:rPr>
            </w:pPr>
            <w:r>
              <w:rPr>
                <w:rFonts w:ascii="Times New Roman" w:cs="Times New Roman" w:eastAsia="Times New Roman" w:hAnsi="Times New Roman"/>
                <w:sz w:val="22"/>
                <w:szCs w:val="22"/>
                <w:i w:val="1"/>
                <w:iCs w:val="1"/>
                <w:color w:val="auto"/>
              </w:rPr>
              <w:t>Limitation on Restrictions</w:t>
            </w: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0"/>
              </w:rPr>
              <w:t>116</w:t>
            </w:r>
          </w:p>
        </w:tc>
        <w:tc>
          <w:tcPr>
            <w:tcW w:w="5920" w:type="dxa"/>
            <w:vAlign w:val="bottom"/>
          </w:tcPr>
          <w:p>
            <w:pPr>
              <w:spacing w:after="0"/>
              <w:rPr>
                <w:sz w:val="22"/>
                <w:szCs w:val="22"/>
                <w:color w:val="auto"/>
              </w:rPr>
            </w:pPr>
          </w:p>
        </w:tc>
      </w:tr>
      <w:tr>
        <w:trPr>
          <w:trHeight w:val="257"/>
        </w:trPr>
        <w:tc>
          <w:tcPr>
            <w:tcW w:w="10500" w:type="dxa"/>
            <w:vAlign w:val="bottom"/>
            <w:gridSpan w:val="10"/>
          </w:tcPr>
          <w:p>
            <w:pPr>
              <w:ind w:left="220"/>
              <w:spacing w:after="0"/>
              <w:rPr>
                <w:sz w:val="20"/>
                <w:szCs w:val="20"/>
                <w:color w:val="auto"/>
              </w:rPr>
            </w:pPr>
            <w:r>
              <w:rPr>
                <w:rFonts w:ascii="Times New Roman" w:cs="Times New Roman" w:eastAsia="Times New Roman" w:hAnsi="Times New Roman"/>
                <w:sz w:val="22"/>
                <w:szCs w:val="22"/>
                <w:color w:val="auto"/>
                <w:w w:val="99"/>
              </w:rPr>
              <w:t xml:space="preserve">Section 6.20  </w:t>
            </w:r>
            <w:r>
              <w:rPr>
                <w:rFonts w:ascii="Times New Roman" w:cs="Times New Roman" w:eastAsia="Times New Roman" w:hAnsi="Times New Roman"/>
                <w:sz w:val="22"/>
                <w:szCs w:val="22"/>
                <w:i w:val="1"/>
                <w:iCs w:val="1"/>
                <w:color w:val="auto"/>
                <w:w w:val="99"/>
              </w:rPr>
              <w:t>Optional Payments of Certain Indebtedness; Modifications of Certain Indebtedness and Organizational</w:t>
            </w: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Documents</w:t>
            </w:r>
          </w:p>
        </w:tc>
        <w:tc>
          <w:tcPr>
            <w:tcW w:w="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117</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6.21</w:t>
            </w:r>
          </w:p>
        </w:tc>
        <w:tc>
          <w:tcPr>
            <w:tcW w:w="760" w:type="dxa"/>
            <w:vAlign w:val="bottom"/>
          </w:tcPr>
          <w:p>
            <w:pPr>
              <w:ind w:left="200"/>
              <w:spacing w:after="0"/>
              <w:rPr>
                <w:sz w:val="20"/>
                <w:szCs w:val="20"/>
                <w:color w:val="auto"/>
              </w:rPr>
            </w:pPr>
            <w:r>
              <w:rPr>
                <w:rFonts w:ascii="Times New Roman" w:cs="Times New Roman" w:eastAsia="Times New Roman" w:hAnsi="Times New Roman"/>
                <w:sz w:val="22"/>
                <w:szCs w:val="22"/>
                <w:i w:val="1"/>
                <w:iCs w:val="1"/>
                <w:color w:val="auto"/>
                <w:w w:val="93"/>
              </w:rPr>
              <w:t>OFAC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118</w:t>
            </w: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6.22</w:t>
            </w: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22"/>
                <w:szCs w:val="22"/>
                <w:i w:val="1"/>
                <w:iCs w:val="1"/>
                <w:color w:val="auto"/>
              </w:rPr>
              <w:t>Financial Covenants</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118</w:t>
            </w: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6.23</w:t>
            </w:r>
          </w:p>
        </w:tc>
        <w:tc>
          <w:tcPr>
            <w:tcW w:w="2300" w:type="dxa"/>
            <w:vAlign w:val="bottom"/>
            <w:gridSpan w:val="6"/>
          </w:tcPr>
          <w:p>
            <w:pPr>
              <w:ind w:left="200"/>
              <w:spacing w:after="0"/>
              <w:rPr>
                <w:sz w:val="20"/>
                <w:szCs w:val="20"/>
                <w:color w:val="auto"/>
              </w:rPr>
            </w:pPr>
            <w:r>
              <w:rPr>
                <w:rFonts w:ascii="Times New Roman" w:cs="Times New Roman" w:eastAsia="Times New Roman" w:hAnsi="Times New Roman"/>
                <w:sz w:val="22"/>
                <w:szCs w:val="22"/>
                <w:i w:val="1"/>
                <w:iCs w:val="1"/>
                <w:color w:val="auto"/>
                <w:w w:val="98"/>
              </w:rPr>
              <w:t>Maintenance of Ratings</w:t>
            </w:r>
          </w:p>
        </w:tc>
        <w:tc>
          <w:tcPr>
            <w:tcW w:w="96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rPr>
              <w:t>119</w:t>
            </w: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6.24</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22"/>
                <w:szCs w:val="22"/>
                <w:i w:val="1"/>
                <w:iCs w:val="1"/>
                <w:color w:val="auto"/>
                <w:w w:val="98"/>
              </w:rPr>
              <w:t>[Reserved]</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57"/>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6.25</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22"/>
                <w:szCs w:val="22"/>
                <w:i w:val="1"/>
                <w:iCs w:val="1"/>
                <w:color w:val="auto"/>
                <w:w w:val="98"/>
              </w:rPr>
              <w:t>[Reserved]</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61"/>
        </w:trPr>
        <w:tc>
          <w:tcPr>
            <w:tcW w:w="1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Section 6.26</w:t>
            </w:r>
          </w:p>
        </w:tc>
        <w:tc>
          <w:tcPr>
            <w:tcW w:w="1340" w:type="dxa"/>
            <w:vAlign w:val="bottom"/>
            <w:gridSpan w:val="3"/>
          </w:tcPr>
          <w:p>
            <w:pPr>
              <w:ind w:left="200"/>
              <w:spacing w:after="0"/>
              <w:rPr>
                <w:sz w:val="20"/>
                <w:szCs w:val="20"/>
                <w:color w:val="auto"/>
              </w:rPr>
            </w:pPr>
            <w:r>
              <w:rPr>
                <w:rFonts w:ascii="Times New Roman" w:cs="Times New Roman" w:eastAsia="Times New Roman" w:hAnsi="Times New Roman"/>
                <w:sz w:val="22"/>
                <w:szCs w:val="22"/>
                <w:i w:val="1"/>
                <w:iCs w:val="1"/>
                <w:color w:val="auto"/>
                <w:w w:val="97"/>
              </w:rPr>
              <w:t>Lender Calls</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920" w:type="dxa"/>
            <w:vAlign w:val="bottom"/>
          </w:tcPr>
          <w:p>
            <w:pPr>
              <w:spacing w:after="0"/>
              <w:rPr>
                <w:sz w:val="22"/>
                <w:szCs w:val="22"/>
                <w:color w:val="auto"/>
              </w:rPr>
            </w:pP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ARTICLE 7.</w:t>
            </w:r>
          </w:p>
        </w:tc>
        <w:tc>
          <w:tcPr>
            <w:tcW w:w="9180" w:type="dxa"/>
            <w:vAlign w:val="bottom"/>
            <w:gridSpan w:val="9"/>
          </w:tcPr>
          <w:p>
            <w:pPr>
              <w:ind w:left="20"/>
              <w:spacing w:after="0"/>
              <w:rPr>
                <w:sz w:val="20"/>
                <w:szCs w:val="20"/>
                <w:color w:val="auto"/>
              </w:rPr>
            </w:pPr>
            <w:r>
              <w:rPr>
                <w:rFonts w:ascii="Times New Roman" w:cs="Times New Roman" w:eastAsia="Times New Roman" w:hAnsi="Times New Roman"/>
                <w:sz w:val="22"/>
                <w:szCs w:val="22"/>
                <w:color w:val="auto"/>
              </w:rPr>
              <w:t>EVENTS OF DEFAULT AND REMEDIES  119</w:t>
            </w:r>
          </w:p>
        </w:tc>
      </w:tr>
    </w:tbl>
    <w:p>
      <w:pPr>
        <w:sectPr>
          <w:pgSz w:w="11900" w:h="16838" w:orient="portrait"/>
          <w:cols w:equalWidth="0" w:num="1">
            <w:col w:w="10500"/>
          </w:cols>
          <w:pgMar w:left="240" w:top="621" w:right="115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7.1</w:t>
            </w:r>
          </w:p>
        </w:tc>
        <w:tc>
          <w:tcPr>
            <w:tcW w:w="170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w w:val="99"/>
              </w:rPr>
              <w:t>Events of Default</w:t>
            </w:r>
          </w:p>
        </w:tc>
        <w:tc>
          <w:tcPr>
            <w:tcW w:w="6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119</w:t>
            </w:r>
          </w:p>
        </w:tc>
        <w:tc>
          <w:tcPr>
            <w:tcW w:w="3580" w:type="dxa"/>
            <w:vAlign w:val="bottom"/>
          </w:tcPr>
          <w:p>
            <w:pPr>
              <w:spacing w:after="0"/>
              <w:rPr>
                <w:sz w:val="22"/>
                <w:szCs w:val="22"/>
                <w:color w:val="auto"/>
              </w:rPr>
            </w:pPr>
          </w:p>
        </w:tc>
      </w:tr>
      <w:tr>
        <w:trPr>
          <w:trHeight w:val="257"/>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7.2</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22"/>
                <w:szCs w:val="22"/>
                <w:i w:val="1"/>
                <w:iCs w:val="1"/>
                <w:color w:val="auto"/>
                <w:w w:val="97"/>
              </w:rPr>
              <w:t>Non-Bankruptcy Defaults</w:t>
            </w:r>
          </w:p>
        </w:tc>
        <w:tc>
          <w:tcPr>
            <w:tcW w:w="3580" w:type="dxa"/>
            <w:vAlign w:val="bottom"/>
          </w:tcPr>
          <w:p>
            <w:pPr>
              <w:jc w:val="right"/>
              <w:ind w:right="2952"/>
              <w:spacing w:after="0"/>
              <w:rPr>
                <w:sz w:val="20"/>
                <w:szCs w:val="20"/>
                <w:color w:val="auto"/>
              </w:rPr>
            </w:pPr>
            <w:r>
              <w:rPr>
                <w:rFonts w:ascii="Times New Roman" w:cs="Times New Roman" w:eastAsia="Times New Roman" w:hAnsi="Times New Roman"/>
                <w:sz w:val="22"/>
                <w:szCs w:val="22"/>
                <w:color w:val="auto"/>
              </w:rPr>
              <w:t>121</w:t>
            </w:r>
          </w:p>
        </w:tc>
      </w:tr>
      <w:tr>
        <w:trPr>
          <w:trHeight w:val="257"/>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7.3</w:t>
            </w: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22"/>
                <w:szCs w:val="22"/>
                <w:i w:val="1"/>
                <w:iCs w:val="1"/>
                <w:color w:val="auto"/>
                <w:w w:val="99"/>
              </w:rPr>
              <w:t>Bankruptcy Defaults</w:t>
            </w:r>
          </w:p>
        </w:tc>
        <w:tc>
          <w:tcPr>
            <w:tcW w:w="3980" w:type="dxa"/>
            <w:vAlign w:val="bottom"/>
            <w:gridSpan w:val="2"/>
          </w:tcPr>
          <w:p>
            <w:pPr>
              <w:jc w:val="right"/>
              <w:ind w:right="3372"/>
              <w:spacing w:after="0"/>
              <w:rPr>
                <w:sz w:val="20"/>
                <w:szCs w:val="20"/>
                <w:color w:val="auto"/>
              </w:rPr>
            </w:pPr>
            <w:r>
              <w:rPr>
                <w:rFonts w:ascii="Times New Roman" w:cs="Times New Roman" w:eastAsia="Times New Roman" w:hAnsi="Times New Roman"/>
                <w:sz w:val="22"/>
                <w:szCs w:val="22"/>
                <w:color w:val="auto"/>
              </w:rPr>
              <w:t>121</w:t>
            </w:r>
          </w:p>
        </w:tc>
      </w:tr>
      <w:tr>
        <w:trPr>
          <w:trHeight w:val="257"/>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7.4</w:t>
            </w:r>
          </w:p>
        </w:tc>
        <w:tc>
          <w:tcPr>
            <w:tcW w:w="5960" w:type="dxa"/>
            <w:vAlign w:val="bottom"/>
            <w:gridSpan w:val="4"/>
          </w:tcPr>
          <w:p>
            <w:pPr>
              <w:ind w:left="160"/>
              <w:spacing w:after="0"/>
              <w:rPr>
                <w:sz w:val="20"/>
                <w:szCs w:val="20"/>
                <w:color w:val="auto"/>
              </w:rPr>
            </w:pPr>
            <w:r>
              <w:rPr>
                <w:rFonts w:ascii="Times New Roman" w:cs="Times New Roman" w:eastAsia="Times New Roman" w:hAnsi="Times New Roman"/>
                <w:sz w:val="22"/>
                <w:szCs w:val="22"/>
                <w:i w:val="1"/>
                <w:iCs w:val="1"/>
                <w:color w:val="auto"/>
              </w:rPr>
              <w:t xml:space="preserve">Collateral for Undrawn Letters of Credit  </w:t>
            </w:r>
            <w:r>
              <w:rPr>
                <w:rFonts w:ascii="Times New Roman" w:cs="Times New Roman" w:eastAsia="Times New Roman" w:hAnsi="Times New Roman"/>
                <w:sz w:val="22"/>
                <w:szCs w:val="22"/>
                <w:color w:val="auto"/>
              </w:rPr>
              <w:t>122</w:t>
            </w:r>
          </w:p>
        </w:tc>
      </w:tr>
      <w:tr>
        <w:trPr>
          <w:trHeight w:val="261"/>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7.5</w:t>
            </w:r>
          </w:p>
        </w:tc>
        <w:tc>
          <w:tcPr>
            <w:tcW w:w="170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Notice of Default</w:t>
            </w:r>
          </w:p>
        </w:tc>
        <w:tc>
          <w:tcPr>
            <w:tcW w:w="6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122</w:t>
            </w:r>
          </w:p>
        </w:tc>
        <w:tc>
          <w:tcPr>
            <w:tcW w:w="3580" w:type="dxa"/>
            <w:vAlign w:val="bottom"/>
          </w:tcPr>
          <w:p>
            <w:pPr>
              <w:spacing w:after="0"/>
              <w:rPr>
                <w:sz w:val="22"/>
                <w:szCs w:val="22"/>
                <w:color w:val="auto"/>
              </w:rPr>
            </w:pPr>
          </w:p>
        </w:tc>
      </w:tr>
      <w:tr>
        <w:trPr>
          <w:trHeight w:val="253"/>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ARTICLE 8.</w:t>
            </w:r>
          </w:p>
        </w:tc>
        <w:tc>
          <w:tcPr>
            <w:tcW w:w="5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9"/>
              </w:rPr>
              <w:t>CHANGE IN CIRCUMSTANCES AND CONTINGENCIES  122</w:t>
            </w:r>
          </w:p>
        </w:tc>
      </w:tr>
      <w:tr>
        <w:trPr>
          <w:trHeight w:val="257"/>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8.1</w:t>
            </w: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22"/>
                <w:szCs w:val="22"/>
                <w:i w:val="1"/>
                <w:iCs w:val="1"/>
                <w:color w:val="auto"/>
              </w:rPr>
              <w:t>Funding Indemnity</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c>
          <w:tcPr>
            <w:tcW w:w="3580" w:type="dxa"/>
            <w:vAlign w:val="bottom"/>
          </w:tcPr>
          <w:p>
            <w:pPr>
              <w:spacing w:after="0"/>
              <w:rPr>
                <w:sz w:val="22"/>
                <w:szCs w:val="22"/>
                <w:color w:val="auto"/>
              </w:rPr>
            </w:pPr>
          </w:p>
        </w:tc>
      </w:tr>
      <w:tr>
        <w:trPr>
          <w:trHeight w:val="257"/>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8.2</w:t>
            </w:r>
          </w:p>
        </w:tc>
        <w:tc>
          <w:tcPr>
            <w:tcW w:w="170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 xml:space="preserve">Illegality  </w:t>
            </w:r>
            <w:r>
              <w:rPr>
                <w:rFonts w:ascii="Times New Roman" w:cs="Times New Roman" w:eastAsia="Times New Roman" w:hAnsi="Times New Roman"/>
                <w:sz w:val="22"/>
                <w:szCs w:val="22"/>
                <w:color w:val="auto"/>
              </w:rPr>
              <w:t>123</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580" w:type="dxa"/>
            <w:vAlign w:val="bottom"/>
          </w:tcPr>
          <w:p>
            <w:pPr>
              <w:spacing w:after="0"/>
              <w:rPr>
                <w:sz w:val="22"/>
                <w:szCs w:val="22"/>
                <w:color w:val="auto"/>
              </w:rPr>
            </w:pPr>
          </w:p>
        </w:tc>
      </w:tr>
      <w:tr>
        <w:trPr>
          <w:trHeight w:val="257"/>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8.3</w:t>
            </w:r>
          </w:p>
        </w:tc>
        <w:tc>
          <w:tcPr>
            <w:tcW w:w="2380" w:type="dxa"/>
            <w:vAlign w:val="bottom"/>
            <w:gridSpan w:val="3"/>
          </w:tcPr>
          <w:p>
            <w:pPr>
              <w:ind w:left="140"/>
              <w:spacing w:after="0"/>
              <w:rPr>
                <w:sz w:val="20"/>
                <w:szCs w:val="20"/>
                <w:color w:val="auto"/>
              </w:rPr>
            </w:pPr>
            <w:r>
              <w:rPr>
                <w:rFonts w:ascii="Times New Roman" w:cs="Times New Roman" w:eastAsia="Times New Roman" w:hAnsi="Times New Roman"/>
                <w:sz w:val="22"/>
                <w:szCs w:val="22"/>
                <w:i w:val="1"/>
                <w:iCs w:val="1"/>
                <w:color w:val="auto"/>
                <w:w w:val="99"/>
              </w:rPr>
              <w:t>Alternate Rate of Interest</w:t>
            </w:r>
          </w:p>
        </w:tc>
        <w:tc>
          <w:tcPr>
            <w:tcW w:w="3580" w:type="dxa"/>
            <w:vAlign w:val="bottom"/>
          </w:tcPr>
          <w:p>
            <w:pPr>
              <w:jc w:val="right"/>
              <w:ind w:right="2972"/>
              <w:spacing w:after="0"/>
              <w:rPr>
                <w:sz w:val="20"/>
                <w:szCs w:val="20"/>
                <w:color w:val="auto"/>
              </w:rPr>
            </w:pPr>
            <w:r>
              <w:rPr>
                <w:rFonts w:ascii="Times New Roman" w:cs="Times New Roman" w:eastAsia="Times New Roman" w:hAnsi="Times New Roman"/>
                <w:sz w:val="22"/>
                <w:szCs w:val="22"/>
                <w:color w:val="auto"/>
              </w:rPr>
              <w:t>123</w:t>
            </w:r>
          </w:p>
        </w:tc>
      </w:tr>
      <w:tr>
        <w:trPr>
          <w:trHeight w:val="257"/>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8.4</w:t>
            </w:r>
          </w:p>
        </w:tc>
        <w:tc>
          <w:tcPr>
            <w:tcW w:w="170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Yield Protection</w:t>
            </w:r>
          </w:p>
        </w:tc>
        <w:tc>
          <w:tcPr>
            <w:tcW w:w="68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124</w:t>
            </w:r>
          </w:p>
        </w:tc>
        <w:tc>
          <w:tcPr>
            <w:tcW w:w="3580" w:type="dxa"/>
            <w:vAlign w:val="bottom"/>
          </w:tcPr>
          <w:p>
            <w:pPr>
              <w:spacing w:after="0"/>
              <w:rPr>
                <w:sz w:val="22"/>
                <w:szCs w:val="22"/>
                <w:color w:val="auto"/>
              </w:rPr>
            </w:pPr>
          </w:p>
        </w:tc>
      </w:tr>
      <w:tr>
        <w:trPr>
          <w:trHeight w:val="257"/>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8.5</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22"/>
                <w:szCs w:val="22"/>
                <w:i w:val="1"/>
                <w:iCs w:val="1"/>
                <w:color w:val="auto"/>
              </w:rPr>
              <w:t>Substitution of Lenders</w:t>
            </w:r>
          </w:p>
        </w:tc>
        <w:tc>
          <w:tcPr>
            <w:tcW w:w="3580" w:type="dxa"/>
            <w:vAlign w:val="bottom"/>
          </w:tcPr>
          <w:p>
            <w:pPr>
              <w:jc w:val="right"/>
              <w:ind w:right="3152"/>
              <w:spacing w:after="0"/>
              <w:rPr>
                <w:sz w:val="20"/>
                <w:szCs w:val="20"/>
                <w:color w:val="auto"/>
              </w:rPr>
            </w:pPr>
            <w:r>
              <w:rPr>
                <w:rFonts w:ascii="Times New Roman" w:cs="Times New Roman" w:eastAsia="Times New Roman" w:hAnsi="Times New Roman"/>
                <w:sz w:val="22"/>
                <w:szCs w:val="22"/>
                <w:color w:val="auto"/>
                <w:w w:val="90"/>
              </w:rPr>
              <w:t>125</w:t>
            </w:r>
          </w:p>
        </w:tc>
      </w:tr>
      <w:tr>
        <w:trPr>
          <w:trHeight w:val="285"/>
        </w:trPr>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8.6</w:t>
            </w:r>
          </w:p>
        </w:tc>
        <w:tc>
          <w:tcPr>
            <w:tcW w:w="170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Lending Offices</w:t>
            </w:r>
          </w:p>
        </w:tc>
        <w:tc>
          <w:tcPr>
            <w:tcW w:w="6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126</w:t>
            </w:r>
          </w:p>
        </w:tc>
        <w:tc>
          <w:tcPr>
            <w:tcW w:w="358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gridSpan w:val="9"/>
          </w:tcPr>
          <w:p>
            <w:pPr>
              <w:spacing w:after="0" w:line="228" w:lineRule="exact"/>
              <w:rPr>
                <w:sz w:val="20"/>
                <w:szCs w:val="20"/>
                <w:color w:val="auto"/>
              </w:rPr>
            </w:pPr>
            <w:r>
              <w:rPr>
                <w:rFonts w:ascii="Times New Roman" w:cs="Times New Roman" w:eastAsia="Times New Roman" w:hAnsi="Times New Roman"/>
                <w:sz w:val="22"/>
                <w:szCs w:val="22"/>
                <w:color w:val="auto"/>
              </w:rPr>
              <w:t>ARTICLE 9.  THE ADMINISTRATIVE AGENT  126</w:t>
            </w:r>
          </w:p>
        </w:tc>
        <w:tc>
          <w:tcPr>
            <w:tcW w:w="15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57"/>
        </w:trPr>
        <w:tc>
          <w:tcPr>
            <w:tcW w:w="6260" w:type="dxa"/>
            <w:vAlign w:val="bottom"/>
            <w:gridSpan w:val="9"/>
          </w:tcPr>
          <w:p>
            <w:pPr>
              <w:ind w:left="220"/>
              <w:spacing w:after="0"/>
              <w:rPr>
                <w:sz w:val="20"/>
                <w:szCs w:val="20"/>
                <w:color w:val="auto"/>
              </w:rPr>
            </w:pPr>
            <w:r>
              <w:rPr>
                <w:rFonts w:ascii="Times New Roman" w:cs="Times New Roman" w:eastAsia="Times New Roman" w:hAnsi="Times New Roman"/>
                <w:sz w:val="22"/>
                <w:szCs w:val="22"/>
                <w:color w:val="auto"/>
                <w:w w:val="99"/>
              </w:rPr>
              <w:t xml:space="preserve">Section 9.1  </w:t>
            </w:r>
            <w:r>
              <w:rPr>
                <w:rFonts w:ascii="Times New Roman" w:cs="Times New Roman" w:eastAsia="Times New Roman" w:hAnsi="Times New Roman"/>
                <w:sz w:val="22"/>
                <w:szCs w:val="22"/>
                <w:i w:val="1"/>
                <w:iCs w:val="1"/>
                <w:color w:val="auto"/>
                <w:w w:val="99"/>
              </w:rPr>
              <w:t>Appointment and Authorization of Administrative Agent</w:t>
            </w:r>
          </w:p>
        </w:tc>
        <w:tc>
          <w:tcPr>
            <w:tcW w:w="15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126</w:t>
            </w:r>
          </w:p>
        </w:tc>
        <w:tc>
          <w:tcPr>
            <w:tcW w:w="3140" w:type="dxa"/>
            <w:vAlign w:val="bottom"/>
          </w:tcPr>
          <w:p>
            <w:pPr>
              <w:spacing w:after="0"/>
              <w:rPr>
                <w:sz w:val="22"/>
                <w:szCs w:val="22"/>
                <w:color w:val="auto"/>
              </w:rPr>
            </w:pPr>
          </w:p>
        </w:tc>
      </w:tr>
      <w:tr>
        <w:trPr>
          <w:trHeight w:val="257"/>
        </w:trPr>
        <w:tc>
          <w:tcPr>
            <w:tcW w:w="488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i w:val="1"/>
                <w:iCs w:val="1"/>
                <w:color w:val="auto"/>
              </w:rPr>
              <w:t>Administrative Agent and its Affiliates</w:t>
            </w:r>
          </w:p>
        </w:tc>
        <w:tc>
          <w:tcPr>
            <w:tcW w:w="138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126</w:t>
            </w: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412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i w:val="1"/>
                <w:iCs w:val="1"/>
                <w:color w:val="auto"/>
              </w:rPr>
              <w:t>Action by Administrative Agent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127</w:t>
            </w: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9.4</w:t>
            </w:r>
          </w:p>
        </w:tc>
        <w:tc>
          <w:tcPr>
            <w:tcW w:w="2300" w:type="dxa"/>
            <w:vAlign w:val="bottom"/>
            <w:gridSpan w:val="5"/>
          </w:tcPr>
          <w:p>
            <w:pPr>
              <w:spacing w:after="0"/>
              <w:rPr>
                <w:sz w:val="20"/>
                <w:szCs w:val="20"/>
                <w:color w:val="auto"/>
              </w:rPr>
            </w:pPr>
            <w:r>
              <w:rPr>
                <w:rFonts w:ascii="Times New Roman" w:cs="Times New Roman" w:eastAsia="Times New Roman" w:hAnsi="Times New Roman"/>
                <w:sz w:val="22"/>
                <w:szCs w:val="22"/>
                <w:i w:val="1"/>
                <w:iCs w:val="1"/>
                <w:color w:val="auto"/>
                <w:w w:val="99"/>
              </w:rPr>
              <w:t>Consultation with Experts</w:t>
            </w:r>
          </w:p>
        </w:tc>
        <w:tc>
          <w:tcPr>
            <w:tcW w:w="116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color w:val="auto"/>
              </w:rPr>
              <w:t>127</w:t>
            </w: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9.5</w:t>
            </w:r>
          </w:p>
        </w:tc>
        <w:tc>
          <w:tcPr>
            <w:tcW w:w="6380" w:type="dxa"/>
            <w:vAlign w:val="bottom"/>
            <w:gridSpan w:val="9"/>
          </w:tcPr>
          <w:p>
            <w:pPr>
              <w:spacing w:after="0"/>
              <w:rPr>
                <w:sz w:val="20"/>
                <w:szCs w:val="20"/>
                <w:color w:val="auto"/>
              </w:rPr>
            </w:pPr>
            <w:r>
              <w:rPr>
                <w:rFonts w:ascii="Times New Roman" w:cs="Times New Roman" w:eastAsia="Times New Roman" w:hAnsi="Times New Roman"/>
                <w:sz w:val="22"/>
                <w:szCs w:val="22"/>
                <w:i w:val="1"/>
                <w:iCs w:val="1"/>
                <w:color w:val="auto"/>
                <w:w w:val="99"/>
              </w:rPr>
              <w:t>Liability of Administrative Agent; Credit Decision; Delegation of Duties</w:t>
            </w:r>
          </w:p>
        </w:tc>
        <w:tc>
          <w:tcPr>
            <w:tcW w:w="3140" w:type="dxa"/>
            <w:vAlign w:val="bottom"/>
          </w:tcPr>
          <w:p>
            <w:pPr>
              <w:jc w:val="right"/>
              <w:ind w:right="2612"/>
              <w:spacing w:after="0"/>
              <w:rPr>
                <w:sz w:val="20"/>
                <w:szCs w:val="20"/>
                <w:color w:val="auto"/>
              </w:rPr>
            </w:pPr>
            <w:r>
              <w:rPr>
                <w:rFonts w:ascii="Times New Roman" w:cs="Times New Roman" w:eastAsia="Times New Roman" w:hAnsi="Times New Roman"/>
                <w:sz w:val="22"/>
                <w:szCs w:val="22"/>
                <w:color w:val="auto"/>
              </w:rPr>
              <w:t>127</w:t>
            </w: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9.6</w:t>
            </w:r>
          </w:p>
        </w:tc>
        <w:tc>
          <w:tcPr>
            <w:tcW w:w="9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Indemnity</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9.7</w:t>
            </w:r>
          </w:p>
        </w:tc>
        <w:tc>
          <w:tcPr>
            <w:tcW w:w="6380" w:type="dxa"/>
            <w:vAlign w:val="bottom"/>
            <w:gridSpan w:val="9"/>
          </w:tcPr>
          <w:p>
            <w:pPr>
              <w:spacing w:after="0"/>
              <w:rPr>
                <w:sz w:val="20"/>
                <w:szCs w:val="20"/>
                <w:color w:val="auto"/>
              </w:rPr>
            </w:pPr>
            <w:r>
              <w:rPr>
                <w:rFonts w:ascii="Times New Roman" w:cs="Times New Roman" w:eastAsia="Times New Roman" w:hAnsi="Times New Roman"/>
                <w:sz w:val="22"/>
                <w:szCs w:val="22"/>
                <w:i w:val="1"/>
                <w:iCs w:val="1"/>
                <w:color w:val="auto"/>
                <w:w w:val="98"/>
              </w:rPr>
              <w:t>Resignation of Administrative Agent and Successor Administrative Agent</w:t>
            </w:r>
          </w:p>
        </w:tc>
        <w:tc>
          <w:tcPr>
            <w:tcW w:w="3140" w:type="dxa"/>
            <w:vAlign w:val="bottom"/>
          </w:tcPr>
          <w:p>
            <w:pPr>
              <w:jc w:val="right"/>
              <w:ind w:right="2552"/>
              <w:spacing w:after="0"/>
              <w:rPr>
                <w:sz w:val="20"/>
                <w:szCs w:val="20"/>
                <w:color w:val="auto"/>
              </w:rPr>
            </w:pPr>
            <w:r>
              <w:rPr>
                <w:rFonts w:ascii="Times New Roman" w:cs="Times New Roman" w:eastAsia="Times New Roman" w:hAnsi="Times New Roman"/>
                <w:sz w:val="22"/>
                <w:szCs w:val="22"/>
                <w:color w:val="auto"/>
              </w:rPr>
              <w:t>129</w:t>
            </w: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9.8</w:t>
            </w:r>
          </w:p>
        </w:tc>
        <w:tc>
          <w:tcPr>
            <w:tcW w:w="9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L/C Issuer</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9.9</w:t>
            </w:r>
          </w:p>
        </w:tc>
        <w:tc>
          <w:tcPr>
            <w:tcW w:w="9520" w:type="dxa"/>
            <w:vAlign w:val="bottom"/>
            <w:gridSpan w:val="10"/>
          </w:tcPr>
          <w:p>
            <w:pPr>
              <w:spacing w:after="0"/>
              <w:rPr>
                <w:sz w:val="20"/>
                <w:szCs w:val="20"/>
                <w:color w:val="auto"/>
              </w:rPr>
            </w:pPr>
            <w:r>
              <w:rPr>
                <w:rFonts w:ascii="Times New Roman" w:cs="Times New Roman" w:eastAsia="Times New Roman" w:hAnsi="Times New Roman"/>
                <w:sz w:val="22"/>
                <w:szCs w:val="22"/>
                <w:i w:val="1"/>
                <w:iCs w:val="1"/>
                <w:color w:val="auto"/>
                <w:w w:val="98"/>
              </w:rPr>
              <w:t xml:space="preserve">Hedging Liability and Funds Transfer Liability and Deposit Account Liability Obligation Arrangements  </w:t>
            </w:r>
            <w:r>
              <w:rPr>
                <w:rFonts w:ascii="Times New Roman" w:cs="Times New Roman" w:eastAsia="Times New Roman" w:hAnsi="Times New Roman"/>
                <w:sz w:val="22"/>
                <w:szCs w:val="22"/>
                <w:color w:val="auto"/>
                <w:w w:val="98"/>
              </w:rPr>
              <w:t>130</w:t>
            </w: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9.10</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22"/>
                <w:szCs w:val="22"/>
                <w:i w:val="1"/>
                <w:iCs w:val="1"/>
                <w:color w:val="auto"/>
              </w:rPr>
              <w:t>No Other Duties</w:t>
            </w:r>
          </w:p>
        </w:tc>
        <w:tc>
          <w:tcPr>
            <w:tcW w:w="72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130</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9.11</w:t>
            </w:r>
          </w:p>
        </w:tc>
        <w:tc>
          <w:tcPr>
            <w:tcW w:w="9520" w:type="dxa"/>
            <w:vAlign w:val="bottom"/>
            <w:gridSpan w:val="10"/>
          </w:tcPr>
          <w:p>
            <w:pPr>
              <w:ind w:left="80"/>
              <w:spacing w:after="0"/>
              <w:rPr>
                <w:sz w:val="20"/>
                <w:szCs w:val="20"/>
                <w:color w:val="auto"/>
              </w:rPr>
            </w:pPr>
            <w:r>
              <w:rPr>
                <w:rFonts w:ascii="Times New Roman" w:cs="Times New Roman" w:eastAsia="Times New Roman" w:hAnsi="Times New Roman"/>
                <w:sz w:val="22"/>
                <w:szCs w:val="22"/>
                <w:i w:val="1"/>
                <w:iCs w:val="1"/>
                <w:color w:val="auto"/>
              </w:rPr>
              <w:t xml:space="preserve">Authorization to Enter into, and Enforcement of, the Collateral Documents  </w:t>
            </w:r>
            <w:r>
              <w:rPr>
                <w:rFonts w:ascii="Times New Roman" w:cs="Times New Roman" w:eastAsia="Times New Roman" w:hAnsi="Times New Roman"/>
                <w:sz w:val="22"/>
                <w:szCs w:val="22"/>
                <w:color w:val="auto"/>
              </w:rPr>
              <w:t>130</w:t>
            </w:r>
          </w:p>
        </w:tc>
      </w:tr>
      <w:tr>
        <w:trPr>
          <w:trHeight w:val="257"/>
        </w:trPr>
        <w:tc>
          <w:tcPr>
            <w:tcW w:w="6260" w:type="dxa"/>
            <w:vAlign w:val="bottom"/>
            <w:gridSpan w:val="9"/>
          </w:tcPr>
          <w:p>
            <w:pPr>
              <w:ind w:left="220"/>
              <w:spacing w:after="0"/>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i w:val="1"/>
                <w:iCs w:val="1"/>
                <w:color w:val="auto"/>
              </w:rPr>
              <w:t>Authorization to Release Liens, Etc</w:t>
            </w:r>
            <w:r>
              <w:rPr>
                <w:rFonts w:ascii="Times New Roman" w:cs="Times New Roman" w:eastAsia="Times New Roman" w:hAnsi="Times New Roman"/>
                <w:sz w:val="22"/>
                <w:szCs w:val="22"/>
                <w:color w:val="auto"/>
              </w:rPr>
              <w:t>.  130</w:t>
            </w: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9.13</w:t>
            </w: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rPr>
              <w:t>Withholding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61"/>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9.14</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Credit Bidding</w:t>
            </w:r>
          </w:p>
        </w:tc>
        <w:tc>
          <w:tcPr>
            <w:tcW w:w="120" w:type="dxa"/>
            <w:vAlign w:val="bottom"/>
          </w:tcPr>
          <w:p>
            <w:pPr>
              <w:spacing w:after="0"/>
              <w:rPr>
                <w:sz w:val="22"/>
                <w:szCs w:val="22"/>
                <w:color w:val="auto"/>
              </w:rPr>
            </w:pPr>
          </w:p>
        </w:tc>
        <w:tc>
          <w:tcPr>
            <w:tcW w:w="72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w w:val="96"/>
              </w:rPr>
              <w:t>133</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ARTICLE 10.</w:t>
            </w: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w w:val="99"/>
              </w:rPr>
              <w:t>MISCELLANEOUS</w:t>
            </w:r>
          </w:p>
        </w:tc>
        <w:tc>
          <w:tcPr>
            <w:tcW w:w="84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133</w:t>
            </w:r>
          </w:p>
        </w:tc>
        <w:tc>
          <w:tcPr>
            <w:tcW w:w="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10.1</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133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10.2</w:t>
            </w:r>
          </w:p>
        </w:tc>
        <w:tc>
          <w:tcPr>
            <w:tcW w:w="4840" w:type="dxa"/>
            <w:vAlign w:val="bottom"/>
            <w:gridSpan w:val="8"/>
          </w:tcPr>
          <w:p>
            <w:pPr>
              <w:ind w:left="100"/>
              <w:spacing w:after="0"/>
              <w:rPr>
                <w:sz w:val="20"/>
                <w:szCs w:val="20"/>
                <w:color w:val="auto"/>
              </w:rPr>
            </w:pPr>
            <w:r>
              <w:rPr>
                <w:rFonts w:ascii="Times New Roman" w:cs="Times New Roman" w:eastAsia="Times New Roman" w:hAnsi="Times New Roman"/>
                <w:sz w:val="22"/>
                <w:szCs w:val="22"/>
                <w:i w:val="1"/>
                <w:iCs w:val="1"/>
                <w:color w:val="auto"/>
              </w:rPr>
              <w:t>No Waiver; Cumulative Remedies; Collective Action</w:t>
            </w:r>
          </w:p>
        </w:tc>
        <w:tc>
          <w:tcPr>
            <w:tcW w:w="154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w w:val="96"/>
              </w:rPr>
              <w:t>136</w:t>
            </w: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10.3</w:t>
            </w: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rPr>
              <w:t>Non-Business Days</w:t>
            </w:r>
          </w:p>
        </w:tc>
        <w:tc>
          <w:tcPr>
            <w:tcW w:w="84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136</w:t>
            </w: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10.4</w:t>
            </w: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w w:val="98"/>
              </w:rPr>
              <w:t>Documentary Taxes</w:t>
            </w:r>
          </w:p>
        </w:tc>
        <w:tc>
          <w:tcPr>
            <w:tcW w:w="84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136</w:t>
            </w: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10.5</w:t>
            </w:r>
          </w:p>
        </w:tc>
        <w:tc>
          <w:tcPr>
            <w:tcW w:w="2700" w:type="dxa"/>
            <w:vAlign w:val="bottom"/>
            <w:gridSpan w:val="6"/>
          </w:tcPr>
          <w:p>
            <w:pPr>
              <w:ind w:left="100"/>
              <w:spacing w:after="0"/>
              <w:rPr>
                <w:sz w:val="20"/>
                <w:szCs w:val="20"/>
                <w:color w:val="auto"/>
              </w:rPr>
            </w:pPr>
            <w:r>
              <w:rPr>
                <w:rFonts w:ascii="Times New Roman" w:cs="Times New Roman" w:eastAsia="Times New Roman" w:hAnsi="Times New Roman"/>
                <w:sz w:val="22"/>
                <w:szCs w:val="22"/>
                <w:i w:val="1"/>
                <w:iCs w:val="1"/>
                <w:color w:val="auto"/>
              </w:rPr>
              <w:t>Survival of Representations</w:t>
            </w: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0"/>
              </w:rPr>
              <w:t>137</w:t>
            </w: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10.6</w:t>
            </w:r>
          </w:p>
        </w:tc>
        <w:tc>
          <w:tcPr>
            <w:tcW w:w="2300" w:type="dxa"/>
            <w:vAlign w:val="bottom"/>
            <w:gridSpan w:val="5"/>
          </w:tcPr>
          <w:p>
            <w:pPr>
              <w:ind w:left="100"/>
              <w:spacing w:after="0"/>
              <w:rPr>
                <w:sz w:val="20"/>
                <w:szCs w:val="20"/>
                <w:color w:val="auto"/>
              </w:rPr>
            </w:pPr>
            <w:r>
              <w:rPr>
                <w:rFonts w:ascii="Times New Roman" w:cs="Times New Roman" w:eastAsia="Times New Roman" w:hAnsi="Times New Roman"/>
                <w:sz w:val="22"/>
                <w:szCs w:val="22"/>
                <w:i w:val="1"/>
                <w:iCs w:val="1"/>
                <w:color w:val="auto"/>
              </w:rPr>
              <w:t>Survival of Indemnities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137</w:t>
            </w: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10.7</w:t>
            </w: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rPr>
              <w:t>Sharing of Set-Off</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10.8</w:t>
            </w:r>
          </w:p>
        </w:tc>
        <w:tc>
          <w:tcPr>
            <w:tcW w:w="96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Notices</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137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10.9</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Counterparts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138</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Section 10.10</w:t>
            </w:r>
          </w:p>
        </w:tc>
        <w:tc>
          <w:tcPr>
            <w:tcW w:w="6380" w:type="dxa"/>
            <w:vAlign w:val="bottom"/>
            <w:gridSpan w:val="9"/>
          </w:tcPr>
          <w:p>
            <w:pPr>
              <w:ind w:left="200"/>
              <w:spacing w:after="0"/>
              <w:rPr>
                <w:sz w:val="20"/>
                <w:szCs w:val="20"/>
                <w:color w:val="auto"/>
              </w:rPr>
            </w:pPr>
            <w:r>
              <w:rPr>
                <w:rFonts w:ascii="Times New Roman" w:cs="Times New Roman" w:eastAsia="Times New Roman" w:hAnsi="Times New Roman"/>
                <w:sz w:val="22"/>
                <w:szCs w:val="22"/>
                <w:i w:val="1"/>
                <w:iCs w:val="1"/>
                <w:color w:val="auto"/>
              </w:rPr>
              <w:t xml:space="preserve">Successors and Assigns; Assignments and Participations  </w:t>
            </w:r>
            <w:r>
              <w:rPr>
                <w:rFonts w:ascii="Times New Roman" w:cs="Times New Roman" w:eastAsia="Times New Roman" w:hAnsi="Times New Roman"/>
                <w:sz w:val="22"/>
                <w:szCs w:val="22"/>
                <w:color w:val="auto"/>
              </w:rPr>
              <w:t>138</w:t>
            </w: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Section 10.11</w:t>
            </w: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22"/>
                <w:szCs w:val="22"/>
                <w:i w:val="1"/>
                <w:iCs w:val="1"/>
                <w:color w:val="auto"/>
              </w:rPr>
              <w:t>Amendments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142</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Section 10.12</w:t>
            </w:r>
          </w:p>
        </w:tc>
        <w:tc>
          <w:tcPr>
            <w:tcW w:w="960" w:type="dxa"/>
            <w:vAlign w:val="bottom"/>
          </w:tcPr>
          <w:p>
            <w:pPr>
              <w:ind w:left="200"/>
              <w:spacing w:after="0"/>
              <w:rPr>
                <w:sz w:val="20"/>
                <w:szCs w:val="20"/>
                <w:color w:val="auto"/>
              </w:rPr>
            </w:pPr>
            <w:r>
              <w:rPr>
                <w:rFonts w:ascii="Times New Roman" w:cs="Times New Roman" w:eastAsia="Times New Roman" w:hAnsi="Times New Roman"/>
                <w:sz w:val="22"/>
                <w:szCs w:val="22"/>
                <w:i w:val="1"/>
                <w:iCs w:val="1"/>
                <w:color w:val="auto"/>
                <w:w w:val="97"/>
              </w:rPr>
              <w:t>Heading</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144</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Section 10.13</w:t>
            </w:r>
          </w:p>
        </w:tc>
        <w:tc>
          <w:tcPr>
            <w:tcW w:w="3460" w:type="dxa"/>
            <w:vAlign w:val="bottom"/>
            <w:gridSpan w:val="7"/>
          </w:tcPr>
          <w:p>
            <w:pPr>
              <w:ind w:left="200"/>
              <w:spacing w:after="0"/>
              <w:rPr>
                <w:sz w:val="20"/>
                <w:szCs w:val="20"/>
                <w:color w:val="auto"/>
              </w:rPr>
            </w:pPr>
            <w:r>
              <w:rPr>
                <w:rFonts w:ascii="Times New Roman" w:cs="Times New Roman" w:eastAsia="Times New Roman" w:hAnsi="Times New Roman"/>
                <w:sz w:val="22"/>
                <w:szCs w:val="22"/>
                <w:i w:val="1"/>
                <w:iCs w:val="1"/>
                <w:color w:val="auto"/>
                <w:w w:val="99"/>
              </w:rPr>
              <w:t>Costs and Expenses; Indemnification</w:t>
            </w:r>
          </w:p>
        </w:tc>
        <w:tc>
          <w:tcPr>
            <w:tcW w:w="13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144</w:t>
            </w: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Section 10.14</w:t>
            </w:r>
          </w:p>
        </w:tc>
        <w:tc>
          <w:tcPr>
            <w:tcW w:w="960" w:type="dxa"/>
            <w:vAlign w:val="bottom"/>
          </w:tcPr>
          <w:p>
            <w:pPr>
              <w:ind w:left="200"/>
              <w:spacing w:after="0"/>
              <w:rPr>
                <w:sz w:val="20"/>
                <w:szCs w:val="20"/>
                <w:color w:val="auto"/>
              </w:rPr>
            </w:pPr>
            <w:r>
              <w:rPr>
                <w:rFonts w:ascii="Times New Roman" w:cs="Times New Roman" w:eastAsia="Times New Roman" w:hAnsi="Times New Roman"/>
                <w:sz w:val="22"/>
                <w:szCs w:val="22"/>
                <w:i w:val="1"/>
                <w:iCs w:val="1"/>
                <w:color w:val="auto"/>
              </w:rPr>
              <w:t>Set-off</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Section 10.15</w:t>
            </w:r>
          </w:p>
        </w:tc>
        <w:tc>
          <w:tcPr>
            <w:tcW w:w="1860" w:type="dxa"/>
            <w:vAlign w:val="bottom"/>
            <w:gridSpan w:val="4"/>
          </w:tcPr>
          <w:p>
            <w:pPr>
              <w:ind w:left="200"/>
              <w:spacing w:after="0"/>
              <w:rPr>
                <w:sz w:val="20"/>
                <w:szCs w:val="20"/>
                <w:color w:val="auto"/>
              </w:rPr>
            </w:pPr>
            <w:r>
              <w:rPr>
                <w:rFonts w:ascii="Times New Roman" w:cs="Times New Roman" w:eastAsia="Times New Roman" w:hAnsi="Times New Roman"/>
                <w:sz w:val="22"/>
                <w:szCs w:val="22"/>
                <w:i w:val="1"/>
                <w:iCs w:val="1"/>
                <w:color w:val="auto"/>
              </w:rPr>
              <w:t>Entire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87"/>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Section 10.16</w:t>
            </w: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22"/>
                <w:szCs w:val="22"/>
                <w:i w:val="1"/>
                <w:iCs w:val="1"/>
                <w:color w:val="auto"/>
                <w:w w:val="98"/>
              </w:rPr>
              <w:t>Governing Law</w:t>
            </w: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145</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ectPr>
          <w:pgSz w:w="11900" w:h="16838" w:orient="portrait"/>
          <w:cols w:equalWidth="0" w:num="1">
            <w:col w:w="10940"/>
          </w:cols>
          <w:pgMar w:left="240" w:top="621" w:right="71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10.17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Severability of Provisions</w:t>
            </w:r>
          </w:p>
        </w:tc>
        <w:tc>
          <w:tcPr>
            <w:tcW w:w="1980" w:type="dxa"/>
            <w:vAlign w:val="bottom"/>
            <w:gridSpan w:val="2"/>
          </w:tcPr>
          <w:p>
            <w:pPr>
              <w:jc w:val="right"/>
              <w:ind w:right="1472"/>
              <w:spacing w:after="0"/>
              <w:rPr>
                <w:sz w:val="20"/>
                <w:szCs w:val="20"/>
                <w:color w:val="auto"/>
              </w:rPr>
            </w:pPr>
            <w:r>
              <w:rPr>
                <w:rFonts w:ascii="Times New Roman" w:cs="Times New Roman" w:eastAsia="Times New Roman" w:hAnsi="Times New Roman"/>
                <w:sz w:val="22"/>
                <w:szCs w:val="22"/>
                <w:color w:val="auto"/>
              </w:rPr>
              <w:t>145</w:t>
            </w:r>
          </w:p>
        </w:tc>
        <w:tc>
          <w:tcPr>
            <w:tcW w:w="2380" w:type="dxa"/>
            <w:vAlign w:val="bottom"/>
          </w:tcPr>
          <w:p>
            <w:pPr>
              <w:spacing w:after="0"/>
              <w:rPr>
                <w:sz w:val="22"/>
                <w:szCs w:val="22"/>
                <w:color w:val="auto"/>
              </w:rPr>
            </w:pP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10.18</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w w:val="98"/>
              </w:rPr>
              <w:t>Excess Interest</w:t>
            </w: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145</w:t>
            </w: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10.19</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Construction</w:t>
            </w: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146</w:t>
            </w: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10.20</w:t>
            </w: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22"/>
                <w:szCs w:val="22"/>
                <w:i w:val="1"/>
                <w:iCs w:val="1"/>
                <w:color w:val="auto"/>
              </w:rPr>
              <w:t>Lender’s Obligations Several</w:t>
            </w:r>
          </w:p>
        </w:tc>
        <w:tc>
          <w:tcPr>
            <w:tcW w:w="168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146</w:t>
            </w:r>
          </w:p>
        </w:tc>
        <w:tc>
          <w:tcPr>
            <w:tcW w:w="2380" w:type="dxa"/>
            <w:vAlign w:val="bottom"/>
          </w:tcPr>
          <w:p>
            <w:pPr>
              <w:spacing w:after="0"/>
              <w:rPr>
                <w:sz w:val="22"/>
                <w:szCs w:val="22"/>
                <w:color w:val="auto"/>
              </w:rPr>
            </w:pP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10.21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 xml:space="preserve">USA Patriot Act  </w:t>
            </w:r>
            <w:r>
              <w:rPr>
                <w:rFonts w:ascii="Times New Roman" w:cs="Times New Roman" w:eastAsia="Times New Roman" w:hAnsi="Times New Roman"/>
                <w:sz w:val="22"/>
                <w:szCs w:val="22"/>
                <w:color w:val="auto"/>
              </w:rPr>
              <w:t>146</w:t>
            </w: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10.22</w:t>
            </w: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rPr>
              <w:t>Submission to Jurisdiction; Waiver of Jury Trial</w:t>
            </w:r>
          </w:p>
        </w:tc>
        <w:tc>
          <w:tcPr>
            <w:tcW w:w="2380" w:type="dxa"/>
            <w:vAlign w:val="bottom"/>
          </w:tcPr>
          <w:p>
            <w:pPr>
              <w:jc w:val="right"/>
              <w:ind w:right="1932"/>
              <w:spacing w:after="0"/>
              <w:rPr>
                <w:sz w:val="20"/>
                <w:szCs w:val="20"/>
                <w:color w:val="auto"/>
              </w:rPr>
            </w:pPr>
            <w:r>
              <w:rPr>
                <w:rFonts w:ascii="Times New Roman" w:cs="Times New Roman" w:eastAsia="Times New Roman" w:hAnsi="Times New Roman"/>
                <w:sz w:val="22"/>
                <w:szCs w:val="22"/>
                <w:color w:val="auto"/>
                <w:w w:val="96"/>
              </w:rPr>
              <w:t>146</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10.23</w:t>
            </w: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w w:val="98"/>
              </w:rPr>
              <w:t>Treatment of Certain Information; Confidentiality</w:t>
            </w:r>
          </w:p>
        </w:tc>
        <w:tc>
          <w:tcPr>
            <w:tcW w:w="2380" w:type="dxa"/>
            <w:vAlign w:val="bottom"/>
          </w:tcPr>
          <w:p>
            <w:pPr>
              <w:jc w:val="right"/>
              <w:ind w:right="1772"/>
              <w:spacing w:after="0"/>
              <w:rPr>
                <w:sz w:val="20"/>
                <w:szCs w:val="20"/>
                <w:color w:val="auto"/>
              </w:rPr>
            </w:pPr>
            <w:r>
              <w:rPr>
                <w:rFonts w:ascii="Times New Roman" w:cs="Times New Roman" w:eastAsia="Times New Roman" w:hAnsi="Times New Roman"/>
                <w:sz w:val="22"/>
                <w:szCs w:val="22"/>
                <w:color w:val="auto"/>
              </w:rPr>
              <w:t>147</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10.24</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No Fiduciary Relationship</w:t>
            </w:r>
          </w:p>
        </w:tc>
        <w:tc>
          <w:tcPr>
            <w:tcW w:w="1980" w:type="dxa"/>
            <w:vAlign w:val="bottom"/>
            <w:gridSpan w:val="2"/>
          </w:tcPr>
          <w:p>
            <w:pPr>
              <w:jc w:val="right"/>
              <w:ind w:right="1392"/>
              <w:spacing w:after="0"/>
              <w:rPr>
                <w:sz w:val="20"/>
                <w:szCs w:val="20"/>
                <w:color w:val="auto"/>
              </w:rPr>
            </w:pPr>
            <w:r>
              <w:rPr>
                <w:rFonts w:ascii="Times New Roman" w:cs="Times New Roman" w:eastAsia="Times New Roman" w:hAnsi="Times New Roman"/>
                <w:sz w:val="22"/>
                <w:szCs w:val="22"/>
                <w:color w:val="auto"/>
              </w:rPr>
              <w:t>147</w:t>
            </w:r>
          </w:p>
        </w:tc>
        <w:tc>
          <w:tcPr>
            <w:tcW w:w="2380" w:type="dxa"/>
            <w:vAlign w:val="bottom"/>
          </w:tcPr>
          <w:p>
            <w:pPr>
              <w:spacing w:after="0"/>
              <w:rPr>
                <w:sz w:val="22"/>
                <w:szCs w:val="22"/>
                <w:color w:val="auto"/>
              </w:rPr>
            </w:pP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10.25</w:t>
            </w: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22"/>
                <w:szCs w:val="22"/>
                <w:i w:val="1"/>
                <w:iCs w:val="1"/>
                <w:color w:val="auto"/>
                <w:w w:val="99"/>
              </w:rPr>
              <w:t>Platform; Borrower Materials</w:t>
            </w:r>
          </w:p>
        </w:tc>
        <w:tc>
          <w:tcPr>
            <w:tcW w:w="168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148</w:t>
            </w:r>
          </w:p>
        </w:tc>
        <w:tc>
          <w:tcPr>
            <w:tcW w:w="2380" w:type="dxa"/>
            <w:vAlign w:val="bottom"/>
          </w:tcPr>
          <w:p>
            <w:pPr>
              <w:spacing w:after="0"/>
              <w:rPr>
                <w:sz w:val="22"/>
                <w:szCs w:val="22"/>
                <w:color w:val="auto"/>
              </w:rPr>
            </w:pP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10.26</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22"/>
                <w:szCs w:val="22"/>
                <w:i w:val="1"/>
                <w:iCs w:val="1"/>
                <w:color w:val="auto"/>
                <w:w w:val="99"/>
              </w:rPr>
              <w:t xml:space="preserve">Acknowledgement and Consent to Bail-In of EEA Financial Institutions  </w:t>
            </w:r>
            <w:r>
              <w:rPr>
                <w:rFonts w:ascii="Times New Roman" w:cs="Times New Roman" w:eastAsia="Times New Roman" w:hAnsi="Times New Roman"/>
                <w:sz w:val="22"/>
                <w:szCs w:val="22"/>
                <w:color w:val="auto"/>
                <w:w w:val="99"/>
              </w:rPr>
              <w:t>148</w:t>
            </w:r>
          </w:p>
        </w:tc>
      </w:tr>
      <w:tr>
        <w:trPr>
          <w:trHeight w:val="28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10.27</w:t>
            </w: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22"/>
                <w:szCs w:val="22"/>
                <w:i w:val="1"/>
                <w:iCs w:val="1"/>
                <w:color w:val="auto"/>
              </w:rPr>
              <w:t xml:space="preserve">Collateral and Guarantee Suspension  </w:t>
            </w:r>
            <w:r>
              <w:rPr>
                <w:rFonts w:ascii="Times New Roman" w:cs="Times New Roman" w:eastAsia="Times New Roman" w:hAnsi="Times New Roman"/>
                <w:sz w:val="22"/>
                <w:szCs w:val="22"/>
                <w:color w:val="auto"/>
              </w:rPr>
              <w:t>149</w:t>
            </w:r>
          </w:p>
        </w:tc>
        <w:tc>
          <w:tcPr>
            <w:tcW w:w="2380" w:type="dxa"/>
            <w:vAlign w:val="bottom"/>
          </w:tcPr>
          <w:p>
            <w:pPr>
              <w:spacing w:after="0"/>
              <w:rPr>
                <w:sz w:val="24"/>
                <w:szCs w:val="24"/>
                <w:color w:val="auto"/>
              </w:rPr>
            </w:pPr>
          </w:p>
        </w:tc>
      </w:tr>
    </w:tbl>
    <w:p>
      <w:pPr>
        <w:sectPr>
          <w:pgSz w:w="11900" w:h="16838" w:orient="portrait"/>
          <w:cols w:equalWidth="0" w:num="1">
            <w:col w:w="9999"/>
          </w:cols>
          <w:pgMar w:left="460" w:top="621" w:right="1440"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Payment Request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Borrowing</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Continuation/Conversion</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D-1</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A-1 Note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D-2</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Term B-4 Note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D-3</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D-4</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Revolving Note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Solvency Certificate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Certificate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6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Assignment and Assumption</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H-1</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Trademark Security Agreement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H-2</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Patent Security Agreement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H-3</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Copyright Security Agreement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Security Agreement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Guaranty</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Escrow Agreement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Tax Compliance Certificate</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M</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Global Intercompany Note</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1</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Term Loan Commitments and Revolving Credit Commitments as of the Closing Date</w:t>
            </w: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2.3(a) —</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5.5</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5.10</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5.17</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Capitalization</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6.11</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6.14</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Indebtedness</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6.15</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Liens</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6.17</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6.24</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Post-Closing Obligations</w:t>
            </w:r>
          </w:p>
        </w:tc>
      </w:tr>
    </w:tbl>
    <w:p>
      <w:pPr>
        <w:sectPr>
          <w:pgSz w:w="11900" w:h="16838" w:orient="portrait"/>
          <w:cols w:equalWidth="0" w:num="1">
            <w:col w:w="10219"/>
          </w:cols>
          <w:pgMar w:left="240" w:top="621" w:right="1440"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22"/>
          <w:szCs w:val="22"/>
          <w:color w:val="auto"/>
        </w:rPr>
        <w:t>LOAN AGREEMENT</w:t>
      </w:r>
    </w:p>
    <w:p>
      <w:pPr>
        <w:spacing w:after="0" w:line="200" w:lineRule="exact"/>
        <w:rPr>
          <w:sz w:val="20"/>
          <w:szCs w:val="20"/>
          <w:color w:val="auto"/>
        </w:rPr>
      </w:pPr>
    </w:p>
    <w:p>
      <w:pPr>
        <w:spacing w:after="0" w:line="236" w:lineRule="exact"/>
        <w:rPr>
          <w:sz w:val="20"/>
          <w:szCs w:val="20"/>
          <w:color w:val="auto"/>
        </w:rPr>
      </w:pPr>
    </w:p>
    <w:p>
      <w:pPr>
        <w:ind w:firstLine="1297"/>
        <w:spacing w:after="0" w:line="248" w:lineRule="auto"/>
        <w:rPr>
          <w:sz w:val="20"/>
          <w:szCs w:val="20"/>
          <w:color w:val="auto"/>
        </w:rPr>
      </w:pPr>
      <w:r>
        <w:rPr>
          <w:rFonts w:ascii="Times New Roman" w:cs="Times New Roman" w:eastAsia="Times New Roman" w:hAnsi="Times New Roman"/>
          <w:sz w:val="22"/>
          <w:szCs w:val="22"/>
          <w:color w:val="auto"/>
        </w:rPr>
        <w:t>This Loan Agreement is entered into as of April 29, 2016, as amended by Amendment No. 1, dated as of August 17, 2016, Amendment No. 2, dated as of September 22, 2016, Amendment No. 3, dated as of March 14, 2017, Amendment No. 4, dated as of March 23, 2017, Amendment No. 5, dated as of November 8, 2017, Amendment No. 6, dated as of November 29, 2017, Amendment No. 7, dated as of February 27, 2018, Amendment No. 8, dated as of May 15, 2018 and Amendment No. 9, dated as of April 29, 2019, by and among WESTERN DIGITAL CORPORATION,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the various institutions from time to time party to this Agreement, as Lenders, and JPMorgan Chase Bank, N.A., as administrative agent and collateral agent (in such capacities,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Collateral Agent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Preliminary Statements</w:t>
      </w:r>
    </w:p>
    <w:p>
      <w:pPr>
        <w:spacing w:after="0" w:line="200" w:lineRule="exact"/>
        <w:rPr>
          <w:sz w:val="20"/>
          <w:szCs w:val="20"/>
          <w:color w:val="auto"/>
        </w:rPr>
      </w:pPr>
    </w:p>
    <w:p>
      <w:pPr>
        <w:spacing w:after="0" w:line="236"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1"/>
          <w:szCs w:val="21"/>
          <w:color w:val="auto"/>
        </w:rPr>
        <w:t>The Borrower has entered into the Agreement and Plan of Merger, dated as of October 21, 2015 (together with the exhibits and disclosure schedules thereto and as in effect on the Closing Date, the “</w:t>
      </w:r>
      <w:r>
        <w:rPr>
          <w:rFonts w:ascii="Times New Roman" w:cs="Times New Roman" w:eastAsia="Times New Roman" w:hAnsi="Times New Roman"/>
          <w:sz w:val="21"/>
          <w:szCs w:val="21"/>
          <w:i w:val="1"/>
          <w:iCs w:val="1"/>
          <w:color w:val="auto"/>
        </w:rPr>
        <w:t>Acquisition Agreement</w:t>
      </w:r>
      <w:r>
        <w:rPr>
          <w:rFonts w:ascii="Times New Roman" w:cs="Times New Roman" w:eastAsia="Times New Roman" w:hAnsi="Times New Roman"/>
          <w:sz w:val="21"/>
          <w:szCs w:val="21"/>
          <w:color w:val="auto"/>
        </w:rPr>
        <w:t>”) with Schrader Acquisition Corporation, a Delaware corporation and a Wholly-owned Subsidiary of the Borrower (“</w:t>
      </w:r>
      <w:r>
        <w:rPr>
          <w:rFonts w:ascii="Times New Roman" w:cs="Times New Roman" w:eastAsia="Times New Roman" w:hAnsi="Times New Roman"/>
          <w:sz w:val="21"/>
          <w:szCs w:val="21"/>
          <w:i w:val="1"/>
          <w:iCs w:val="1"/>
          <w:color w:val="auto"/>
        </w:rPr>
        <w:t>Merger Sub</w:t>
      </w:r>
      <w:r>
        <w:rPr>
          <w:rFonts w:ascii="Times New Roman" w:cs="Times New Roman" w:eastAsia="Times New Roman" w:hAnsi="Times New Roman"/>
          <w:sz w:val="21"/>
          <w:szCs w:val="21"/>
          <w:color w:val="auto"/>
        </w:rPr>
        <w:t>”), and SanDisk Corporation, a Delaware corporation (the “</w:t>
      </w:r>
      <w:r>
        <w:rPr>
          <w:rFonts w:ascii="Times New Roman" w:cs="Times New Roman" w:eastAsia="Times New Roman" w:hAnsi="Times New Roman"/>
          <w:sz w:val="21"/>
          <w:szCs w:val="21"/>
          <w:i w:val="1"/>
          <w:iCs w:val="1"/>
          <w:color w:val="auto"/>
        </w:rPr>
        <w:t>Target Company</w:t>
      </w:r>
      <w:r>
        <w:rPr>
          <w:rFonts w:ascii="Times New Roman" w:cs="Times New Roman" w:eastAsia="Times New Roman" w:hAnsi="Times New Roman"/>
          <w:sz w:val="21"/>
          <w:szCs w:val="21"/>
          <w:color w:val="auto"/>
        </w:rPr>
        <w:t>”), pursuant to which (i) Western Digital Technologies, Inc., a Delaware corporation and a Wholly-owned Subsidiary of the Borrower, will acquire all of the outstanding shares of the Target Company and</w:t>
      </w:r>
    </w:p>
    <w:p>
      <w:pPr>
        <w:spacing w:after="0" w:line="4" w:lineRule="exact"/>
        <w:rPr>
          <w:sz w:val="20"/>
          <w:szCs w:val="20"/>
          <w:color w:val="auto"/>
        </w:rPr>
      </w:pPr>
    </w:p>
    <w:p>
      <w:pPr>
        <w:ind w:right="40" w:firstLine="8"/>
        <w:spacing w:after="0" w:line="248" w:lineRule="auto"/>
        <w:tabs>
          <w:tab w:leader="none" w:pos="31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 Sub will merge with and into the Target Company, with the Target Company surviving such merger as a Wholly-owned Subsidiary of the Borrower (collectively, the “</w:t>
      </w:r>
      <w:r>
        <w:rPr>
          <w:rFonts w:ascii="Times New Roman" w:cs="Times New Roman" w:eastAsia="Times New Roman" w:hAnsi="Times New Roman"/>
          <w:sz w:val="22"/>
          <w:szCs w:val="22"/>
          <w:i w:val="1"/>
          <w:iCs w:val="1"/>
          <w:color w:val="auto"/>
        </w:rPr>
        <w:t>Schrader Acquisition</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firstLine="1297"/>
        <w:spacing w:after="0" w:line="263" w:lineRule="auto"/>
        <w:rPr>
          <w:sz w:val="20"/>
          <w:szCs w:val="20"/>
          <w:color w:val="auto"/>
        </w:rPr>
      </w:pPr>
      <w:r>
        <w:rPr>
          <w:rFonts w:ascii="Times New Roman" w:cs="Times New Roman" w:eastAsia="Times New Roman" w:hAnsi="Times New Roman"/>
          <w:sz w:val="21"/>
          <w:szCs w:val="21"/>
          <w:color w:val="auto"/>
        </w:rPr>
        <w:t>The Borrower has requested that (i) the Revolving Lenders provide a revolving credit facility to the Borrower on the Escrow Release Date in an aggregate principal amount of $1,000,000,000 pursuant to this Agreement, (ii) the Term A Lenders extend the Term A Loans to the Borrower on the Escrow Release Date in an aggregate principal amount of $4,125,000,000 pursuant to this Agreement, (iii) the U.S. Term B Lenders extend the U.S. Term B Loan to the Borrower on the Closing Date in an aggregate principal amount of $3,750,000,000 pursuant to this Agreement and (iv) the Euro Term B Lenders extend the Euro Term B Loan to the Borrower on the Closing Date in an aggregate principal amount of €885,000,000 pursuant to this Agreement.</w:t>
      </w:r>
    </w:p>
    <w:p>
      <w:pPr>
        <w:spacing w:after="0" w:line="168" w:lineRule="exact"/>
        <w:rPr>
          <w:sz w:val="20"/>
          <w:szCs w:val="20"/>
          <w:color w:val="auto"/>
        </w:rPr>
      </w:pPr>
    </w:p>
    <w:p>
      <w:pPr>
        <w:ind w:right="320" w:firstLine="1297"/>
        <w:spacing w:after="0" w:line="271" w:lineRule="auto"/>
        <w:rPr>
          <w:sz w:val="20"/>
          <w:szCs w:val="20"/>
          <w:color w:val="auto"/>
        </w:rPr>
      </w:pPr>
      <w:r>
        <w:rPr>
          <w:rFonts w:ascii="Times New Roman" w:cs="Times New Roman" w:eastAsia="Times New Roman" w:hAnsi="Times New Roman"/>
          <w:sz w:val="22"/>
          <w:szCs w:val="22"/>
          <w:color w:val="auto"/>
        </w:rPr>
        <w:t>On the Closing Date, the Borrower and the Escrow Agent (as defined below) entered into an Escrow Agreement, pursuant to which the proceeds of the Term B Loans were deposited into the Escrow Account.</w:t>
      </w:r>
    </w:p>
    <w:p>
      <w:pPr>
        <w:sectPr>
          <w:pgSz w:w="11900" w:h="16838" w:orient="portrait"/>
          <w:cols w:equalWidth="0" w:num="1">
            <w:col w:w="11380"/>
          </w:cols>
          <w:pgMar w:left="240" w:top="625" w:right="279" w:bottom="1440" w:gutter="0" w:footer="0" w:header="0"/>
        </w:sectPr>
      </w:pPr>
    </w:p>
    <w:bookmarkStart w:id="112" w:name="page113"/>
    <w:bookmarkEnd w:id="112"/>
    <w:p>
      <w:pPr>
        <w:ind w:right="200" w:firstLine="1297"/>
        <w:spacing w:after="0" w:line="249" w:lineRule="auto"/>
        <w:rPr>
          <w:sz w:val="20"/>
          <w:szCs w:val="20"/>
          <w:color w:val="auto"/>
        </w:rPr>
      </w:pPr>
      <w:r>
        <w:rPr>
          <w:rFonts w:ascii="Times New Roman" w:cs="Times New Roman" w:eastAsia="Times New Roman" w:hAnsi="Times New Roman"/>
          <w:sz w:val="22"/>
          <w:szCs w:val="22"/>
          <w:color w:val="auto"/>
        </w:rPr>
        <w:t>On the Escrow Release Date, the borrowings of the Term Loans were used, together with the net proceeds of the issuance of the Senior Secured Notes and the Senior Unsecured Notes, the net proceeds of the Additional Bridge Facility, any borrowings of the Revolving Loans on the Escrow Release Date and cash on hand (i) to finance the Schrader Acquisition and the Escrow Release Date Refinancing and (ii) to pay fees and expenses incurred in connection therewith. The Revolving Loans and Letters of Credit will be used for working capital and other general corporate purposes of the Borrower and its Subsidiaries, including the financing of the transactions that are not prohibited by the terms of this Agreement.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Lenders have indicated their willingness to lend on the terms and subject to the conditions set forth herein.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In consideration of the mutual covenants and agreements herein contained, the parties hereto covenant and agree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9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1"/>
          <w:szCs w:val="21"/>
          <w:b w:val="1"/>
          <w:bCs w:val="1"/>
          <w:u w:val="single" w:color="auto"/>
          <w:color w:val="auto"/>
        </w:rPr>
        <w:t>DEFINITIONS; INTERPRETATION</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17"/>
          <w:szCs w:val="17"/>
          <w:color w:val="auto"/>
        </w:rPr>
        <w:t>. The following terms when used herein shall have the following meanings:</w:t>
      </w:r>
    </w:p>
    <w:p>
      <w:pPr>
        <w:spacing w:after="0" w:line="233" w:lineRule="exact"/>
        <w:rPr>
          <w:sz w:val="20"/>
          <w:szCs w:val="20"/>
          <w:color w:val="auto"/>
        </w:rPr>
      </w:pPr>
    </w:p>
    <w:p>
      <w:pPr>
        <w:ind w:right="140" w:firstLine="12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2018 Revolving Credit Commitments</w:t>
      </w:r>
      <w:r>
        <w:rPr>
          <w:rFonts w:ascii="Times New Roman" w:cs="Times New Roman" w:eastAsia="Times New Roman" w:hAnsi="Times New Roman"/>
          <w:sz w:val="21"/>
          <w:szCs w:val="21"/>
          <w:color w:val="auto"/>
        </w:rPr>
        <w:t xml:space="preserve">” means, as to any Lender, the obligation of such Lender to make Revolving Loans and to participate in Letters of Credit issued for the account of the Borrower hereunder in an aggregate principal or face amount at any one time outstanding not to exceed the amount set forth opposite such Revolving Lender’s name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to Amendment No. 7 and made a part hereof, as the same may be reduced, increased or otherwise modified at any time or from time to time pursuant to the terms hereof. The aggregate amount of the Revolving Lenders’ 2018 Revolving Credit Commitments (including the Revolving Credit Commitment Increase) on the Amendment No. 7 Effective Date is $2,250.0 million.</w:t>
      </w:r>
    </w:p>
    <w:p>
      <w:pPr>
        <w:spacing w:after="0" w:line="168"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2024 Convertible Notes</w:t>
      </w:r>
      <w:r>
        <w:rPr>
          <w:rFonts w:ascii="Times New Roman" w:cs="Times New Roman" w:eastAsia="Times New Roman" w:hAnsi="Times New Roman"/>
          <w:sz w:val="22"/>
          <w:szCs w:val="22"/>
          <w:color w:val="auto"/>
        </w:rPr>
        <w:t>” means the $1,100 million aggregate principal amount of 1.50% Convertible Senior Notes due 2024 of the Borrower, as the same may be amended, supplemented, waived or otherwise modified from time to time, including any senior unsecured exchange notes issued in lieu thereof.</w:t>
      </w:r>
    </w:p>
    <w:p>
      <w:pPr>
        <w:spacing w:after="0" w:line="167" w:lineRule="exact"/>
        <w:rPr>
          <w:sz w:val="20"/>
          <w:szCs w:val="20"/>
          <w:color w:val="auto"/>
        </w:rPr>
      </w:pPr>
    </w:p>
    <w:p>
      <w:pPr>
        <w:jc w:val="both"/>
        <w:ind w:right="60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2024 Convertible Notes Documents</w:t>
      </w:r>
      <w:r>
        <w:rPr>
          <w:rFonts w:ascii="Times New Roman" w:cs="Times New Roman" w:eastAsia="Times New Roman" w:hAnsi="Times New Roman"/>
          <w:sz w:val="22"/>
          <w:szCs w:val="22"/>
          <w:color w:val="auto"/>
        </w:rPr>
        <w:t>” means the 2024 Convertible Notes Indenture and all other instruments, agreements and other documents evidencing or governing the Convertible Notes or providing for any guarantee, obligation, security or other right in respect thereof.</w:t>
      </w:r>
    </w:p>
    <w:p>
      <w:pPr>
        <w:spacing w:after="0" w:line="167" w:lineRule="exact"/>
        <w:rPr>
          <w:sz w:val="20"/>
          <w:szCs w:val="20"/>
          <w:color w:val="auto"/>
        </w:rPr>
      </w:pPr>
    </w:p>
    <w:p>
      <w:pPr>
        <w:ind w:right="50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2024 Convertible Notes Indenture</w:t>
      </w:r>
      <w:r>
        <w:rPr>
          <w:rFonts w:ascii="Times New Roman" w:cs="Times New Roman" w:eastAsia="Times New Roman" w:hAnsi="Times New Roman"/>
          <w:sz w:val="21"/>
          <w:szCs w:val="21"/>
          <w:color w:val="auto"/>
        </w:rPr>
        <w:t>” means the Indenture dated as of February 13, 2018, under which the 2024 Convertible Notes are issued, as the same may be amended, supplemented, waived or otherwise modified from time to time.</w:t>
      </w:r>
    </w:p>
    <w:p>
      <w:pPr>
        <w:sectPr>
          <w:pgSz w:w="11900" w:h="16838" w:orient="portrait"/>
          <w:cols w:equalWidth="0" w:num="1">
            <w:col w:w="11360"/>
          </w:cols>
          <w:pgMar w:left="240" w:top="625" w:right="299" w:bottom="1440" w:gutter="0" w:footer="0" w:header="0"/>
        </w:sectPr>
      </w:pPr>
    </w:p>
    <w:bookmarkStart w:id="113" w:name="page114"/>
    <w:bookmarkEnd w:id="113"/>
    <w:p>
      <w:pPr>
        <w:ind w:right="10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2026 Senior Unsecured Notes</w:t>
      </w:r>
      <w:r>
        <w:rPr>
          <w:rFonts w:ascii="Times New Roman" w:cs="Times New Roman" w:eastAsia="Times New Roman" w:hAnsi="Times New Roman"/>
          <w:sz w:val="22"/>
          <w:szCs w:val="22"/>
          <w:color w:val="auto"/>
        </w:rPr>
        <w:t>” means the $2,300 million aggregate principal amount of 4.750% Senior Unsecured Notes due 2026 of the Borrower, as the same may be amended, supplemented, waived or otherwise modified from time to time, including any senior unsecured exchange notes issued in lieu thereof.</w:t>
      </w:r>
    </w:p>
    <w:p>
      <w:pPr>
        <w:spacing w:after="0" w:line="167" w:lineRule="exact"/>
        <w:rPr>
          <w:sz w:val="20"/>
          <w:szCs w:val="20"/>
          <w:color w:val="auto"/>
        </w:rPr>
      </w:pPr>
    </w:p>
    <w:p>
      <w:pPr>
        <w:ind w:right="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2026 Senior Unsecured Notes Documents</w:t>
      </w:r>
      <w:r>
        <w:rPr>
          <w:rFonts w:ascii="Times New Roman" w:cs="Times New Roman" w:eastAsia="Times New Roman" w:hAnsi="Times New Roman"/>
          <w:sz w:val="22"/>
          <w:szCs w:val="22"/>
          <w:color w:val="auto"/>
        </w:rPr>
        <w:t>” means the 2026 Senior Unsecured Notes Indenture and all other instruments, agreements and other documents evidencing or governing the Senior Unsecured Notes or providing for any guarantee, obligation, security or other right in respect thereof.</w:t>
      </w:r>
    </w:p>
    <w:p>
      <w:pPr>
        <w:spacing w:after="0" w:line="167" w:lineRule="exact"/>
        <w:rPr>
          <w:sz w:val="20"/>
          <w:szCs w:val="20"/>
          <w:color w:val="auto"/>
        </w:rPr>
      </w:pPr>
    </w:p>
    <w:p>
      <w:pPr>
        <w:ind w:right="2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2026 Senior Unsecured Notes Indenture</w:t>
      </w:r>
      <w:r>
        <w:rPr>
          <w:rFonts w:ascii="Times New Roman" w:cs="Times New Roman" w:eastAsia="Times New Roman" w:hAnsi="Times New Roman"/>
          <w:sz w:val="21"/>
          <w:szCs w:val="21"/>
          <w:color w:val="auto"/>
        </w:rPr>
        <w:t>” means the Indenture dated as of February 13, 2018, under which the 2026 Senior Unsecured Notes are issued, as the same may be amended, supplemented, waived or otherwise modified from time to time.</w:t>
      </w:r>
    </w:p>
    <w:p>
      <w:pPr>
        <w:spacing w:after="0" w:line="128" w:lineRule="exact"/>
        <w:rPr>
          <w:sz w:val="20"/>
          <w:szCs w:val="20"/>
          <w:color w:val="auto"/>
        </w:rPr>
      </w:pPr>
    </w:p>
    <w:p>
      <w:pPr>
        <w:ind w:right="40" w:firstLine="1297"/>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Acquisition</w:t>
      </w:r>
      <w:r>
        <w:rPr>
          <w:rFonts w:ascii="Times New Roman" w:cs="Times New Roman" w:eastAsia="Times New Roman" w:hAnsi="Times New Roman"/>
          <w:sz w:val="21"/>
          <w:szCs w:val="21"/>
          <w:color w:val="auto"/>
        </w:rPr>
        <w:t>” means any transaction or series of related transactions for the purpose of or resulting, directly or indirectly, in (a) the acquisition of all or substantially all of the assets of a Person, or of any line of business or division of a Person,</w:t>
      </w:r>
    </w:p>
    <w:p>
      <w:pPr>
        <w:spacing w:after="0" w:line="2" w:lineRule="exact"/>
        <w:rPr>
          <w:sz w:val="20"/>
          <w:szCs w:val="20"/>
          <w:color w:val="auto"/>
        </w:rPr>
      </w:pPr>
    </w:p>
    <w:p>
      <w:pPr>
        <w:ind w:right="220" w:firstLine="8"/>
        <w:spacing w:after="0" w:line="244" w:lineRule="auto"/>
        <w:tabs>
          <w:tab w:leader="none" w:pos="30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acquisition of in excess of 50.00% of the capital stock, partnership interests, membership interests or equity of any Person (other than a Person that is a Restricted Subsidiary), but, at the Borrower’s option, including acquisitions of Equity Interests increasing the ownership of the Borrower or a Subsidiary in an existing Subsidiary, or (c) a merger or consolidation or any other combination with another Person (other than a Person that is already a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or a Restricted Subsidiary is the surviving entity or the surviving entity becomes a Restricted Subsidiary.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Acquisition Agreement</w:t>
      </w:r>
      <w:r>
        <w:rPr>
          <w:rFonts w:ascii="Times New Roman" w:cs="Times New Roman" w:eastAsia="Times New Roman" w:hAnsi="Times New Roman"/>
          <w:sz w:val="22"/>
          <w:szCs w:val="22"/>
          <w:color w:val="auto"/>
        </w:rPr>
        <w:t>” is defined in the Preliminary Statements hereto.</w:t>
      </w:r>
    </w:p>
    <w:p>
      <w:pPr>
        <w:spacing w:after="0" w:line="220" w:lineRule="exact"/>
        <w:rPr>
          <w:sz w:val="20"/>
          <w:szCs w:val="20"/>
          <w:color w:val="auto"/>
        </w:rPr>
      </w:pPr>
    </w:p>
    <w:p>
      <w:pPr>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Bridge Agreement</w:t>
      </w:r>
      <w:r>
        <w:rPr>
          <w:rFonts w:ascii="Times New Roman" w:cs="Times New Roman" w:eastAsia="Times New Roman" w:hAnsi="Times New Roman"/>
          <w:sz w:val="22"/>
          <w:szCs w:val="22"/>
          <w:color w:val="auto"/>
        </w:rPr>
        <w:t xml:space="preserve">” means the Bridge Loan Agreement, to be dated the Escrow Release Date, by and among Western Digital Technologies, Inc., the lenders party thereto, the Additional Bridge Facility Administrative Agent and the other parties named therein, as such agreement may be amended, supplemented, waived or otherwise modified from time to time;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maturity date of all or any portion thereof may not be extended (other than an extension of the maturity date by 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30 days if the Joint Lead Arrangers agree to an extension of the time period to consummate the Intercompany Transactions pursuant to Section 6.25 of the Original Loan Agreement).</w:t>
      </w:r>
    </w:p>
    <w:p>
      <w:pPr>
        <w:spacing w:after="0" w:line="181" w:lineRule="exact"/>
        <w:rPr>
          <w:sz w:val="20"/>
          <w:szCs w:val="20"/>
          <w:color w:val="auto"/>
        </w:rPr>
      </w:pPr>
    </w:p>
    <w:p>
      <w:pPr>
        <w:ind w:right="10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Bridge Facility</w:t>
      </w:r>
      <w:r>
        <w:rPr>
          <w:rFonts w:ascii="Times New Roman" w:cs="Times New Roman" w:eastAsia="Times New Roman" w:hAnsi="Times New Roman"/>
          <w:sz w:val="22"/>
          <w:szCs w:val="22"/>
          <w:color w:val="auto"/>
        </w:rPr>
        <w:t xml:space="preserve">” means the collective reference to the Additional Bridge Loan Documents, any notes issued pursuant thereto and any guarantee and collateral agreement, patent and trademark security agreement, mortgages and other guarantees, pledge agreements, security agreements and collateral documents, and other instruments and documents, executed and delivered pursuant to or in connection with any of the foregoing, in each case as the same may be amended, supplemented, waived or otherwise modified from time to time; </w:t>
      </w:r>
      <w:r>
        <w:rPr>
          <w:rFonts w:ascii="Times New Roman" w:cs="Times New Roman" w:eastAsia="Times New Roman" w:hAnsi="Times New Roman"/>
          <w:sz w:val="22"/>
          <w:szCs w:val="22"/>
          <w:i w:val="1"/>
          <w:iCs w:val="1"/>
          <w:color w:val="auto"/>
        </w:rPr>
        <w:t>provided</w:t>
      </w:r>
    </w:p>
    <w:p>
      <w:pPr>
        <w:sectPr>
          <w:pgSz w:w="11900" w:h="16838" w:orient="portrait"/>
          <w:cols w:equalWidth="0" w:num="1">
            <w:col w:w="11400"/>
          </w:cols>
          <w:pgMar w:left="240" w:top="621" w:right="259" w:bottom="1440" w:gutter="0" w:footer="0" w:header="0"/>
        </w:sectPr>
      </w:pPr>
    </w:p>
    <w:bookmarkStart w:id="114" w:name="page115"/>
    <w:bookmarkEnd w:id="114"/>
    <w:p>
      <w:pPr>
        <w:ind w:right="20"/>
        <w:spacing w:after="0" w:line="257" w:lineRule="auto"/>
        <w:rPr>
          <w:sz w:val="20"/>
          <w:szCs w:val="20"/>
          <w:color w:val="auto"/>
        </w:rPr>
      </w:pPr>
      <w:r>
        <w:rPr>
          <w:rFonts w:ascii="Times New Roman" w:cs="Times New Roman" w:eastAsia="Times New Roman" w:hAnsi="Times New Roman"/>
          <w:sz w:val="22"/>
          <w:szCs w:val="22"/>
          <w:color w:val="auto"/>
        </w:rPr>
        <w:t>that the maturity date of all or any portion thereof may not be extended (other than an extension of the maturity date by up to 30 days if the Joint Lead Arrangers agree to an extension of the time period to consummate the Intercompany Transactions pursuant to Section 6.25 of the Original Loan Agreement).</w:t>
      </w:r>
    </w:p>
    <w:p>
      <w:pPr>
        <w:spacing w:after="0" w:line="169" w:lineRule="exact"/>
        <w:rPr>
          <w:sz w:val="20"/>
          <w:szCs w:val="20"/>
          <w:color w:val="auto"/>
        </w:rPr>
      </w:pPr>
    </w:p>
    <w:p>
      <w:pPr>
        <w:ind w:right="10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Bridge Facility Administrative Agent</w:t>
      </w:r>
      <w:r>
        <w:rPr>
          <w:rFonts w:ascii="Times New Roman" w:cs="Times New Roman" w:eastAsia="Times New Roman" w:hAnsi="Times New Roman"/>
          <w:sz w:val="22"/>
          <w:szCs w:val="22"/>
          <w:color w:val="auto"/>
        </w:rPr>
        <w:t>” means JPMorgan Chase Bank, N.A., in its capacity as administrative agent under the Additional Bridge Facility.</w:t>
      </w:r>
    </w:p>
    <w:p>
      <w:pPr>
        <w:spacing w:after="0" w:line="150" w:lineRule="exact"/>
        <w:rPr>
          <w:sz w:val="20"/>
          <w:szCs w:val="20"/>
          <w:color w:val="auto"/>
        </w:rPr>
      </w:pPr>
    </w:p>
    <w:p>
      <w:pPr>
        <w:ind w:right="8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Bridge Loan Documents</w:t>
      </w:r>
      <w:r>
        <w:rPr>
          <w:rFonts w:ascii="Times New Roman" w:cs="Times New Roman" w:eastAsia="Times New Roman" w:hAnsi="Times New Roman"/>
          <w:sz w:val="22"/>
          <w:szCs w:val="22"/>
          <w:color w:val="auto"/>
        </w:rPr>
        <w:t>” means the “Loan Documents” (or comparable term) as defined in the Additional Bridge Agreement, as the same may be amended, supplemented, waived, otherwise modified from time to time, but in any event not extended, renewed, refinanced or replaced (other than an extension of the maturity date by up to 30 days if the Joint Lead Arrangers agree to an extension of the time period to consummate the Intercompany Transactions pursuant to Section 6.25 of the Original Loan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Lender</w:t>
      </w:r>
      <w:r>
        <w:rPr>
          <w:rFonts w:ascii="Times New Roman" w:cs="Times New Roman" w:eastAsia="Times New Roman" w:hAnsi="Times New Roman"/>
          <w:sz w:val="22"/>
          <w:szCs w:val="22"/>
          <w:color w:val="auto"/>
        </w:rPr>
        <w:t>” means any Additional Revolving Lender or any Additional Term Lender, as applicable.</w:t>
      </w:r>
    </w:p>
    <w:p>
      <w:pPr>
        <w:spacing w:after="0" w:line="220" w:lineRule="exact"/>
        <w:rPr>
          <w:sz w:val="20"/>
          <w:szCs w:val="20"/>
          <w:color w:val="auto"/>
        </w:rPr>
      </w:pPr>
    </w:p>
    <w:p>
      <w:pPr>
        <w:ind w:right="8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Revolving Lender</w:t>
      </w:r>
      <w:r>
        <w:rPr>
          <w:rFonts w:ascii="Times New Roman" w:cs="Times New Roman" w:eastAsia="Times New Roman" w:hAnsi="Times New Roman"/>
          <w:sz w:val="22"/>
          <w:szCs w:val="22"/>
          <w:color w:val="auto"/>
        </w:rPr>
        <w:t xml:space="preserve">” means, at any time, any bank or other financial institution that agrees to provide any portion of any Revolving Credit Commitment Increase or Incremental Revolving Credit Facility pursuant to an Incremental Amendment in accordance with Section 2.14;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relevant Persons under Section 10.10(b) (including those specified in the definition of “Eligible Assignee”) shall have consented to such Additional Revolving Lender’s providing such Commitment Increases, if such consent would be required under Section 10.10(b) for an assignment of Revolving Credit Commitments to such Additional Revolving Lender.</w:t>
      </w:r>
    </w:p>
    <w:p>
      <w:pPr>
        <w:spacing w:after="0" w:line="181" w:lineRule="exact"/>
        <w:rPr>
          <w:sz w:val="20"/>
          <w:szCs w:val="20"/>
          <w:color w:val="auto"/>
        </w:rPr>
      </w:pPr>
    </w:p>
    <w:p>
      <w:pPr>
        <w:ind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Term A-1 Commitment</w:t>
      </w:r>
      <w:r>
        <w:rPr>
          <w:rFonts w:ascii="Times New Roman" w:cs="Times New Roman" w:eastAsia="Times New Roman" w:hAnsi="Times New Roman"/>
          <w:sz w:val="22"/>
          <w:szCs w:val="22"/>
          <w:color w:val="auto"/>
        </w:rPr>
        <w:t xml:space="preserve">” means, with respect to an Additional Term A-1 Lender, the commitment of such Additional Term A-1 Lender to make an Additional Term A-1 Loan hereunder on the Amendment No. 7 Effective Date, in the amount set forth opposite such Lender’s name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to Amendment No. 7 and made a part hereof. The aggregate amount of the Additional Term A-1 Commitments of all Additional Term A-1 Lenders shall equal the outstanding aggregate principal amount of Non-Exchanged Term A Loans.</w:t>
      </w:r>
    </w:p>
    <w:p>
      <w:pPr>
        <w:spacing w:after="0" w:line="176" w:lineRule="exact"/>
        <w:rPr>
          <w:sz w:val="20"/>
          <w:szCs w:val="20"/>
          <w:color w:val="auto"/>
        </w:rPr>
      </w:pPr>
    </w:p>
    <w:p>
      <w:pPr>
        <w:ind w:right="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Term A-1 Lender</w:t>
      </w:r>
      <w:r>
        <w:rPr>
          <w:rFonts w:ascii="Times New Roman" w:cs="Times New Roman" w:eastAsia="Times New Roman" w:hAnsi="Times New Roman"/>
          <w:sz w:val="22"/>
          <w:szCs w:val="22"/>
          <w:color w:val="auto"/>
        </w:rPr>
        <w:t>” means a Person with an Additional Term A-1 Commitment to make Additional Term A-1 Loans to the Borrower on the Amendment No. 7 Effective Date.</w:t>
      </w:r>
    </w:p>
    <w:p>
      <w:pPr>
        <w:spacing w:after="0" w:line="150" w:lineRule="exact"/>
        <w:rPr>
          <w:sz w:val="20"/>
          <w:szCs w:val="20"/>
          <w:color w:val="auto"/>
        </w:rPr>
      </w:pPr>
    </w:p>
    <w:p>
      <w:pPr>
        <w:ind w:right="8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Term A-1 Loan</w:t>
      </w:r>
      <w:r>
        <w:rPr>
          <w:rFonts w:ascii="Times New Roman" w:cs="Times New Roman" w:eastAsia="Times New Roman" w:hAnsi="Times New Roman"/>
          <w:sz w:val="22"/>
          <w:szCs w:val="22"/>
          <w:color w:val="auto"/>
        </w:rPr>
        <w:t>” means a Loan that is made pursuant to Section 2.1(i) of this Agreement on the Amendment No. 7 Effective Date.</w:t>
      </w:r>
    </w:p>
    <w:p>
      <w:pPr>
        <w:spacing w:after="0" w:line="150" w:lineRule="exact"/>
        <w:rPr>
          <w:sz w:val="20"/>
          <w:szCs w:val="20"/>
          <w:color w:val="auto"/>
        </w:rPr>
      </w:pPr>
    </w:p>
    <w:p>
      <w:pPr>
        <w:ind w:right="5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Term Lender</w:t>
      </w:r>
      <w:r>
        <w:rPr>
          <w:rFonts w:ascii="Times New Roman" w:cs="Times New Roman" w:eastAsia="Times New Roman" w:hAnsi="Times New Roman"/>
          <w:sz w:val="22"/>
          <w:szCs w:val="22"/>
          <w:color w:val="auto"/>
        </w:rPr>
        <w:t>” means, at any time, any bank or other financial institution that agrees to provide any portion of any Term Commitment Increase or Incremental</w:t>
      </w:r>
    </w:p>
    <w:p>
      <w:pPr>
        <w:sectPr>
          <w:pgSz w:w="11900" w:h="16838" w:orient="portrait"/>
          <w:cols w:equalWidth="0" w:num="1">
            <w:col w:w="11400"/>
          </w:cols>
          <w:pgMar w:left="240" w:top="625" w:right="259" w:bottom="1440" w:gutter="0" w:footer="0" w:header="0"/>
        </w:sectPr>
      </w:pPr>
    </w:p>
    <w:bookmarkStart w:id="115" w:name="page116"/>
    <w:bookmarkEnd w:id="115"/>
    <w:p>
      <w:pPr>
        <w:ind w:right="100"/>
        <w:spacing w:after="0" w:line="254" w:lineRule="auto"/>
        <w:rPr>
          <w:sz w:val="20"/>
          <w:szCs w:val="20"/>
          <w:color w:val="auto"/>
        </w:rPr>
      </w:pPr>
      <w:r>
        <w:rPr>
          <w:rFonts w:ascii="Times New Roman" w:cs="Times New Roman" w:eastAsia="Times New Roman" w:hAnsi="Times New Roman"/>
          <w:sz w:val="22"/>
          <w:szCs w:val="22"/>
          <w:color w:val="auto"/>
        </w:rPr>
        <w:t xml:space="preserve">Term Loan pursuant to an Incremental Amendment in accordance with Section 2.14;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relevant Persons under Section 10.10(b) (including those specified in the definition of “Eligible Assignee”) shall have consented to such Additional Term Lender’s making such Incremental Term Loans, if such consent would be required under Section 10.10(b) for an assignment of Loans to such Additional Term Lender.</w:t>
      </w:r>
    </w:p>
    <w:p>
      <w:pPr>
        <w:spacing w:after="0" w:line="172" w:lineRule="exact"/>
        <w:rPr>
          <w:sz w:val="20"/>
          <w:szCs w:val="20"/>
          <w:color w:val="auto"/>
        </w:rPr>
      </w:pPr>
    </w:p>
    <w:p>
      <w:pPr>
        <w:ind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B-1 Commitment</w:t>
      </w:r>
      <w:r>
        <w:rPr>
          <w:rFonts w:ascii="Times New Roman" w:cs="Times New Roman" w:eastAsia="Times New Roman" w:hAnsi="Times New Roman"/>
          <w:sz w:val="22"/>
          <w:szCs w:val="22"/>
          <w:color w:val="auto"/>
        </w:rPr>
        <w:t>” means, with respect to an Additional U.S. Term B-1 Lender, the commitment of such Additional U.S. Term B-1 Lender to make an Additional U.S. Term B-1 Loan hereunder on the Amendment No. 1 Effective Date, in the amount set forth on the signature page of such Additional U.S. Term B-1 Lender to the Amendment No. 1 Joinder. The aggregate amount of the Additional U.S. Term B-1 Commitments of all Additional U.S. Term B-1 Lenders shall equal the outstanding aggregate principal amount of Non-Exchanged U.S. Term B Loans.</w:t>
      </w:r>
    </w:p>
    <w:p>
      <w:pPr>
        <w:spacing w:after="0" w:line="176" w:lineRule="exact"/>
        <w:rPr>
          <w:sz w:val="20"/>
          <w:szCs w:val="20"/>
          <w:color w:val="auto"/>
        </w:rPr>
      </w:pPr>
    </w:p>
    <w:p>
      <w:pPr>
        <w:ind w:right="66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B-1 Lender</w:t>
      </w:r>
      <w:r>
        <w:rPr>
          <w:rFonts w:ascii="Times New Roman" w:cs="Times New Roman" w:eastAsia="Times New Roman" w:hAnsi="Times New Roman"/>
          <w:sz w:val="22"/>
          <w:szCs w:val="22"/>
          <w:color w:val="auto"/>
        </w:rPr>
        <w:t>” means a Person with an Additional U.S. Term B-1 Commitment to make Additional U.S. Term B-1 Loans to the Borrower on the Amendment No. 1 Effective Date.</w:t>
      </w:r>
    </w:p>
    <w:p>
      <w:pPr>
        <w:spacing w:after="0" w:line="150" w:lineRule="exact"/>
        <w:rPr>
          <w:sz w:val="20"/>
          <w:szCs w:val="20"/>
          <w:color w:val="auto"/>
        </w:rPr>
      </w:pPr>
    </w:p>
    <w:p>
      <w:pPr>
        <w:ind w:right="1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B-1 Loan</w:t>
      </w:r>
      <w:r>
        <w:rPr>
          <w:rFonts w:ascii="Times New Roman" w:cs="Times New Roman" w:eastAsia="Times New Roman" w:hAnsi="Times New Roman"/>
          <w:sz w:val="22"/>
          <w:szCs w:val="22"/>
          <w:color w:val="auto"/>
        </w:rPr>
        <w:t>” means a Loan that was made pursuant to Section 2.1(d) of this Agreement on the Amendment No. 1 Effective Date.</w:t>
      </w:r>
    </w:p>
    <w:p>
      <w:pPr>
        <w:spacing w:after="0" w:line="150" w:lineRule="exact"/>
        <w:rPr>
          <w:sz w:val="20"/>
          <w:szCs w:val="20"/>
          <w:color w:val="auto"/>
        </w:rPr>
      </w:pPr>
    </w:p>
    <w:p>
      <w:pPr>
        <w:ind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B-2 Commitment</w:t>
      </w:r>
      <w:r>
        <w:rPr>
          <w:rFonts w:ascii="Times New Roman" w:cs="Times New Roman" w:eastAsia="Times New Roman" w:hAnsi="Times New Roman"/>
          <w:sz w:val="22"/>
          <w:szCs w:val="22"/>
          <w:color w:val="auto"/>
        </w:rPr>
        <w:t>” means, with respect to an Additional U.S. Term B-2 Lender, the commitment of such Additional U.S. Term B-2 Lender to make an Additional U.S. Term B-2 Loan hereunder on the Amendment No. 3 Effective Date, in the amount set forth on the signature page of such Additional U.S. Term B-2 Lender to the Amendment No. 3 Joinder. The aggregate amount of the Additional U.S. Term B-2 Commitments of all Additional U.S. Term B-2 Lenders shall equal the outstanding aggregate principal amount of Non-Exchanged U.S. Term B-1 Loans.</w:t>
      </w:r>
    </w:p>
    <w:p>
      <w:pPr>
        <w:spacing w:after="0" w:line="176" w:lineRule="exact"/>
        <w:rPr>
          <w:sz w:val="20"/>
          <w:szCs w:val="20"/>
          <w:color w:val="auto"/>
        </w:rPr>
      </w:pPr>
    </w:p>
    <w:p>
      <w:pPr>
        <w:ind w:right="66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B-2 Lender</w:t>
      </w:r>
      <w:r>
        <w:rPr>
          <w:rFonts w:ascii="Times New Roman" w:cs="Times New Roman" w:eastAsia="Times New Roman" w:hAnsi="Times New Roman"/>
          <w:sz w:val="22"/>
          <w:szCs w:val="22"/>
          <w:color w:val="auto"/>
        </w:rPr>
        <w:t>” means a Person with an Additional U.S. Term B-2 Commitment to make Additional U.S. Term B-2 Loans to the Borrower on the Amendment No. 3 Effective Date.</w:t>
      </w:r>
    </w:p>
    <w:p>
      <w:pPr>
        <w:spacing w:after="0" w:line="150" w:lineRule="exact"/>
        <w:rPr>
          <w:sz w:val="20"/>
          <w:szCs w:val="20"/>
          <w:color w:val="auto"/>
        </w:rPr>
      </w:pPr>
    </w:p>
    <w:p>
      <w:pPr>
        <w:ind w:right="1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B-2 Loan</w:t>
      </w:r>
      <w:r>
        <w:rPr>
          <w:rFonts w:ascii="Times New Roman" w:cs="Times New Roman" w:eastAsia="Times New Roman" w:hAnsi="Times New Roman"/>
          <w:sz w:val="22"/>
          <w:szCs w:val="22"/>
          <w:color w:val="auto"/>
        </w:rPr>
        <w:t>” means a Loan that was made pursuant to Section 2.1(d) of this Agreement on the Amendment No. 3 Effective Date.</w:t>
      </w:r>
    </w:p>
    <w:p>
      <w:pPr>
        <w:spacing w:after="0" w:line="150" w:lineRule="exact"/>
        <w:rPr>
          <w:sz w:val="20"/>
          <w:szCs w:val="20"/>
          <w:color w:val="auto"/>
        </w:rPr>
      </w:pPr>
    </w:p>
    <w:p>
      <w:pPr>
        <w:ind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B-3 Commitment</w:t>
      </w:r>
      <w:r>
        <w:rPr>
          <w:rFonts w:ascii="Times New Roman" w:cs="Times New Roman" w:eastAsia="Times New Roman" w:hAnsi="Times New Roman"/>
          <w:sz w:val="22"/>
          <w:szCs w:val="22"/>
          <w:color w:val="auto"/>
        </w:rPr>
        <w:t>” means, with respect to an Additional U.S. Term B-3 Lender, the commitment of such Additional U.S. Term B-3 Lender to make an Additional U.S. Term B-3 Loan hereunder on the Amendment No. 5 Effective Date, in the amount set forth on the signature page of such Additional U.S. Term B-3 Lender to the Amendment No. 5 Joinder. The aggregate amount of the Additional U.S. Term B-3 Commitments of all Additional U.S. Term B-3 Lenders shall equal the outstanding aggregate principal amount of Non-Exchanged U.S. Term B-2 Loans.</w:t>
      </w:r>
    </w:p>
    <w:p>
      <w:pPr>
        <w:sectPr>
          <w:pgSz w:w="11900" w:h="16838" w:orient="portrait"/>
          <w:cols w:equalWidth="0" w:num="1">
            <w:col w:w="11360"/>
          </w:cols>
          <w:pgMar w:left="240" w:top="621" w:right="299" w:bottom="1440" w:gutter="0" w:footer="0" w:header="0"/>
        </w:sectPr>
      </w:pPr>
    </w:p>
    <w:bookmarkStart w:id="116" w:name="page117"/>
    <w:bookmarkEnd w:id="116"/>
    <w:p>
      <w:pPr>
        <w:ind w:right="7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B-3 Lender</w:t>
      </w:r>
      <w:r>
        <w:rPr>
          <w:rFonts w:ascii="Times New Roman" w:cs="Times New Roman" w:eastAsia="Times New Roman" w:hAnsi="Times New Roman"/>
          <w:sz w:val="22"/>
          <w:szCs w:val="22"/>
          <w:color w:val="auto"/>
        </w:rPr>
        <w:t>” means a Person with an Additional U.S. Term B-3 Commitment to make Additional U.S. Term B-3 Loans to the Borrower on the Amendment No. 5 Effective Date.</w:t>
      </w:r>
    </w:p>
    <w:p>
      <w:pPr>
        <w:spacing w:after="0" w:line="150" w:lineRule="exact"/>
        <w:rPr>
          <w:sz w:val="20"/>
          <w:szCs w:val="20"/>
          <w:color w:val="auto"/>
        </w:rPr>
      </w:pPr>
    </w:p>
    <w:p>
      <w:pPr>
        <w:ind w:right="1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B-3 Loan</w:t>
      </w:r>
      <w:r>
        <w:rPr>
          <w:rFonts w:ascii="Times New Roman" w:cs="Times New Roman" w:eastAsia="Times New Roman" w:hAnsi="Times New Roman"/>
          <w:sz w:val="22"/>
          <w:szCs w:val="22"/>
          <w:color w:val="auto"/>
        </w:rPr>
        <w:t>” means a Loan that was made pursuant to Section 2.1(d) of this Agreement on the Amendment No. 5 Effective Date.</w:t>
      </w:r>
    </w:p>
    <w:p>
      <w:pPr>
        <w:spacing w:after="0" w:line="150" w:lineRule="exact"/>
        <w:rPr>
          <w:sz w:val="20"/>
          <w:szCs w:val="20"/>
          <w:color w:val="auto"/>
        </w:rPr>
      </w:pPr>
    </w:p>
    <w:p>
      <w:pPr>
        <w:ind w:right="8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B-4 Commitment</w:t>
      </w:r>
      <w:r>
        <w:rPr>
          <w:rFonts w:ascii="Times New Roman" w:cs="Times New Roman" w:eastAsia="Times New Roman" w:hAnsi="Times New Roman"/>
          <w:sz w:val="22"/>
          <w:szCs w:val="22"/>
          <w:color w:val="auto"/>
        </w:rPr>
        <w:t>” means, with respect to an Additional U.S. Term B-4 Lender, the commitment of such Additional U.S. Term B-4 Lender to make an Additional U.S. Term B-4 Loan hereunder on the Amendment No. 8 Effective Date, in the amount set forth on the signature page of such Additional Term B-4 Lender to the Amendment No. 8 Joinder. The aggregate amount of the Additional U.S. Term B-4 Commitments of all Additional U.S. Term B-4 Lenders shall equal the outstanding aggregate principal amount of Non-Exchanged U.S. Term B-3 Loans.</w:t>
      </w:r>
    </w:p>
    <w:p>
      <w:pPr>
        <w:spacing w:after="0" w:line="176" w:lineRule="exact"/>
        <w:rPr>
          <w:sz w:val="20"/>
          <w:szCs w:val="20"/>
          <w:color w:val="auto"/>
        </w:rPr>
      </w:pPr>
    </w:p>
    <w:p>
      <w:pPr>
        <w:ind w:right="7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B-4 Lender</w:t>
      </w:r>
      <w:r>
        <w:rPr>
          <w:rFonts w:ascii="Times New Roman" w:cs="Times New Roman" w:eastAsia="Times New Roman" w:hAnsi="Times New Roman"/>
          <w:sz w:val="22"/>
          <w:szCs w:val="22"/>
          <w:color w:val="auto"/>
        </w:rPr>
        <w:t>” means a Person with an Additional U.S. Term B-4 Commitment to make Additional U.S. Term B-4 Loans to the Borrower on the Amendment No. 8 Effective Date.</w:t>
      </w:r>
    </w:p>
    <w:p>
      <w:pPr>
        <w:spacing w:after="0" w:line="150" w:lineRule="exact"/>
        <w:rPr>
          <w:sz w:val="20"/>
          <w:szCs w:val="20"/>
          <w:color w:val="auto"/>
        </w:rPr>
      </w:pPr>
    </w:p>
    <w:p>
      <w:pPr>
        <w:ind w:right="2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U.S. Term B-4 Loan</w:t>
      </w:r>
      <w:r>
        <w:rPr>
          <w:rFonts w:ascii="Times New Roman" w:cs="Times New Roman" w:eastAsia="Times New Roman" w:hAnsi="Times New Roman"/>
          <w:sz w:val="22"/>
          <w:szCs w:val="22"/>
          <w:color w:val="auto"/>
        </w:rPr>
        <w:t>” means a Loan that is made pursuant to Section 2.1(d) of the Loan Agreement on the Amendment No. 8 Effective Date.</w:t>
      </w:r>
    </w:p>
    <w:p>
      <w:pPr>
        <w:spacing w:after="0" w:line="150"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Adjusted LIBOR</w:t>
      </w:r>
      <w:r>
        <w:rPr>
          <w:rFonts w:ascii="Times New Roman" w:cs="Times New Roman" w:eastAsia="Times New Roman" w:hAnsi="Times New Roman"/>
          <w:sz w:val="22"/>
          <w:szCs w:val="22"/>
          <w:color w:val="auto"/>
        </w:rPr>
        <w:t>” means, for any Borrowing of Term A-1 Loans, Revolving Loans that are Eurodollar Loans or Term B Loans that are Eurodollar Loans, a rate per annum equal to the greater of (i) 0% and (ii) the quotient of (A) LIBOR, divided by (B) one (1) minus the Reserve Percentage.</w:t>
      </w:r>
    </w:p>
    <w:p>
      <w:pPr>
        <w:spacing w:after="0" w:line="167" w:lineRule="exact"/>
        <w:rPr>
          <w:sz w:val="20"/>
          <w:szCs w:val="20"/>
          <w:color w:val="auto"/>
        </w:rPr>
      </w:pPr>
    </w:p>
    <w:p>
      <w:pPr>
        <w:ind w:right="80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Administrative Agent</w:t>
      </w:r>
      <w:r>
        <w:rPr>
          <w:rFonts w:ascii="Times New Roman" w:cs="Times New Roman" w:eastAsia="Times New Roman" w:hAnsi="Times New Roman"/>
          <w:sz w:val="21"/>
          <w:szCs w:val="21"/>
          <w:color w:val="auto"/>
        </w:rPr>
        <w:t>” means JPMorgan Chase Bank, N.A. and its affiliates (including J.P. Morgan Europe Limited), as contractual representative for itself and the other Lenders and any successor pursuant to Section 9.7 hereof.</w:t>
      </w:r>
    </w:p>
    <w:p>
      <w:pPr>
        <w:spacing w:after="0" w:line="128" w:lineRule="exact"/>
        <w:rPr>
          <w:sz w:val="20"/>
          <w:szCs w:val="20"/>
          <w:color w:val="auto"/>
        </w:rPr>
      </w:pPr>
    </w:p>
    <w:p>
      <w:pPr>
        <w:ind w:right="5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Questionnaire</w:t>
      </w:r>
      <w:r>
        <w:rPr>
          <w:rFonts w:ascii="Times New Roman" w:cs="Times New Roman" w:eastAsia="Times New Roman" w:hAnsi="Times New Roman"/>
          <w:sz w:val="22"/>
          <w:szCs w:val="22"/>
          <w:color w:val="auto"/>
        </w:rPr>
        <w:t>” means, with respect to each Lender, an Administrative Questionnaire in a form supplied by the Administrative Agent and duly completed by such Lender.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Affected Lender</w:t>
      </w:r>
      <w:r>
        <w:rPr>
          <w:rFonts w:ascii="Times New Roman" w:cs="Times New Roman" w:eastAsia="Times New Roman" w:hAnsi="Times New Roman"/>
          <w:sz w:val="22"/>
          <w:szCs w:val="22"/>
          <w:color w:val="auto"/>
        </w:rPr>
        <w:t>” is defined in Section 8.5 hereof.</w:t>
      </w:r>
    </w:p>
    <w:p>
      <w:pPr>
        <w:spacing w:after="0" w:line="220" w:lineRule="exact"/>
        <w:rPr>
          <w:sz w:val="20"/>
          <w:szCs w:val="20"/>
          <w:color w:val="auto"/>
        </w:rPr>
      </w:pPr>
    </w:p>
    <w:p>
      <w:pPr>
        <w:ind w:right="16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any Person directly or indirectly controlling or controlled by, or under direct or indirect common control with, another Person. A Person shall be deemed to control another Person for the purposes of this definition if such Person possesses, directly or indirectly, the power to direct, or cause the direction of, the management and policies of the other Person, whether through the ownership of voting securities, by contract or otherwise.</w:t>
      </w:r>
    </w:p>
    <w:p>
      <w:pPr>
        <w:sectPr>
          <w:pgSz w:w="11900" w:h="16838" w:orient="portrait"/>
          <w:cols w:equalWidth="0" w:num="1">
            <w:col w:w="11420"/>
          </w:cols>
          <w:pgMar w:left="240" w:top="621" w:right="239" w:bottom="1440" w:gutter="0" w:footer="0" w:header="0"/>
        </w:sectPr>
      </w:pPr>
    </w:p>
    <w:bookmarkStart w:id="117" w:name="page118"/>
    <w:bookmarkEnd w:id="117"/>
    <w:p>
      <w:pPr>
        <w:ind w:right="16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 means the Administrative Agent, the Collateral Agent, any Co-Syndication Agent, any Co-Documentation Agent or any Senior Managing Agent, as applicable.</w:t>
      </w:r>
    </w:p>
    <w:p>
      <w:pPr>
        <w:spacing w:after="0" w:line="150"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means this Loan Agreement, as the same may be amended, modified, restated, amended and restated or supplemented from time to time pursuant to the terms hereof.</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1</w:t>
      </w:r>
      <w:r>
        <w:rPr>
          <w:rFonts w:ascii="Times New Roman" w:cs="Times New Roman" w:eastAsia="Times New Roman" w:hAnsi="Times New Roman"/>
          <w:sz w:val="22"/>
          <w:szCs w:val="22"/>
          <w:color w:val="auto"/>
        </w:rPr>
        <w:t>” means Amendment No. 1 to the Loan Agreement dated as of the Amendment No. 1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right="26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1 Effective Date</w:t>
      </w:r>
      <w:r>
        <w:rPr>
          <w:rFonts w:ascii="Times New Roman" w:cs="Times New Roman" w:eastAsia="Times New Roman" w:hAnsi="Times New Roman"/>
          <w:sz w:val="22"/>
          <w:szCs w:val="22"/>
          <w:color w:val="auto"/>
        </w:rPr>
        <w:t>” means August 17, 2016, the date on which all conditions precedent set forth in Section 3 of Amendment No. 1 are satisfied.</w:t>
      </w:r>
    </w:p>
    <w:p>
      <w:pPr>
        <w:spacing w:after="0" w:line="150" w:lineRule="exact"/>
        <w:rPr>
          <w:sz w:val="20"/>
          <w:szCs w:val="20"/>
          <w:color w:val="auto"/>
        </w:rPr>
      </w:pPr>
    </w:p>
    <w:p>
      <w:pPr>
        <w:ind w:right="1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1 Joinder</w:t>
      </w:r>
      <w:r>
        <w:rPr>
          <w:rFonts w:ascii="Times New Roman" w:cs="Times New Roman" w:eastAsia="Times New Roman" w:hAnsi="Times New Roman"/>
          <w:sz w:val="22"/>
          <w:szCs w:val="22"/>
          <w:color w:val="auto"/>
        </w:rPr>
        <w:t>” means the Joinder Agreement dated as of the Amendment No. 1 Effective Date among the Borrower, the Administrative Agent and each Additional U.S. Term B-1 Lender.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2</w:t>
      </w:r>
      <w:r>
        <w:rPr>
          <w:rFonts w:ascii="Times New Roman" w:cs="Times New Roman" w:eastAsia="Times New Roman" w:hAnsi="Times New Roman"/>
          <w:sz w:val="22"/>
          <w:szCs w:val="22"/>
          <w:color w:val="auto"/>
        </w:rPr>
        <w:t>” means Amendment No. 2 to the Loan Agreement dated as of the Amendment No. 2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right="1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2 Effective Date</w:t>
      </w:r>
      <w:r>
        <w:rPr>
          <w:rFonts w:ascii="Times New Roman" w:cs="Times New Roman" w:eastAsia="Times New Roman" w:hAnsi="Times New Roman"/>
          <w:sz w:val="22"/>
          <w:szCs w:val="22"/>
          <w:color w:val="auto"/>
        </w:rPr>
        <w:t>” means September 22, 2016, the date on which all conditions precedent set forth in Section 3 of Amendment No. 2 are satisfied.</w:t>
      </w:r>
    </w:p>
    <w:p>
      <w:pPr>
        <w:spacing w:after="0" w:line="150" w:lineRule="exact"/>
        <w:rPr>
          <w:sz w:val="20"/>
          <w:szCs w:val="20"/>
          <w:color w:val="auto"/>
        </w:rPr>
      </w:pPr>
    </w:p>
    <w:p>
      <w:pPr>
        <w:ind w:right="1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2 Joinder</w:t>
      </w:r>
      <w:r>
        <w:rPr>
          <w:rFonts w:ascii="Times New Roman" w:cs="Times New Roman" w:eastAsia="Times New Roman" w:hAnsi="Times New Roman"/>
          <w:sz w:val="22"/>
          <w:szCs w:val="22"/>
          <w:color w:val="auto"/>
        </w:rPr>
        <w:t>” means the Joinder Agreement dated as of the Amendment No. 2 Effective Date among the Borrower, the Administrative Agent and each Additional Euro Term B-1 Lender (as defined therein).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3</w:t>
      </w:r>
      <w:r>
        <w:rPr>
          <w:rFonts w:ascii="Times New Roman" w:cs="Times New Roman" w:eastAsia="Times New Roman" w:hAnsi="Times New Roman"/>
          <w:sz w:val="22"/>
          <w:szCs w:val="22"/>
          <w:color w:val="auto"/>
        </w:rPr>
        <w:t>” means Amendment No. 3 to the Loan Agreement dated as of the Amendment No. 3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right="3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3 Effective Date</w:t>
      </w:r>
      <w:r>
        <w:rPr>
          <w:rFonts w:ascii="Times New Roman" w:cs="Times New Roman" w:eastAsia="Times New Roman" w:hAnsi="Times New Roman"/>
          <w:sz w:val="22"/>
          <w:szCs w:val="22"/>
          <w:color w:val="auto"/>
        </w:rPr>
        <w:t>” means March 14, 2017, the date on which all conditions precedent set forth in Section 3 of Amendment No. 3 are satisfied.</w:t>
      </w:r>
    </w:p>
    <w:p>
      <w:pPr>
        <w:spacing w:after="0" w:line="150" w:lineRule="exact"/>
        <w:rPr>
          <w:sz w:val="20"/>
          <w:szCs w:val="20"/>
          <w:color w:val="auto"/>
        </w:rPr>
      </w:pPr>
    </w:p>
    <w:p>
      <w:pPr>
        <w:ind w:right="1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3 Joinder</w:t>
      </w:r>
      <w:r>
        <w:rPr>
          <w:rFonts w:ascii="Times New Roman" w:cs="Times New Roman" w:eastAsia="Times New Roman" w:hAnsi="Times New Roman"/>
          <w:sz w:val="22"/>
          <w:szCs w:val="22"/>
          <w:color w:val="auto"/>
        </w:rPr>
        <w:t>” means the Joinder Agreement dated as of the Amendment No. 3 Effective Date among the Borrower, the Administrative Agent and each Additional U.S. Term B-2 Lender.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4</w:t>
      </w:r>
      <w:r>
        <w:rPr>
          <w:rFonts w:ascii="Times New Roman" w:cs="Times New Roman" w:eastAsia="Times New Roman" w:hAnsi="Times New Roman"/>
          <w:sz w:val="22"/>
          <w:szCs w:val="22"/>
          <w:color w:val="auto"/>
        </w:rPr>
        <w:t>” means Amendment No. 4 to the Loan Agreement dated as of the Amendment No. 4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right="3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4 Effective Date</w:t>
      </w:r>
      <w:r>
        <w:rPr>
          <w:rFonts w:ascii="Times New Roman" w:cs="Times New Roman" w:eastAsia="Times New Roman" w:hAnsi="Times New Roman"/>
          <w:sz w:val="22"/>
          <w:szCs w:val="22"/>
          <w:color w:val="auto"/>
        </w:rPr>
        <w:t>” means March 23, 2017, the date on which all conditions precedent set forth in Section 3 of Amendment No. 4 are satisfied.</w:t>
      </w:r>
    </w:p>
    <w:p>
      <w:pPr>
        <w:sectPr>
          <w:pgSz w:w="11900" w:h="16838" w:orient="portrait"/>
          <w:cols w:equalWidth="0" w:num="1">
            <w:col w:w="11420"/>
          </w:cols>
          <w:pgMar w:left="240" w:top="621" w:right="239" w:bottom="1440" w:gutter="0" w:footer="0" w:header="0"/>
        </w:sectPr>
      </w:pPr>
    </w:p>
    <w:bookmarkStart w:id="118" w:name="page119"/>
    <w:bookmarkEnd w:id="118"/>
    <w:p>
      <w:pPr>
        <w:ind w:right="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4 Joinder</w:t>
      </w:r>
      <w:r>
        <w:rPr>
          <w:rFonts w:ascii="Times New Roman" w:cs="Times New Roman" w:eastAsia="Times New Roman" w:hAnsi="Times New Roman"/>
          <w:sz w:val="22"/>
          <w:szCs w:val="22"/>
          <w:color w:val="auto"/>
        </w:rPr>
        <w:t>” means the Joinder Agreement dated as of the Amendment No. 4 Effective Date among the Borrower, the Administrative Agent and each Additional Euro Term B-2 Lender (as defined therein).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5</w:t>
      </w:r>
      <w:r>
        <w:rPr>
          <w:rFonts w:ascii="Times New Roman" w:cs="Times New Roman" w:eastAsia="Times New Roman" w:hAnsi="Times New Roman"/>
          <w:sz w:val="22"/>
          <w:szCs w:val="22"/>
          <w:color w:val="auto"/>
        </w:rPr>
        <w:t>” means Amendment No. 5 to the Loan Agreement dated as of the Amendment No. 5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5 Effective Date</w:t>
      </w:r>
      <w:r>
        <w:rPr>
          <w:rFonts w:ascii="Times New Roman" w:cs="Times New Roman" w:eastAsia="Times New Roman" w:hAnsi="Times New Roman"/>
          <w:sz w:val="22"/>
          <w:szCs w:val="22"/>
          <w:color w:val="auto"/>
        </w:rPr>
        <w:t>” means November 8, 2017, the date on which all conditions precedent set forth in Section 3 of Amendment No. 5 are satisfied.</w:t>
      </w:r>
    </w:p>
    <w:p>
      <w:pPr>
        <w:spacing w:after="0" w:line="150" w:lineRule="exact"/>
        <w:rPr>
          <w:sz w:val="20"/>
          <w:szCs w:val="20"/>
          <w:color w:val="auto"/>
        </w:rPr>
      </w:pPr>
    </w:p>
    <w:p>
      <w:pPr>
        <w:ind w:right="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5 Joinder</w:t>
      </w:r>
      <w:r>
        <w:rPr>
          <w:rFonts w:ascii="Times New Roman" w:cs="Times New Roman" w:eastAsia="Times New Roman" w:hAnsi="Times New Roman"/>
          <w:sz w:val="22"/>
          <w:szCs w:val="22"/>
          <w:color w:val="auto"/>
        </w:rPr>
        <w:t>” means the Joinder Agreement dated as of the Amendment No. 5 Effective Date among the Borrower, the Administrative Agent and each Additional U.S. Term B-3 Lender.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6</w:t>
      </w:r>
      <w:r>
        <w:rPr>
          <w:rFonts w:ascii="Times New Roman" w:cs="Times New Roman" w:eastAsia="Times New Roman" w:hAnsi="Times New Roman"/>
          <w:sz w:val="22"/>
          <w:szCs w:val="22"/>
          <w:color w:val="auto"/>
        </w:rPr>
        <w:t>” means Amendment No. 6 to the Loan Agreement dated as of the Amendment No. 6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right="1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6 Effective Date</w:t>
      </w:r>
      <w:r>
        <w:rPr>
          <w:rFonts w:ascii="Times New Roman" w:cs="Times New Roman" w:eastAsia="Times New Roman" w:hAnsi="Times New Roman"/>
          <w:sz w:val="22"/>
          <w:szCs w:val="22"/>
          <w:color w:val="auto"/>
        </w:rPr>
        <w:t>” means November 29, 2017, the date on which all conditions precedent set forth in Section 5 of Amendment No. 6 are satisfied.</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7</w:t>
      </w:r>
      <w:r>
        <w:rPr>
          <w:rFonts w:ascii="Times New Roman" w:cs="Times New Roman" w:eastAsia="Times New Roman" w:hAnsi="Times New Roman"/>
          <w:sz w:val="22"/>
          <w:szCs w:val="22"/>
          <w:color w:val="auto"/>
        </w:rPr>
        <w:t>” means Amendment No. 7 to the Loan Agreement dated as of the Amendment No. 7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right="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7 Effective Date</w:t>
      </w:r>
      <w:r>
        <w:rPr>
          <w:rFonts w:ascii="Times New Roman" w:cs="Times New Roman" w:eastAsia="Times New Roman" w:hAnsi="Times New Roman"/>
          <w:sz w:val="22"/>
          <w:szCs w:val="22"/>
          <w:color w:val="auto"/>
        </w:rPr>
        <w:t>” means February 27, 2018, the date on which all conditions precedent set forth in Section 8 of Amendment No. 7 are satisfied.</w:t>
      </w:r>
    </w:p>
    <w:p>
      <w:pPr>
        <w:spacing w:after="0" w:line="150" w:lineRule="exact"/>
        <w:rPr>
          <w:sz w:val="20"/>
          <w:szCs w:val="20"/>
          <w:color w:val="auto"/>
        </w:rPr>
      </w:pPr>
    </w:p>
    <w:p>
      <w:pPr>
        <w:ind w:right="8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7 Transactions</w:t>
      </w:r>
      <w:r>
        <w:rPr>
          <w:rFonts w:ascii="Times New Roman" w:cs="Times New Roman" w:eastAsia="Times New Roman" w:hAnsi="Times New Roman"/>
          <w:sz w:val="22"/>
          <w:szCs w:val="22"/>
          <w:color w:val="auto"/>
        </w:rPr>
        <w:t>” means, collectively, (a) the transactions contemplated by this Agreement and the other Loan Documents (including Amendment No. 7), (b) the defeasance, repayment, redemption, purchase, repurchase or discharge of the Senior Notes, (c) the entry into the 2026 Senior Unsecured Notes Documents and the offering and issuance of the 2026 Senior Unsecured Notes, (d) the entry into the 2024 Convertible Notes Documents and the offering and issuance of the 2024 Convertible Notes and (e) the payment of fees and expenses in connection with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8</w:t>
      </w:r>
      <w:r>
        <w:rPr>
          <w:rFonts w:ascii="Times New Roman" w:cs="Times New Roman" w:eastAsia="Times New Roman" w:hAnsi="Times New Roman"/>
          <w:sz w:val="22"/>
          <w:szCs w:val="22"/>
          <w:color w:val="auto"/>
        </w:rPr>
        <w:t>” means Amendment No. 8 to the Loan Agreement dated as of the Amendment No. 8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right="4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8 Effective Date</w:t>
      </w:r>
      <w:r>
        <w:rPr>
          <w:rFonts w:ascii="Times New Roman" w:cs="Times New Roman" w:eastAsia="Times New Roman" w:hAnsi="Times New Roman"/>
          <w:sz w:val="22"/>
          <w:szCs w:val="22"/>
          <w:color w:val="auto"/>
        </w:rPr>
        <w:t>” means May 15, 2018, the date on which all conditions precedent set forth in Section 3 of Amendment No. 8 are satisfied.</w:t>
      </w:r>
    </w:p>
    <w:p>
      <w:pPr>
        <w:spacing w:after="0" w:line="150" w:lineRule="exact"/>
        <w:rPr>
          <w:sz w:val="20"/>
          <w:szCs w:val="20"/>
          <w:color w:val="auto"/>
        </w:rPr>
      </w:pPr>
    </w:p>
    <w:p>
      <w:pPr>
        <w:ind w:right="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8 Joinder</w:t>
      </w:r>
      <w:r>
        <w:rPr>
          <w:rFonts w:ascii="Times New Roman" w:cs="Times New Roman" w:eastAsia="Times New Roman" w:hAnsi="Times New Roman"/>
          <w:sz w:val="22"/>
          <w:szCs w:val="22"/>
          <w:color w:val="auto"/>
        </w:rPr>
        <w:t>” means the Joinder Agreement dated as of the Amendment No. 8 Effective Date among the Borrower, the Administrative Agent and each Additional U.S. Term B-4 Lender.</w:t>
      </w:r>
    </w:p>
    <w:p>
      <w:pPr>
        <w:sectPr>
          <w:pgSz w:w="11900" w:h="16838" w:orient="portrait"/>
          <w:cols w:equalWidth="0" w:num="1">
            <w:col w:w="11340"/>
          </w:cols>
          <w:pgMar w:left="240" w:top="621" w:right="319" w:bottom="1440" w:gutter="0" w:footer="0" w:header="0"/>
        </w:sectPr>
      </w:pPr>
    </w:p>
    <w:bookmarkStart w:id="119" w:name="page120"/>
    <w:bookmarkEnd w:id="11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9</w:t>
      </w:r>
      <w:r>
        <w:rPr>
          <w:rFonts w:ascii="Times New Roman" w:cs="Times New Roman" w:eastAsia="Times New Roman" w:hAnsi="Times New Roman"/>
          <w:sz w:val="22"/>
          <w:szCs w:val="22"/>
          <w:color w:val="auto"/>
        </w:rPr>
        <w:t>” means Amendment No. 9 to the Loan Agreement dated as of the Amendment No. 9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right="4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9 Effective Date</w:t>
      </w:r>
      <w:r>
        <w:rPr>
          <w:rFonts w:ascii="Times New Roman" w:cs="Times New Roman" w:eastAsia="Times New Roman" w:hAnsi="Times New Roman"/>
          <w:sz w:val="22"/>
          <w:szCs w:val="22"/>
          <w:color w:val="auto"/>
        </w:rPr>
        <w:t>” means April 29, 2019, the date on which all conditions precedent set forth in Section 3 of Amendment No. 9 are satisfied.</w:t>
      </w:r>
    </w:p>
    <w:p>
      <w:pPr>
        <w:spacing w:after="0" w:line="150" w:lineRule="exact"/>
        <w:rPr>
          <w:sz w:val="20"/>
          <w:szCs w:val="20"/>
          <w:color w:val="auto"/>
        </w:rPr>
      </w:pPr>
    </w:p>
    <w:p>
      <w:pPr>
        <w:ind w:right="18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Anti-Corruption Laws</w:t>
      </w:r>
      <w:r>
        <w:rPr>
          <w:rFonts w:ascii="Times New Roman" w:cs="Times New Roman" w:eastAsia="Times New Roman" w:hAnsi="Times New Roman"/>
          <w:sz w:val="22"/>
          <w:szCs w:val="22"/>
          <w:color w:val="auto"/>
        </w:rPr>
        <w:t>” means all laws, rules and regulations of any jurisdiction, including, without limitation, the United States Foreign Corrupt Practices Act of 1977, as amended, and the UK Bribery Act, as amended, applicable to the Borrower, the Borrower’s Subsidiaries or any Guarantor from time to time concerning or relating to bribery or corruption.</w:t>
      </w:r>
    </w:p>
    <w:p>
      <w:pPr>
        <w:spacing w:after="0" w:line="167" w:lineRule="exact"/>
        <w:rPr>
          <w:sz w:val="20"/>
          <w:szCs w:val="20"/>
          <w:color w:val="auto"/>
        </w:rPr>
      </w:pPr>
    </w:p>
    <w:p>
      <w:pPr>
        <w:ind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Laws</w:t>
      </w:r>
      <w:r>
        <w:rPr>
          <w:rFonts w:ascii="Times New Roman" w:cs="Times New Roman" w:eastAsia="Times New Roman" w:hAnsi="Times New Roman"/>
          <w:sz w:val="22"/>
          <w:szCs w:val="22"/>
          <w:color w:val="auto"/>
        </w:rPr>
        <w:t>” means, as to any Person, any law (including common law), statute, regulation, ordinance, rule, order, decree, judgment, consent decree, writ, injunction, settlement agreement or governmental requirement enacted, promulgated or imposed or entered into or agreed by any Governmental Authority, in each case applicable to or binding on such Person or any of its property or assets or to which such Person or any of its property or assets is subject.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Margin</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ind w:left="660" w:right="80" w:firstLine="645"/>
        <w:spacing w:after="0" w:line="271" w:lineRule="auto"/>
        <w:tabs>
          <w:tab w:leader="none" w:pos="176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U.S. Term B-4 Loan, (i) 1.75% per annum, in the case of a Eurodollar Loan, and (ii) 0.75% per annum, in the case of a Base Rate Loan;</w:t>
      </w:r>
    </w:p>
    <w:p>
      <w:pPr>
        <w:spacing w:after="0" w:line="157"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660" w:right="60" w:firstLine="645"/>
        <w:spacing w:after="0" w:line="252" w:lineRule="auto"/>
        <w:tabs>
          <w:tab w:leader="none" w:pos="176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Term A-1 Loan or any Revolving Loan, on and after the Amendment No. 7 Effective Date, the applicable rate set forth below under the caption “Term A Eurodollar Spread,” “Term A Base Rate Spread,” “Eurodollar Revolving Spread” or “Base Rate Revolving Spread” based upon the corresponding corporate family ratings of the Borrower (from at least two of S&amp;P, Moody’s and Fitch).</w:t>
      </w:r>
    </w:p>
    <w:p>
      <w:pPr>
        <w:sectPr>
          <w:pgSz w:w="11900" w:h="16838" w:orient="portrait"/>
          <w:cols w:equalWidth="0" w:num="1">
            <w:col w:w="11420"/>
          </w:cols>
          <w:pgMar w:left="240" w:top="621" w:right="239" w:bottom="1440" w:gutter="0" w:footer="0" w:header="0"/>
        </w:sectPr>
      </w:pPr>
    </w:p>
    <w:bookmarkStart w:id="120" w:name="page121"/>
    <w:bookmarkEnd w:id="120"/>
    <w:tbl>
      <w:tblPr>
        <w:tblLayout w:type="fixed"/>
        <w:tblInd w:w="730" w:type="dxa"/>
        <w:tblCellMar>
          <w:top w:w="0" w:type="dxa"/>
          <w:left w:w="0" w:type="dxa"/>
          <w:bottom w:w="0" w:type="dxa"/>
          <w:right w:w="0" w:type="dxa"/>
        </w:tblCellMar>
      </w:tblPr>
      <w:tr>
        <w:trPr>
          <w:trHeight w:val="256"/>
        </w:trPr>
        <w:tc>
          <w:tcPr>
            <w:tcW w:w="80" w:type="dxa"/>
            <w:vAlign w:val="bottom"/>
            <w:tcBorders>
              <w:top w:val="single" w:sz="8" w:color="auto"/>
              <w:left w:val="single" w:sz="8" w:color="auto"/>
            </w:tcBorders>
            <w:shd w:val="clear" w:color="auto" w:fill="D9D9D9"/>
          </w:tcPr>
          <w:p>
            <w:pPr>
              <w:spacing w:after="0"/>
              <w:rPr>
                <w:sz w:val="22"/>
                <w:szCs w:val="22"/>
                <w:color w:val="auto"/>
              </w:rPr>
            </w:pPr>
          </w:p>
        </w:tc>
        <w:tc>
          <w:tcPr>
            <w:tcW w:w="120" w:type="dxa"/>
            <w:vAlign w:val="bottom"/>
            <w:tcBorders>
              <w:top w:val="single" w:sz="8" w:color="auto"/>
            </w:tcBorders>
            <w:shd w:val="clear" w:color="auto" w:fill="D9D9D9"/>
          </w:tcPr>
          <w:p>
            <w:pPr>
              <w:spacing w:after="0"/>
              <w:rPr>
                <w:sz w:val="22"/>
                <w:szCs w:val="22"/>
                <w:color w:val="auto"/>
              </w:rPr>
            </w:pPr>
          </w:p>
        </w:tc>
        <w:tc>
          <w:tcPr>
            <w:tcW w:w="3140" w:type="dxa"/>
            <w:vAlign w:val="bottom"/>
            <w:tcBorders>
              <w:top w:val="single" w:sz="8" w:color="auto"/>
              <w:right w:val="single" w:sz="8" w:color="auto"/>
            </w:tcBorders>
            <w:shd w:val="clear" w:color="auto" w:fill="D9D9D9"/>
          </w:tcPr>
          <w:p>
            <w:pPr>
              <w:spacing w:after="0"/>
              <w:rPr>
                <w:sz w:val="22"/>
                <w:szCs w:val="22"/>
                <w:color w:val="auto"/>
              </w:rPr>
            </w:pPr>
          </w:p>
        </w:tc>
        <w:tc>
          <w:tcPr>
            <w:tcW w:w="13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5"/>
              </w:rPr>
              <w:t>Term A</w:t>
            </w:r>
          </w:p>
        </w:tc>
        <w:tc>
          <w:tcPr>
            <w:tcW w:w="13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9"/>
              </w:rPr>
              <w:t>Eurodollar</w:t>
            </w:r>
          </w:p>
        </w:tc>
        <w:tc>
          <w:tcPr>
            <w:tcW w:w="12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5"/>
              </w:rPr>
              <w:t>Term A</w:t>
            </w:r>
          </w:p>
        </w:tc>
        <w:tc>
          <w:tcPr>
            <w:tcW w:w="13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9"/>
              </w:rPr>
              <w:t>Base Rate</w:t>
            </w:r>
          </w:p>
        </w:tc>
        <w:tc>
          <w:tcPr>
            <w:tcW w:w="1600" w:type="dxa"/>
            <w:vAlign w:val="bottom"/>
            <w:tcBorders>
              <w:top w:val="single" w:sz="8" w:color="auto"/>
              <w:right w:val="single" w:sz="8" w:color="auto"/>
            </w:tcBorders>
            <w:shd w:val="clear" w:color="auto" w:fill="D9D9D9"/>
          </w:tcPr>
          <w:p>
            <w:pPr>
              <w:spacing w:after="0"/>
              <w:rPr>
                <w:sz w:val="22"/>
                <w:szCs w:val="22"/>
                <w:color w:val="auto"/>
              </w:rPr>
            </w:pPr>
          </w:p>
        </w:tc>
      </w:tr>
      <w:tr>
        <w:trPr>
          <w:trHeight w:val="243"/>
        </w:trPr>
        <w:tc>
          <w:tcPr>
            <w:tcW w:w="80" w:type="dxa"/>
            <w:vAlign w:val="bottom"/>
            <w:tcBorders>
              <w:left w:val="single" w:sz="8" w:color="auto"/>
            </w:tcBorders>
            <w:shd w:val="clear" w:color="auto" w:fill="D9D9D9"/>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3140" w:type="dxa"/>
            <w:vAlign w:val="bottom"/>
            <w:tcBorders>
              <w:right w:val="single" w:sz="8" w:color="auto"/>
            </w:tcBorders>
            <w:shd w:val="clear" w:color="auto" w:fill="D9D9D9"/>
          </w:tcPr>
          <w:p>
            <w:pPr>
              <w:spacing w:after="0"/>
              <w:rPr>
                <w:sz w:val="21"/>
                <w:szCs w:val="21"/>
                <w:color w:val="auto"/>
              </w:rPr>
            </w:pPr>
          </w:p>
        </w:tc>
        <w:tc>
          <w:tcPr>
            <w:tcW w:w="1320" w:type="dxa"/>
            <w:vAlign w:val="bottom"/>
            <w:tcBorders>
              <w:right w:val="single" w:sz="8" w:color="auto"/>
            </w:tcBorders>
            <w:shd w:val="clear" w:color="auto" w:fill="D9D9D9"/>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Eurodollar</w:t>
            </w:r>
          </w:p>
        </w:tc>
        <w:tc>
          <w:tcPr>
            <w:tcW w:w="1320" w:type="dxa"/>
            <w:vAlign w:val="bottom"/>
            <w:tcBorders>
              <w:right w:val="single" w:sz="8" w:color="auto"/>
            </w:tcBorders>
            <w:shd w:val="clear" w:color="auto" w:fill="D9D9D9"/>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Revolving</w:t>
            </w:r>
          </w:p>
        </w:tc>
        <w:tc>
          <w:tcPr>
            <w:tcW w:w="1200" w:type="dxa"/>
            <w:vAlign w:val="bottom"/>
            <w:tcBorders>
              <w:right w:val="single" w:sz="8" w:color="auto"/>
            </w:tcBorders>
            <w:shd w:val="clear" w:color="auto" w:fill="D9D9D9"/>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Base Rate</w:t>
            </w:r>
          </w:p>
        </w:tc>
        <w:tc>
          <w:tcPr>
            <w:tcW w:w="1320" w:type="dxa"/>
            <w:vAlign w:val="bottom"/>
            <w:tcBorders>
              <w:right w:val="single" w:sz="8" w:color="auto"/>
            </w:tcBorders>
            <w:shd w:val="clear" w:color="auto" w:fill="D9D9D9"/>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Revolving</w:t>
            </w:r>
          </w:p>
        </w:tc>
        <w:tc>
          <w:tcPr>
            <w:tcW w:w="1600" w:type="dxa"/>
            <w:vAlign w:val="bottom"/>
            <w:tcBorders>
              <w:right w:val="single" w:sz="8" w:color="auto"/>
            </w:tcBorders>
            <w:shd w:val="clear" w:color="auto" w:fill="D9D9D9"/>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Commitment</w:t>
            </w:r>
          </w:p>
        </w:tc>
      </w:tr>
      <w:tr>
        <w:trPr>
          <w:trHeight w:val="283"/>
        </w:trPr>
        <w:tc>
          <w:tcPr>
            <w:tcW w:w="80" w:type="dxa"/>
            <w:vAlign w:val="bottom"/>
            <w:tcBorders>
              <w:left w:val="single" w:sz="8" w:color="auto"/>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3140" w:type="dxa"/>
            <w:vAlign w:val="bottom"/>
            <w:tcBorders>
              <w:right w:val="single" w:sz="8" w:color="auto"/>
            </w:tcBorders>
            <w:shd w:val="clear" w:color="auto" w:fill="D9D9D9"/>
          </w:tcPr>
          <w:p>
            <w:pPr>
              <w:ind w:left="420"/>
              <w:spacing w:after="0"/>
              <w:rPr>
                <w:sz w:val="20"/>
                <w:szCs w:val="20"/>
                <w:color w:val="auto"/>
              </w:rPr>
            </w:pPr>
            <w:r>
              <w:rPr>
                <w:rFonts w:ascii="Times New Roman" w:cs="Times New Roman" w:eastAsia="Times New Roman" w:hAnsi="Times New Roman"/>
                <w:sz w:val="22"/>
                <w:szCs w:val="22"/>
                <w:color w:val="auto"/>
              </w:rPr>
              <w:t>Corporate Family Rating</w:t>
            </w:r>
          </w:p>
        </w:tc>
        <w:tc>
          <w:tcPr>
            <w:tcW w:w="13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Spread</w:t>
            </w:r>
          </w:p>
        </w:tc>
        <w:tc>
          <w:tcPr>
            <w:tcW w:w="13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Spread</w:t>
            </w:r>
          </w:p>
        </w:tc>
        <w:tc>
          <w:tcPr>
            <w:tcW w:w="12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Spread</w:t>
            </w:r>
          </w:p>
        </w:tc>
        <w:tc>
          <w:tcPr>
            <w:tcW w:w="13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Spread</w:t>
            </w:r>
          </w:p>
        </w:tc>
        <w:tc>
          <w:tcPr>
            <w:tcW w:w="16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4"/>
              </w:rPr>
              <w:t>Fee</w:t>
            </w:r>
          </w:p>
        </w:tc>
      </w:tr>
      <w:tr>
        <w:trPr>
          <w:trHeight w:val="96"/>
        </w:trPr>
        <w:tc>
          <w:tcPr>
            <w:tcW w:w="80" w:type="dxa"/>
            <w:vAlign w:val="bottom"/>
            <w:tcBorders>
              <w:left w:val="single" w:sz="8" w:color="auto"/>
              <w:bottom w:val="single" w:sz="8" w:color="auto"/>
            </w:tcBorders>
            <w:shd w:val="clear" w:color="auto" w:fill="D9D9D9"/>
          </w:tcPr>
          <w:p>
            <w:pPr>
              <w:spacing w:after="0"/>
              <w:rPr>
                <w:sz w:val="8"/>
                <w:szCs w:val="8"/>
                <w:color w:val="auto"/>
              </w:rPr>
            </w:pPr>
          </w:p>
        </w:tc>
        <w:tc>
          <w:tcPr>
            <w:tcW w:w="120" w:type="dxa"/>
            <w:vAlign w:val="bottom"/>
            <w:tcBorders>
              <w:bottom w:val="single" w:sz="8" w:color="auto"/>
            </w:tcBorders>
            <w:shd w:val="clear" w:color="auto" w:fill="D9D9D9"/>
          </w:tcPr>
          <w:p>
            <w:pPr>
              <w:spacing w:after="0"/>
              <w:rPr>
                <w:sz w:val="8"/>
                <w:szCs w:val="8"/>
                <w:color w:val="auto"/>
              </w:rPr>
            </w:pPr>
          </w:p>
        </w:tc>
        <w:tc>
          <w:tcPr>
            <w:tcW w:w="3140" w:type="dxa"/>
            <w:vAlign w:val="bottom"/>
            <w:tcBorders>
              <w:bottom w:val="single" w:sz="8" w:color="auto"/>
              <w:right w:val="single" w:sz="8" w:color="auto"/>
            </w:tcBorders>
            <w:shd w:val="clear" w:color="auto" w:fill="D9D9D9"/>
          </w:tcPr>
          <w:p>
            <w:pPr>
              <w:spacing w:after="0"/>
              <w:rPr>
                <w:sz w:val="8"/>
                <w:szCs w:val="8"/>
                <w:color w:val="auto"/>
              </w:rPr>
            </w:pPr>
          </w:p>
        </w:tc>
        <w:tc>
          <w:tcPr>
            <w:tcW w:w="1320" w:type="dxa"/>
            <w:vAlign w:val="bottom"/>
            <w:tcBorders>
              <w:bottom w:val="single" w:sz="8" w:color="auto"/>
              <w:right w:val="single" w:sz="8" w:color="auto"/>
            </w:tcBorders>
            <w:shd w:val="clear" w:color="auto" w:fill="D9D9D9"/>
          </w:tcPr>
          <w:p>
            <w:pPr>
              <w:spacing w:after="0"/>
              <w:rPr>
                <w:sz w:val="8"/>
                <w:szCs w:val="8"/>
                <w:color w:val="auto"/>
              </w:rPr>
            </w:pPr>
          </w:p>
        </w:tc>
        <w:tc>
          <w:tcPr>
            <w:tcW w:w="1320" w:type="dxa"/>
            <w:vAlign w:val="bottom"/>
            <w:tcBorders>
              <w:bottom w:val="single" w:sz="8" w:color="auto"/>
              <w:right w:val="single" w:sz="8" w:color="auto"/>
            </w:tcBorders>
            <w:shd w:val="clear" w:color="auto" w:fill="D9D9D9"/>
          </w:tcPr>
          <w:p>
            <w:pPr>
              <w:spacing w:after="0"/>
              <w:rPr>
                <w:sz w:val="8"/>
                <w:szCs w:val="8"/>
                <w:color w:val="auto"/>
              </w:rPr>
            </w:pPr>
          </w:p>
        </w:tc>
        <w:tc>
          <w:tcPr>
            <w:tcW w:w="1200" w:type="dxa"/>
            <w:vAlign w:val="bottom"/>
            <w:tcBorders>
              <w:bottom w:val="single" w:sz="8" w:color="auto"/>
              <w:right w:val="single" w:sz="8" w:color="auto"/>
            </w:tcBorders>
            <w:shd w:val="clear" w:color="auto" w:fill="D9D9D9"/>
          </w:tcPr>
          <w:p>
            <w:pPr>
              <w:spacing w:after="0"/>
              <w:rPr>
                <w:sz w:val="8"/>
                <w:szCs w:val="8"/>
                <w:color w:val="auto"/>
              </w:rPr>
            </w:pPr>
          </w:p>
        </w:tc>
        <w:tc>
          <w:tcPr>
            <w:tcW w:w="1320" w:type="dxa"/>
            <w:vAlign w:val="bottom"/>
            <w:tcBorders>
              <w:bottom w:val="single" w:sz="8" w:color="auto"/>
              <w:right w:val="single" w:sz="8" w:color="auto"/>
            </w:tcBorders>
            <w:shd w:val="clear" w:color="auto" w:fill="D9D9D9"/>
          </w:tcPr>
          <w:p>
            <w:pPr>
              <w:spacing w:after="0"/>
              <w:rPr>
                <w:sz w:val="8"/>
                <w:szCs w:val="8"/>
                <w:color w:val="auto"/>
              </w:rPr>
            </w:pPr>
          </w:p>
        </w:tc>
        <w:tc>
          <w:tcPr>
            <w:tcW w:w="1600" w:type="dxa"/>
            <w:vAlign w:val="bottom"/>
            <w:tcBorders>
              <w:bottom w:val="single" w:sz="8" w:color="auto"/>
              <w:right w:val="single" w:sz="8" w:color="auto"/>
            </w:tcBorders>
            <w:shd w:val="clear" w:color="auto" w:fill="D9D9D9"/>
          </w:tcPr>
          <w:p>
            <w:pPr>
              <w:spacing w:after="0"/>
              <w:rPr>
                <w:sz w:val="8"/>
                <w:szCs w:val="8"/>
                <w:color w:val="auto"/>
              </w:rPr>
            </w:pPr>
          </w:p>
        </w:tc>
      </w:tr>
      <w:tr>
        <w:trPr>
          <w:trHeight w:val="236"/>
        </w:trPr>
        <w:tc>
          <w:tcPr>
            <w:tcW w:w="3340" w:type="dxa"/>
            <w:vAlign w:val="bottom"/>
            <w:tcBorders>
              <w:left w:val="single" w:sz="8" w:color="auto"/>
              <w:right w:val="single" w:sz="8" w:color="auto"/>
            </w:tcBorders>
            <w:gridSpan w:val="3"/>
          </w:tcPr>
          <w:p>
            <w:pPr>
              <w:ind w:left="80"/>
              <w:spacing w:after="0" w:line="237" w:lineRule="exact"/>
              <w:rPr>
                <w:sz w:val="20"/>
                <w:szCs w:val="20"/>
                <w:color w:val="auto"/>
              </w:rPr>
            </w:pPr>
            <w:r>
              <w:rPr>
                <w:rFonts w:ascii="Times New Roman" w:cs="Times New Roman" w:eastAsia="Times New Roman" w:hAnsi="Times New Roman"/>
                <w:sz w:val="22"/>
                <w:szCs w:val="22"/>
                <w:color w:val="auto"/>
              </w:rPr>
              <w:t>Category 1</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1.125%</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1.125%</w:t>
            </w:r>
          </w:p>
        </w:tc>
        <w:tc>
          <w:tcPr>
            <w:tcW w:w="12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0.125%</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0.125%</w:t>
            </w:r>
          </w:p>
        </w:tc>
        <w:tc>
          <w:tcPr>
            <w:tcW w:w="16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0.120%</w:t>
            </w:r>
          </w:p>
        </w:tc>
      </w:tr>
      <w:tr>
        <w:trPr>
          <w:trHeight w:val="283"/>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BBB+/Baa1/BBB+</w:t>
            </w:r>
          </w:p>
        </w:tc>
        <w:tc>
          <w:tcPr>
            <w:tcW w:w="13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r>
      <w:tr>
        <w:trPr>
          <w:trHeight w:val="96"/>
        </w:trPr>
        <w:tc>
          <w:tcPr>
            <w:tcW w:w="80" w:type="dxa"/>
            <w:vAlign w:val="bottom"/>
            <w:tcBorders>
              <w:left w:val="single" w:sz="8" w:color="auto"/>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r>
      <w:tr>
        <w:trPr>
          <w:trHeight w:val="330"/>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Category 2</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1.250%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1.250%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0.250%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0.150%</w:t>
            </w:r>
          </w:p>
        </w:tc>
      </w:tr>
      <w:tr>
        <w:trPr>
          <w:trHeight w:val="351"/>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BBB/Baa2/BBB</w:t>
            </w:r>
          </w:p>
        </w:tc>
        <w:tc>
          <w:tcPr>
            <w:tcW w:w="13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r>
      <w:tr>
        <w:trPr>
          <w:trHeight w:val="69"/>
        </w:trPr>
        <w:tc>
          <w:tcPr>
            <w:tcW w:w="80" w:type="dxa"/>
            <w:vAlign w:val="bottom"/>
            <w:tcBorders>
              <w:left w:val="single" w:sz="8" w:color="auto"/>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14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r>
      <w:tr>
        <w:trPr>
          <w:trHeight w:val="236"/>
        </w:trPr>
        <w:tc>
          <w:tcPr>
            <w:tcW w:w="3340" w:type="dxa"/>
            <w:vAlign w:val="bottom"/>
            <w:tcBorders>
              <w:left w:val="single" w:sz="8" w:color="auto"/>
              <w:right w:val="single" w:sz="8" w:color="auto"/>
            </w:tcBorders>
            <w:gridSpan w:val="3"/>
          </w:tcPr>
          <w:p>
            <w:pPr>
              <w:ind w:left="80"/>
              <w:spacing w:after="0" w:line="237" w:lineRule="exact"/>
              <w:rPr>
                <w:sz w:val="20"/>
                <w:szCs w:val="20"/>
                <w:color w:val="auto"/>
              </w:rPr>
            </w:pPr>
            <w:r>
              <w:rPr>
                <w:rFonts w:ascii="Times New Roman" w:cs="Times New Roman" w:eastAsia="Times New Roman" w:hAnsi="Times New Roman"/>
                <w:sz w:val="22"/>
                <w:szCs w:val="22"/>
                <w:color w:val="auto"/>
              </w:rPr>
              <w:t>Category 3</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1.375%</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1.375%</w:t>
            </w:r>
          </w:p>
        </w:tc>
        <w:tc>
          <w:tcPr>
            <w:tcW w:w="12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0.375%</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0.375%</w:t>
            </w:r>
          </w:p>
        </w:tc>
        <w:tc>
          <w:tcPr>
            <w:tcW w:w="16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0.200%</w:t>
            </w:r>
          </w:p>
        </w:tc>
      </w:tr>
      <w:tr>
        <w:trPr>
          <w:trHeight w:val="283"/>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BBB-/Baa3/BBB-</w:t>
            </w:r>
          </w:p>
        </w:tc>
        <w:tc>
          <w:tcPr>
            <w:tcW w:w="13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r>
      <w:tr>
        <w:trPr>
          <w:trHeight w:val="96"/>
        </w:trPr>
        <w:tc>
          <w:tcPr>
            <w:tcW w:w="80" w:type="dxa"/>
            <w:vAlign w:val="bottom"/>
            <w:tcBorders>
              <w:left w:val="single" w:sz="8" w:color="auto"/>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r>
      <w:tr>
        <w:trPr>
          <w:trHeight w:val="236"/>
        </w:trPr>
        <w:tc>
          <w:tcPr>
            <w:tcW w:w="3340" w:type="dxa"/>
            <w:vAlign w:val="bottom"/>
            <w:tcBorders>
              <w:left w:val="single" w:sz="8" w:color="auto"/>
              <w:right w:val="single" w:sz="8" w:color="auto"/>
            </w:tcBorders>
            <w:gridSpan w:val="3"/>
          </w:tcPr>
          <w:p>
            <w:pPr>
              <w:ind w:left="80"/>
              <w:spacing w:after="0" w:line="237" w:lineRule="exact"/>
              <w:rPr>
                <w:sz w:val="20"/>
                <w:szCs w:val="20"/>
                <w:color w:val="auto"/>
              </w:rPr>
            </w:pPr>
            <w:r>
              <w:rPr>
                <w:rFonts w:ascii="Times New Roman" w:cs="Times New Roman" w:eastAsia="Times New Roman" w:hAnsi="Times New Roman"/>
                <w:sz w:val="22"/>
                <w:szCs w:val="22"/>
                <w:color w:val="auto"/>
              </w:rPr>
              <w:t>Category 4</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1.500%</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1.500%</w:t>
            </w:r>
          </w:p>
        </w:tc>
        <w:tc>
          <w:tcPr>
            <w:tcW w:w="12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0.500%</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0.500%</w:t>
            </w:r>
          </w:p>
        </w:tc>
        <w:tc>
          <w:tcPr>
            <w:tcW w:w="16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0.250%</w:t>
            </w:r>
          </w:p>
        </w:tc>
      </w:tr>
      <w:tr>
        <w:trPr>
          <w:trHeight w:val="283"/>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BB+/Ba1/BB+</w:t>
            </w:r>
          </w:p>
        </w:tc>
        <w:tc>
          <w:tcPr>
            <w:tcW w:w="13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r>
      <w:tr>
        <w:trPr>
          <w:trHeight w:val="96"/>
        </w:trPr>
        <w:tc>
          <w:tcPr>
            <w:tcW w:w="80" w:type="dxa"/>
            <w:vAlign w:val="bottom"/>
            <w:tcBorders>
              <w:left w:val="single" w:sz="8" w:color="auto"/>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r>
      <w:tr>
        <w:trPr>
          <w:trHeight w:val="236"/>
        </w:trPr>
        <w:tc>
          <w:tcPr>
            <w:tcW w:w="3340" w:type="dxa"/>
            <w:vAlign w:val="bottom"/>
            <w:tcBorders>
              <w:left w:val="single" w:sz="8" w:color="auto"/>
              <w:right w:val="single" w:sz="8" w:color="auto"/>
            </w:tcBorders>
            <w:gridSpan w:val="3"/>
          </w:tcPr>
          <w:p>
            <w:pPr>
              <w:ind w:left="80"/>
              <w:spacing w:after="0" w:line="237" w:lineRule="exact"/>
              <w:rPr>
                <w:sz w:val="20"/>
                <w:szCs w:val="20"/>
                <w:color w:val="auto"/>
              </w:rPr>
            </w:pPr>
            <w:r>
              <w:rPr>
                <w:rFonts w:ascii="Times New Roman" w:cs="Times New Roman" w:eastAsia="Times New Roman" w:hAnsi="Times New Roman"/>
                <w:sz w:val="22"/>
                <w:szCs w:val="22"/>
                <w:color w:val="auto"/>
              </w:rPr>
              <w:t>Category 5</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1.750%</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1.750%</w:t>
            </w:r>
          </w:p>
        </w:tc>
        <w:tc>
          <w:tcPr>
            <w:tcW w:w="12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0.750%</w:t>
            </w:r>
          </w:p>
        </w:tc>
        <w:tc>
          <w:tcPr>
            <w:tcW w:w="13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0.750%</w:t>
            </w:r>
          </w:p>
        </w:tc>
        <w:tc>
          <w:tcPr>
            <w:tcW w:w="160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0.300%</w:t>
            </w:r>
          </w:p>
        </w:tc>
      </w:tr>
      <w:tr>
        <w:trPr>
          <w:trHeight w:val="283"/>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BB/Ba2/BB</w:t>
            </w:r>
          </w:p>
        </w:tc>
        <w:tc>
          <w:tcPr>
            <w:tcW w:w="13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r>
      <w:tr>
        <w:trPr>
          <w:trHeight w:val="96"/>
        </w:trPr>
        <w:tc>
          <w:tcPr>
            <w:tcW w:w="80" w:type="dxa"/>
            <w:vAlign w:val="bottom"/>
            <w:tcBorders>
              <w:left w:val="single" w:sz="8" w:color="auto"/>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r>
      <w:tr>
        <w:trPr>
          <w:trHeight w:val="290"/>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Category 6</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2.000%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0.350%</w:t>
            </w:r>
          </w:p>
        </w:tc>
      </w:tr>
      <w:tr>
        <w:trPr>
          <w:trHeight w:val="230"/>
        </w:trPr>
        <w:tc>
          <w:tcPr>
            <w:tcW w:w="3340" w:type="dxa"/>
            <w:vAlign w:val="bottom"/>
            <w:tcBorders>
              <w:left w:val="single" w:sz="8" w:color="auto"/>
              <w:right w:val="single" w:sz="8" w:color="auto"/>
            </w:tcBorders>
            <w:gridSpan w:val="3"/>
          </w:tcPr>
          <w:p>
            <w:pPr>
              <w:ind w:left="80"/>
              <w:spacing w:after="0" w:line="230" w:lineRule="exact"/>
              <w:rPr>
                <w:sz w:val="20"/>
                <w:szCs w:val="20"/>
                <w:color w:val="auto"/>
              </w:rPr>
            </w:pPr>
            <w:r>
              <w:rPr>
                <w:rFonts w:ascii="Times New Roman" w:cs="Times New Roman" w:eastAsia="Times New Roman" w:hAnsi="Times New Roman"/>
                <w:sz w:val="22"/>
                <w:szCs w:val="22"/>
                <w:color w:val="auto"/>
              </w:rPr>
              <w:t>&lt; BB-/Ba3/BB-</w:t>
            </w: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102"/>
        </w:trPr>
        <w:tc>
          <w:tcPr>
            <w:tcW w:w="80" w:type="dxa"/>
            <w:vAlign w:val="bottom"/>
            <w:tcBorders>
              <w:left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r>
    </w:tbl>
    <w:p>
      <w:pPr>
        <w:spacing w:after="0" w:line="243"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For purposes of the foregoing, (i) if the ratings established by two or more rating agencies for the Borrower shall fall within the same Category, the Applicable Margin shall be determined by reference to such Category, (ii) if none of Moody’s, S&amp;P or Fitch shall have in effect a rating for the Borrower, then the Applicable Margin shall be based on Category 6; (iii) if only one rating agency shall have in effect a rating for the Borrower, the Applicable Margin shall be determined by reference to the Category in which such rating falls, (iv) if each of Moody’s, S&amp;P and Fitch have a ratings in effect and the ratings established or deemed to have been established by Moody’s, S&amp;P and Fitch for the Borrower shall fall within different Categories, the Applicable Margin shall be based on the middle of the three ratings; and (v) if only two of S&amp;P, Moody’s and Fitch shall have in effect a rating for the Borrower and such ratings shall fall within different Categories, the Applicable Margin shall be based on the higher of the two ratings unless one of the two ratings is two or more Categories lower than the other, in which case the Applicable Margin shall be determined by reference to the Category below that of the higher of the two ratings.</w:t>
      </w:r>
    </w:p>
    <w:p>
      <w:pPr>
        <w:spacing w:after="0" w:line="189" w:lineRule="exact"/>
        <w:rPr>
          <w:sz w:val="20"/>
          <w:szCs w:val="20"/>
          <w:color w:val="auto"/>
        </w:rPr>
      </w:pPr>
    </w:p>
    <w:p>
      <w:pPr>
        <w:ind w:firstLine="1297"/>
        <w:spacing w:after="0" w:line="248" w:lineRule="auto"/>
        <w:rPr>
          <w:sz w:val="20"/>
          <w:szCs w:val="20"/>
          <w:color w:val="auto"/>
        </w:rPr>
      </w:pPr>
      <w:r>
        <w:rPr>
          <w:rFonts w:ascii="Times New Roman" w:cs="Times New Roman" w:eastAsia="Times New Roman" w:hAnsi="Times New Roman"/>
          <w:sz w:val="22"/>
          <w:szCs w:val="22"/>
          <w:color w:val="auto"/>
        </w:rPr>
        <w:t>Initially the Applicable Margin shall be determined based on Category 4. Thereafter, if the ratings established or deemed to have been established by Moody’s, S&amp;P and Fitch for the Borrower shall be changed (other than as a result of a change in the rating system of Moody’s, S&amp;P or Fitch), such change shall be effective as of the date on which it is first announced by the applicable rating agency. Each change in the Applicable Margin shall apply during the period commencing on the effective date of such change and ending on the date immediately preceding the effective date of the next such change. If the rating system of Moody’s, S&amp;P or Fitch shall change, or if any such rating agency shall cease to be in the business of rating corporations, unless the Borrower has exercised its option in the last sentence</w:t>
      </w:r>
    </w:p>
    <w:p>
      <w:pPr>
        <w:sectPr>
          <w:pgSz w:w="11900" w:h="16838" w:orient="portrait"/>
          <w:cols w:equalWidth="0" w:num="1">
            <w:col w:w="11400"/>
          </w:cols>
          <w:pgMar w:left="240" w:top="754" w:right="259" w:bottom="1440" w:gutter="0" w:footer="0" w:header="0"/>
        </w:sectPr>
      </w:pPr>
    </w:p>
    <w:bookmarkStart w:id="121" w:name="page122"/>
    <w:bookmarkEnd w:id="121"/>
    <w:p>
      <w:pPr>
        <w:ind w:right="140"/>
        <w:spacing w:after="0" w:line="249" w:lineRule="auto"/>
        <w:rPr>
          <w:sz w:val="20"/>
          <w:szCs w:val="20"/>
          <w:color w:val="auto"/>
        </w:rPr>
      </w:pPr>
      <w:r>
        <w:rPr>
          <w:rFonts w:ascii="Times New Roman" w:cs="Times New Roman" w:eastAsia="Times New Roman" w:hAnsi="Times New Roman"/>
          <w:sz w:val="22"/>
          <w:szCs w:val="22"/>
          <w:color w:val="auto"/>
        </w:rPr>
        <w:t>of this paragraph with respect to such rating agency, the Borrower and the Lenders shall negotiate in good faith to amend this definition to reflect such changed rating system or if the unavailability of ratings from such rating agency and, pending the effectiveness of any such amendment, the Applicable Margin shall be determined by reference to the rating most recently in effect prior to such change or cessation. In addition, the Borrower shall have the right to cease maintaining ratings from one ratings agency and, upon notice of such election to the Administrative Agent, the Applicable Margin shall be determined by reference to the ratings of the two remaining ratings agencies.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Application</w:t>
      </w:r>
      <w:r>
        <w:rPr>
          <w:rFonts w:ascii="Times New Roman" w:cs="Times New Roman" w:eastAsia="Times New Roman" w:hAnsi="Times New Roman"/>
          <w:sz w:val="22"/>
          <w:szCs w:val="22"/>
          <w:color w:val="auto"/>
        </w:rPr>
        <w:t>” is defined in Section 2.3(b) hereof.</w:t>
      </w:r>
    </w:p>
    <w:p>
      <w:pPr>
        <w:spacing w:after="0" w:line="220" w:lineRule="exact"/>
        <w:rPr>
          <w:sz w:val="20"/>
          <w:szCs w:val="20"/>
          <w:color w:val="auto"/>
        </w:rPr>
      </w:pPr>
    </w:p>
    <w:p>
      <w:pPr>
        <w:ind w:right="8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means any Person (other than a natural person) that is engaged in making, purchasing, holding or otherwise investing in commercial loans and similar extensions of credit in the ordinary course of its business and that is administered or managed by (a) a Lender, (b) an Affiliate of a Lender or (c) an entity or an Affiliate of an entity that administers or manages a Lender.</w:t>
      </w:r>
    </w:p>
    <w:p>
      <w:pPr>
        <w:spacing w:after="0" w:line="172" w:lineRule="exact"/>
        <w:rPr>
          <w:sz w:val="20"/>
          <w:szCs w:val="20"/>
          <w:color w:val="auto"/>
        </w:rPr>
      </w:pPr>
    </w:p>
    <w:p>
      <w:pPr>
        <w:ind w:right="6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party whose consent is required by Section 10.10), and accepted by the Administrative Agent, in substantially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or any other form approved by the Administrative Agent and the Borrower.</w:t>
      </w:r>
    </w:p>
    <w:p>
      <w:pPr>
        <w:spacing w:after="0" w:line="167" w:lineRule="exact"/>
        <w:rPr>
          <w:sz w:val="20"/>
          <w:szCs w:val="20"/>
          <w:color w:val="auto"/>
        </w:rPr>
      </w:pPr>
    </w:p>
    <w:p>
      <w:pPr>
        <w:ind w:right="10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Authorized Representatives</w:t>
      </w:r>
      <w:r>
        <w:rPr>
          <w:rFonts w:ascii="Times New Roman" w:cs="Times New Roman" w:eastAsia="Times New Roman" w:hAnsi="Times New Roman"/>
          <w:sz w:val="22"/>
          <w:szCs w:val="22"/>
          <w:color w:val="auto"/>
        </w:rPr>
        <w:t>” means those persons shown on the list of officers provided by the Borrower pursuant to Section 3.2(a)(iv) hereof or on any update of any such list provided by the Borrower to the Administrative Agent, or any further or different officers of the Borrower so named by any Authorized Representative of the Borrower in a written notice to the Administrative Agent.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Amount</w:t>
      </w:r>
      <w:r>
        <w:rPr>
          <w:rFonts w:ascii="Times New Roman" w:cs="Times New Roman" w:eastAsia="Times New Roman" w:hAnsi="Times New Roman"/>
          <w:sz w:val="22"/>
          <w:szCs w:val="22"/>
          <w:color w:val="auto"/>
        </w:rPr>
        <w:t>” means, at any time, an amount equal to, without duplication:</w:t>
      </w:r>
    </w:p>
    <w:p>
      <w:pPr>
        <w:spacing w:after="0" w:line="224" w:lineRule="exact"/>
        <w:rPr>
          <w:sz w:val="20"/>
          <w:szCs w:val="20"/>
          <w:color w:val="auto"/>
        </w:rPr>
      </w:pPr>
    </w:p>
    <w:p>
      <w:pPr>
        <w:ind w:left="1760" w:hanging="455"/>
        <w:spacing w:after="0"/>
        <w:tabs>
          <w:tab w:leader="none" w:pos="1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without duplication, of:</w:t>
      </w:r>
    </w:p>
    <w:p>
      <w:pPr>
        <w:spacing w:after="0" w:line="213" w:lineRule="exact"/>
        <w:rPr>
          <w:rFonts w:ascii="Times New Roman" w:cs="Times New Roman" w:eastAsia="Times New Roman" w:hAnsi="Times New Roman"/>
          <w:sz w:val="22"/>
          <w:szCs w:val="22"/>
          <w:color w:val="auto"/>
        </w:rPr>
      </w:pPr>
    </w:p>
    <w:p>
      <w:pPr>
        <w:ind w:left="2480" w:hanging="527"/>
        <w:spacing w:after="0"/>
        <w:tabs>
          <w:tab w:leader="none" w:pos="2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$100.0 million;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2540" w:hanging="587"/>
        <w:spacing w:after="0"/>
        <w:tabs>
          <w:tab w:leader="none" w:pos="2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Available ECF Amount;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1300" w:firstLine="653"/>
        <w:spacing w:after="0" w:line="261" w:lineRule="auto"/>
        <w:tabs>
          <w:tab w:leader="none" w:pos="23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capital contributions or other equity issuances received as cash equity by the Borrower,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fair market value, as determined in good faith by the Borrower, of marketable securities or other property received by the Borrower as a capital contribution or in return for issuances of equity, in each case, during the period from and including the Business Day immediately following the Escrow Release Date through and including such time; </w:t>
      </w:r>
      <w:r>
        <w:rPr>
          <w:rFonts w:ascii="Times New Roman" w:cs="Times New Roman" w:eastAsia="Times New Roman" w:hAnsi="Times New Roman"/>
          <w:sz w:val="18"/>
          <w:szCs w:val="18"/>
          <w:i w:val="1"/>
          <w:iCs w:val="1"/>
          <w:color w:val="auto"/>
        </w:rPr>
        <w:t>plus</w:t>
      </w:r>
    </w:p>
    <w:p>
      <w:pPr>
        <w:spacing w:after="0" w:line="182" w:lineRule="exact"/>
        <w:rPr>
          <w:rFonts w:ascii="Times New Roman" w:cs="Times New Roman" w:eastAsia="Times New Roman" w:hAnsi="Times New Roman"/>
          <w:sz w:val="18"/>
          <w:szCs w:val="18"/>
          <w:color w:val="auto"/>
        </w:rPr>
      </w:pPr>
    </w:p>
    <w:p>
      <w:pPr>
        <w:ind w:left="1300" w:right="280" w:firstLine="653"/>
        <w:spacing w:after="0" w:line="282" w:lineRule="auto"/>
        <w:tabs>
          <w:tab w:leader="none" w:pos="23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Indebtedness or Disqualified Equity Interests, in each case, of the Borrower or any Restricted Subsidiary issued after the Escrow</w:t>
      </w:r>
    </w:p>
    <w:p>
      <w:pPr>
        <w:sectPr>
          <w:pgSz w:w="11900" w:h="16838" w:orient="portrait"/>
          <w:cols w:equalWidth="0" w:num="1">
            <w:col w:w="11400"/>
          </w:cols>
          <w:pgMar w:left="240" w:top="625" w:right="259" w:bottom="1440" w:gutter="0" w:footer="0" w:header="0"/>
        </w:sectPr>
      </w:pPr>
    </w:p>
    <w:bookmarkStart w:id="122" w:name="page123"/>
    <w:bookmarkEnd w:id="122"/>
    <w:p>
      <w:pPr>
        <w:ind w:left="100"/>
        <w:spacing w:after="0" w:line="261" w:lineRule="auto"/>
        <w:rPr>
          <w:sz w:val="20"/>
          <w:szCs w:val="20"/>
          <w:color w:val="auto"/>
        </w:rPr>
      </w:pPr>
      <w:r>
        <w:rPr>
          <w:rFonts w:ascii="Times New Roman" w:cs="Times New Roman" w:eastAsia="Times New Roman" w:hAnsi="Times New Roman"/>
          <w:sz w:val="18"/>
          <w:szCs w:val="18"/>
          <w:color w:val="auto"/>
        </w:rPr>
        <w:t xml:space="preserve">Release Date (other than Indebtedness or such Disqualified Equity Interests issued to the Borrower or a Restricted Subsidiary), which has been converted into or exchanged for Equity Interests of the Borrower that do not constitute Disqualified Equity Interests, together with the fair market value of any Cash Equivalents and the fair market value (as reasonably determined by the Borrower) of any property or assets received by the Borrower or any Restricted Subsidiary upon such exchange or conversion; </w:t>
      </w:r>
      <w:r>
        <w:rPr>
          <w:rFonts w:ascii="Times New Roman" w:cs="Times New Roman" w:eastAsia="Times New Roman" w:hAnsi="Times New Roman"/>
          <w:sz w:val="18"/>
          <w:szCs w:val="18"/>
          <w:i w:val="1"/>
          <w:iCs w:val="1"/>
          <w:color w:val="auto"/>
        </w:rPr>
        <w:t>plus</w:t>
      </w:r>
    </w:p>
    <w:p>
      <w:pPr>
        <w:spacing w:after="0" w:line="180" w:lineRule="exact"/>
        <w:rPr>
          <w:sz w:val="20"/>
          <w:szCs w:val="20"/>
          <w:color w:val="auto"/>
        </w:rPr>
      </w:pPr>
    </w:p>
    <w:p>
      <w:pPr>
        <w:jc w:val="both"/>
        <w:ind w:left="100" w:right="20" w:firstLine="653"/>
        <w:spacing w:after="0" w:line="266" w:lineRule="auto"/>
        <w:tabs>
          <w:tab w:leader="none" w:pos="131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received by the Borrower or any Restricted Subsidiary after the Escrow Release Date in connection with the sale or other disposition to a Person (other than the Borrower or any Restricted Subsidiary) of any investment made pursuant to Section 6.17(o) (in an amount not to exceed the original amount of such investment); </w:t>
      </w:r>
      <w:r>
        <w:rPr>
          <w:rFonts w:ascii="Times New Roman" w:cs="Times New Roman" w:eastAsia="Times New Roman" w:hAnsi="Times New Roman"/>
          <w:sz w:val="18"/>
          <w:szCs w:val="18"/>
          <w:i w:val="1"/>
          <w:iCs w:val="1"/>
          <w:color w:val="auto"/>
        </w:rPr>
        <w:t>plus</w:t>
      </w:r>
    </w:p>
    <w:p>
      <w:pPr>
        <w:spacing w:after="0" w:line="176" w:lineRule="exact"/>
        <w:rPr>
          <w:rFonts w:ascii="Times New Roman" w:cs="Times New Roman" w:eastAsia="Times New Roman" w:hAnsi="Times New Roman"/>
          <w:sz w:val="18"/>
          <w:szCs w:val="18"/>
          <w:color w:val="auto"/>
        </w:rPr>
      </w:pPr>
    </w:p>
    <w:p>
      <w:pPr>
        <w:ind w:left="100" w:right="360" w:firstLine="653"/>
        <w:spacing w:after="0" w:line="266" w:lineRule="auto"/>
        <w:tabs>
          <w:tab w:leader="none" w:pos="11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received by the Borrower or any Restricted Subsidiary after the Escrow Release Date in connection with returns, profits, distributions and similar amounts, repayments of loans and the release of guarantees received on any investment made pursuant to Section 6.17(o) (in an amount not to exceed the original amount of such investment); </w:t>
      </w:r>
      <w:r>
        <w:rPr>
          <w:rFonts w:ascii="Times New Roman" w:cs="Times New Roman" w:eastAsia="Times New Roman" w:hAnsi="Times New Roman"/>
          <w:sz w:val="18"/>
          <w:szCs w:val="18"/>
          <w:i w:val="1"/>
          <w:iCs w:val="1"/>
          <w:color w:val="auto"/>
        </w:rPr>
        <w:t>plus</w:t>
      </w:r>
    </w:p>
    <w:p>
      <w:pPr>
        <w:spacing w:after="0" w:line="174" w:lineRule="exact"/>
        <w:rPr>
          <w:rFonts w:ascii="Times New Roman" w:cs="Times New Roman" w:eastAsia="Times New Roman" w:hAnsi="Times New Roman"/>
          <w:sz w:val="18"/>
          <w:szCs w:val="18"/>
          <w:color w:val="auto"/>
        </w:rPr>
      </w:pPr>
    </w:p>
    <w:p>
      <w:pPr>
        <w:ind w:left="1240" w:hanging="487"/>
        <w:spacing w:after="0"/>
        <w:tabs>
          <w:tab w:leader="none" w:pos="12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of any Declined Proceeds;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left="100" w:right="20" w:firstLine="653"/>
        <w:spacing w:after="0" w:line="256"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sum of (A) in the event any Unrestricted Subsidiary has been redesignated as a Restricted Subsidiary or has been merged, consolidated or amalgamated with or into, or is liquidated into, the Borrower or any Restricted Subsidiary, the amount of the investments of the Borrower or any Restricted Subsidiary in such Subsidiary made pursuant to Section 6.9 (in an amount not to exceed the original amount of such investment) and (B) the fair market value (as reasonably determined by the Borrower) of the property or assets of any Unrestricted Subsidiary that have been transferred, conveyed or otherwise distributed to the Borrower or any Restricted Subsidiary after the Escrow Release Date from any dividend or other distribution by an Unrestricted Subsidiary; </w:t>
      </w:r>
      <w:r>
        <w:rPr>
          <w:rFonts w:ascii="Times New Roman" w:cs="Times New Roman" w:eastAsia="Times New Roman" w:hAnsi="Times New Roman"/>
          <w:sz w:val="18"/>
          <w:szCs w:val="18"/>
          <w:i w:val="1"/>
          <w:iCs w:val="1"/>
          <w:color w:val="auto"/>
        </w:rPr>
        <w:t>minus</w:t>
      </w:r>
    </w:p>
    <w:p>
      <w:pPr>
        <w:spacing w:after="0" w:line="192" w:lineRule="exact"/>
        <w:rPr>
          <w:rFonts w:ascii="Times New Roman" w:cs="Times New Roman" w:eastAsia="Times New Roman" w:hAnsi="Times New Roman"/>
          <w:sz w:val="18"/>
          <w:szCs w:val="18"/>
          <w:color w:val="auto"/>
        </w:rPr>
      </w:pPr>
    </w:p>
    <w:p>
      <w:pPr>
        <w:ind w:left="580" w:hanging="475"/>
        <w:spacing w:after="0"/>
        <w:tabs>
          <w:tab w:leader="none" w:pos="5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without duplication, of:</w:t>
      </w:r>
    </w:p>
    <w:p>
      <w:pPr>
        <w:spacing w:after="0" w:line="219" w:lineRule="exact"/>
        <w:rPr>
          <w:rFonts w:ascii="Times New Roman" w:cs="Times New Roman" w:eastAsia="Times New Roman" w:hAnsi="Times New Roman"/>
          <w:sz w:val="22"/>
          <w:szCs w:val="22"/>
          <w:color w:val="auto"/>
        </w:rPr>
      </w:pPr>
    </w:p>
    <w:p>
      <w:pPr>
        <w:ind w:left="1180" w:hanging="427"/>
        <w:spacing w:after="0"/>
        <w:tabs>
          <w:tab w:leader="none" w:pos="118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any investments made by the Borrower or any Restricted Subsidiary pursuant</w:t>
      </w:r>
    </w:p>
    <w:p>
      <w:pPr>
        <w:spacing w:after="0" w:line="39" w:lineRule="exact"/>
        <w:rPr>
          <w:sz w:val="20"/>
          <w:szCs w:val="20"/>
          <w:color w:val="auto"/>
        </w:rPr>
      </w:pPr>
    </w:p>
    <w:p>
      <w:pPr>
        <w:ind w:left="100" w:right="80"/>
        <w:spacing w:after="0" w:line="248" w:lineRule="auto"/>
        <w:rPr>
          <w:sz w:val="20"/>
          <w:szCs w:val="20"/>
          <w:color w:val="auto"/>
        </w:rPr>
      </w:pPr>
      <w:r>
        <w:rPr>
          <w:rFonts w:ascii="Times New Roman" w:cs="Times New Roman" w:eastAsia="Times New Roman" w:hAnsi="Times New Roman"/>
          <w:sz w:val="22"/>
          <w:szCs w:val="22"/>
          <w:color w:val="auto"/>
        </w:rPr>
        <w:t>to clause (b)(ii) of the defined term “Permitted Acquisition” in reliance on Section 6.17(l) after the Escrow Release Date and prior to such time;</w:t>
      </w:r>
    </w:p>
    <w:p>
      <w:pPr>
        <w:spacing w:after="0" w:line="178" w:lineRule="exact"/>
        <w:rPr>
          <w:sz w:val="20"/>
          <w:szCs w:val="20"/>
          <w:color w:val="auto"/>
        </w:rPr>
      </w:pPr>
    </w:p>
    <w:p>
      <w:pPr>
        <w:ind w:left="100" w:right="60" w:firstLine="653"/>
        <w:spacing w:after="0" w:line="282" w:lineRule="auto"/>
        <w:tabs>
          <w:tab w:leader="none" w:pos="1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investments, loans or advances made by the Borrower or any Restricted Subsidiary pursuant to Section 6.17(o) after the Escrow Release Date and prior to such time;</w:t>
      </w:r>
    </w:p>
    <w:p>
      <w:pPr>
        <w:spacing w:after="0" w:line="161" w:lineRule="exact"/>
        <w:rPr>
          <w:rFonts w:ascii="Times New Roman" w:cs="Times New Roman" w:eastAsia="Times New Roman" w:hAnsi="Times New Roman"/>
          <w:sz w:val="18"/>
          <w:szCs w:val="18"/>
          <w:color w:val="auto"/>
        </w:rPr>
      </w:pPr>
    </w:p>
    <w:p>
      <w:pPr>
        <w:ind w:left="100" w:right="220" w:firstLine="653"/>
        <w:spacing w:after="0" w:line="282" w:lineRule="auto"/>
        <w:tabs>
          <w:tab w:leader="none" w:pos="11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Distributions made by the Borrower pursuant to Section 6.18(f)(y) after the Escrow Release Date and prior to such time; and</w:t>
      </w:r>
    </w:p>
    <w:p>
      <w:pPr>
        <w:spacing w:after="0" w:line="166" w:lineRule="exact"/>
        <w:rPr>
          <w:rFonts w:ascii="Times New Roman" w:cs="Times New Roman" w:eastAsia="Times New Roman" w:hAnsi="Times New Roman"/>
          <w:sz w:val="18"/>
          <w:szCs w:val="18"/>
          <w:color w:val="auto"/>
        </w:rPr>
      </w:pPr>
    </w:p>
    <w:p>
      <w:pPr>
        <w:ind w:left="1280" w:hanging="527"/>
        <w:spacing w:after="0"/>
        <w:tabs>
          <w:tab w:leader="none" w:pos="12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any optional or voluntary payments, prepayments, repurchases, redemptions</w:t>
      </w:r>
    </w:p>
    <w:p>
      <w:pPr>
        <w:spacing w:after="0" w:line="39" w:lineRule="exact"/>
        <w:rPr>
          <w:sz w:val="20"/>
          <w:szCs w:val="20"/>
          <w:color w:val="auto"/>
        </w:rPr>
      </w:pPr>
    </w:p>
    <w:p>
      <w:pPr>
        <w:ind w:left="100" w:right="540"/>
        <w:spacing w:after="0" w:line="248" w:lineRule="auto"/>
        <w:rPr>
          <w:sz w:val="20"/>
          <w:szCs w:val="20"/>
          <w:color w:val="auto"/>
        </w:rPr>
      </w:pPr>
      <w:r>
        <w:rPr>
          <w:rFonts w:ascii="Times New Roman" w:cs="Times New Roman" w:eastAsia="Times New Roman" w:hAnsi="Times New Roman"/>
          <w:sz w:val="22"/>
          <w:szCs w:val="22"/>
          <w:color w:val="auto"/>
        </w:rPr>
        <w:t>or defeasances made by the Borrower or any Restricted Subsidiary pursuant to Section 6.20(a)(iv)(y) after the Escrow Release Date and prior to such time.</w:t>
      </w:r>
    </w:p>
    <w:p>
      <w:pPr>
        <w:sectPr>
          <w:pgSz w:w="11900" w:h="16838" w:orient="portrait"/>
          <w:cols w:equalWidth="0" w:num="1">
            <w:col w:w="10140"/>
          </w:cols>
          <w:pgMar w:left="1440" w:top="621" w:right="319" w:bottom="1440" w:gutter="0" w:footer="0" w:header="0"/>
        </w:sectPr>
      </w:pPr>
    </w:p>
    <w:bookmarkStart w:id="123" w:name="page124"/>
    <w:bookmarkEnd w:id="123"/>
    <w:p>
      <w:pPr>
        <w:ind w:right="4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ECF Amount</w:t>
      </w:r>
      <w:r>
        <w:rPr>
          <w:rFonts w:ascii="Times New Roman" w:cs="Times New Roman" w:eastAsia="Times New Roman" w:hAnsi="Times New Roman"/>
          <w:sz w:val="22"/>
          <w:szCs w:val="22"/>
          <w:color w:val="auto"/>
        </w:rPr>
        <w:t xml:space="preserve">” means, on any date, the positive amount, if any, determined on a cumulative basis equal to Excess Cash Flow for each year, commencing with the first full fiscal year ended after the Escrow Release Date and ending with the fiscal year of the Borrower most recently ended prior to the date of determination for which financial statements and a Compliance Certificate have been delivered pursuant to Section 6.1(e)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Restricted ECF Amount for such period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cumulative ECF Payments for such period.</w:t>
      </w:r>
    </w:p>
    <w:p>
      <w:pPr>
        <w:spacing w:after="0" w:line="176" w:lineRule="exact"/>
        <w:rPr>
          <w:sz w:val="20"/>
          <w:szCs w:val="20"/>
          <w:color w:val="auto"/>
        </w:rPr>
      </w:pPr>
    </w:p>
    <w:p>
      <w:pPr>
        <w:ind w:right="1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50" w:lineRule="exact"/>
        <w:rPr>
          <w:sz w:val="20"/>
          <w:szCs w:val="20"/>
          <w:color w:val="auto"/>
        </w:rPr>
      </w:pPr>
    </w:p>
    <w:p>
      <w:pPr>
        <w:ind w:right="2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Base Rate</w:t>
      </w:r>
      <w:r>
        <w:rPr>
          <w:rFonts w:ascii="Times New Roman" w:cs="Times New Roman" w:eastAsia="Times New Roman" w:hAnsi="Times New Roman"/>
          <w:sz w:val="22"/>
          <w:szCs w:val="22"/>
          <w:color w:val="auto"/>
        </w:rPr>
        <w:t>” means, for any day, a rate per annum equal to the greatest of (a) the Prime Rate in effect on such day,</w:t>
      </w:r>
    </w:p>
    <w:p>
      <w:pPr>
        <w:spacing w:after="0" w:line="32" w:lineRule="exact"/>
        <w:rPr>
          <w:sz w:val="20"/>
          <w:szCs w:val="20"/>
          <w:color w:val="auto"/>
        </w:rPr>
      </w:pPr>
    </w:p>
    <w:p>
      <w:pPr>
        <w:ind w:firstLine="8"/>
        <w:spacing w:after="0" w:line="246" w:lineRule="auto"/>
        <w:tabs>
          <w:tab w:leader="none" w:pos="30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NYFRB Rate in effect on such day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½ of 1% and (c) the Adjusted LIBOR for a one month Interest Period on such day (or if such day is not a Business Day, the immediately preceding Business Day)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1%, provided that, the Adjusted LIBOR for any day shall be based on the Adjusted LIBOR at approximately 11:00 a.m. (London time) on such day. If the Base Rate is being used as an alternate rate of interest pursuant to Section 8.3(b), then the Base Rate with respect to Term A-1 Loans and Revolving Loans shall be the greater of clause (a) and (b) above and shall be determined without reference to clause (c) above. Any change in the Base Rate due to a change in the Prime Rate, the NYFRB Rate or the Adjusted LIBOR shall be effective from and including the effective date of such change in the Prime Rate, the NYFRB Rate or the Adjusted LIBOR, respectively.</w:t>
      </w:r>
    </w:p>
    <w:p>
      <w:pPr>
        <w:spacing w:after="0" w:line="183" w:lineRule="exact"/>
        <w:rPr>
          <w:sz w:val="20"/>
          <w:szCs w:val="20"/>
          <w:color w:val="auto"/>
        </w:rPr>
      </w:pPr>
    </w:p>
    <w:p>
      <w:pPr>
        <w:ind w:right="4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Base Rate Loan</w:t>
      </w:r>
      <w:r>
        <w:rPr>
          <w:rFonts w:ascii="Times New Roman" w:cs="Times New Roman" w:eastAsia="Times New Roman" w:hAnsi="Times New Roman"/>
          <w:sz w:val="22"/>
          <w:szCs w:val="22"/>
          <w:color w:val="auto"/>
        </w:rPr>
        <w:t>” means a Term Loan or Revolving Loan bearing interest at a rate specified in Section 2.4(a) or Section 2.4(c) hereof, as applicable.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is defined in the introductory paragraph of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 Materials</w:t>
      </w:r>
      <w:r>
        <w:rPr>
          <w:rFonts w:ascii="Times New Roman" w:cs="Times New Roman" w:eastAsia="Times New Roman" w:hAnsi="Times New Roman"/>
          <w:sz w:val="22"/>
          <w:szCs w:val="22"/>
          <w:color w:val="auto"/>
        </w:rPr>
        <w:t>” has the meaning assigned to such term in Section 10.25.</w:t>
      </w:r>
    </w:p>
    <w:p>
      <w:pPr>
        <w:spacing w:after="0" w:line="220" w:lineRule="exact"/>
        <w:rPr>
          <w:sz w:val="20"/>
          <w:szCs w:val="20"/>
          <w:color w:val="auto"/>
        </w:rPr>
      </w:pPr>
    </w:p>
    <w:p>
      <w:pPr>
        <w:ind w:right="28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 SEC Documents</w:t>
      </w:r>
      <w:r>
        <w:rPr>
          <w:rFonts w:ascii="Times New Roman" w:cs="Times New Roman" w:eastAsia="Times New Roman" w:hAnsi="Times New Roman"/>
          <w:sz w:val="22"/>
          <w:szCs w:val="22"/>
          <w:color w:val="auto"/>
        </w:rPr>
        <w:t>” means all reports, schedules, forms, proxy statements, prospectuses (including prospectus supplements), registration statements and other information filed by the Borrower with the U.S. Securities and Exchange Commission or furnished by the Borrower to the U.S. Securities and Exchange Commission pursuant to the Securities Exchange Act of 1934.</w:t>
      </w:r>
    </w:p>
    <w:p>
      <w:pPr>
        <w:spacing w:after="0" w:line="172" w:lineRule="exact"/>
        <w:rPr>
          <w:sz w:val="20"/>
          <w:szCs w:val="20"/>
          <w:color w:val="auto"/>
        </w:rPr>
      </w:pPr>
    </w:p>
    <w:p>
      <w:pPr>
        <w:ind w:right="5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means the total of Loans of a single type advanced, continued for an additional Interest Period, or converted from a different type into such type by the Lenders under</w:t>
      </w:r>
    </w:p>
    <w:p>
      <w:pPr>
        <w:sectPr>
          <w:pgSz w:w="11900" w:h="16838" w:orient="portrait"/>
          <w:cols w:equalWidth="0" w:num="1">
            <w:col w:w="11400"/>
          </w:cols>
          <w:pgMar w:left="240" w:top="621" w:right="259" w:bottom="1440" w:gutter="0" w:footer="0" w:header="0"/>
        </w:sectPr>
      </w:pPr>
    </w:p>
    <w:bookmarkStart w:id="124" w:name="page125"/>
    <w:bookmarkEnd w:id="124"/>
    <w:p>
      <w:pPr>
        <w:ind w:right="40"/>
        <w:spacing w:after="0" w:line="249" w:lineRule="auto"/>
        <w:rPr>
          <w:sz w:val="20"/>
          <w:szCs w:val="20"/>
          <w:color w:val="auto"/>
        </w:rPr>
      </w:pPr>
      <w:r>
        <w:rPr>
          <w:rFonts w:ascii="Times New Roman" w:cs="Times New Roman" w:eastAsia="Times New Roman" w:hAnsi="Times New Roman"/>
          <w:sz w:val="22"/>
          <w:szCs w:val="22"/>
          <w:color w:val="auto"/>
        </w:rPr>
        <w:t>the applicable Facility on a single date and, in the case of Eurodollar Loans, for a single Interest Period. Borrowings of Loans are made and maintained ratably from each of the Lenders under the applicable Facility according to their Percentages of such Facility. A Borrowing of Loans is “advanced” on the day Lenders advance funds comprising such Borrowing to the Borrower, is “continued” on the date a new Interest Period for the same type of Loans commences for such Borrowing, and is “converted” when such Borrowing is changed from one (1) type of Loan to the other, all as requested by the Borrower pursuant to Section 2.5(a) hereof. Base Rate Loans and Eurodollar Loans are each a “type” of Loan.</w:t>
      </w:r>
    </w:p>
    <w:p>
      <w:pPr>
        <w:spacing w:after="0" w:line="177" w:lineRule="exact"/>
        <w:rPr>
          <w:sz w:val="20"/>
          <w:szCs w:val="20"/>
          <w:color w:val="auto"/>
        </w:rPr>
      </w:pPr>
    </w:p>
    <w:p>
      <w:pPr>
        <w:ind w:right="10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xml:space="preserve">” means, any day (other than a Saturday or Sunday) on which banks are not authorized or required to close in the State of New York;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when used in connection with a Eurodollar Loan denominated in Dollars, the term “Business Day” shall also exclude any day on which banks are not open for dealings in Dollar deposits in the London interbank market.</w:t>
      </w:r>
    </w:p>
    <w:p>
      <w:pPr>
        <w:spacing w:after="0" w:line="172" w:lineRule="exact"/>
        <w:rPr>
          <w:sz w:val="20"/>
          <w:szCs w:val="20"/>
          <w:color w:val="auto"/>
        </w:rPr>
      </w:pPr>
    </w:p>
    <w:p>
      <w:pPr>
        <w:ind w:right="16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Lease</w:t>
      </w:r>
      <w:r>
        <w:rPr>
          <w:rFonts w:ascii="Times New Roman" w:cs="Times New Roman" w:eastAsia="Times New Roman" w:hAnsi="Times New Roman"/>
          <w:sz w:val="22"/>
          <w:szCs w:val="22"/>
          <w:color w:val="auto"/>
        </w:rPr>
        <w:t xml:space="preserve">” means any lease of Property which in accordance with GAAP is required to be capitalized on the balance sheet of the lessee;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in no event will any lease that would have been categorized as an operating lease as determined with GAAP as of the Closing Date be considered a Capital Lease (whether or not such lease was in effect on such date) regardless of any change in GAAP following the Closing Date that would otherwise require such obligations to be recharacterized (on a prospective or retroactive basis or otherwise) as a Capital Lease.</w:t>
      </w:r>
    </w:p>
    <w:p>
      <w:pPr>
        <w:spacing w:after="0" w:line="176" w:lineRule="exact"/>
        <w:rPr>
          <w:sz w:val="20"/>
          <w:szCs w:val="20"/>
          <w:color w:val="auto"/>
        </w:rPr>
      </w:pPr>
    </w:p>
    <w:p>
      <w:pPr>
        <w:ind w:right="3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Capitalized Lease Obligation</w:t>
      </w:r>
      <w:r>
        <w:rPr>
          <w:rFonts w:ascii="Times New Roman" w:cs="Times New Roman" w:eastAsia="Times New Roman" w:hAnsi="Times New Roman"/>
          <w:sz w:val="22"/>
          <w:szCs w:val="22"/>
          <w:color w:val="auto"/>
        </w:rPr>
        <w:t>” means, for any Person, the amount of the liability shown on the balance sheet of such Person in respect of a Capital Lease determined in accordance with GAAP.</w:t>
      </w:r>
    </w:p>
    <w:p>
      <w:pPr>
        <w:spacing w:after="0" w:line="150" w:lineRule="exact"/>
        <w:rPr>
          <w:sz w:val="20"/>
          <w:szCs w:val="20"/>
          <w:color w:val="auto"/>
        </w:rPr>
      </w:pPr>
    </w:p>
    <w:p>
      <w:pPr>
        <w:ind w:right="1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Captive Insurance Subsidiary</w:t>
      </w:r>
      <w:r>
        <w:rPr>
          <w:rFonts w:ascii="Times New Roman" w:cs="Times New Roman" w:eastAsia="Times New Roman" w:hAnsi="Times New Roman"/>
          <w:sz w:val="22"/>
          <w:szCs w:val="22"/>
          <w:color w:val="auto"/>
        </w:rPr>
        <w:t>” means any Restricted Subsidiary of the Borrower that is subject to regulation as an insurance company (or any Restricted Subsidiary thereof).</w:t>
      </w:r>
    </w:p>
    <w:p>
      <w:pPr>
        <w:spacing w:after="0" w:line="150"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Equivalents</w:t>
      </w:r>
      <w:r>
        <w:rPr>
          <w:rFonts w:ascii="Times New Roman" w:cs="Times New Roman" w:eastAsia="Times New Roman" w:hAnsi="Times New Roman"/>
          <w:sz w:val="22"/>
          <w:szCs w:val="22"/>
          <w:color w:val="auto"/>
        </w:rPr>
        <w:t xml:space="preserve">” means, as to any Person: (a) investments in direct obligations of the United States of America or any member of the European Union or of any agency or instrumentality thereof whose obligations constitute full faith and credit obligations of the United States of America or any member of the European Union or obligations guaranteed by the United States of America or any member of the European Union or any agency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obligations shall mature within one (1) year of the date of issuance thereof; (b) investments in commercial paper rated at least P-2 by Moody’s or at least A-2 by S&amp;P (or, if at any time neither Moody’s nor S&amp;P shall be rating such obligations, an equivalent rating from another nationally recognized rating service) maturing within 90 days from the date of issuance thereof; (c) investments in certificates of deposit or bankers’ acceptances issued by any Lender or by any domestic or foreign bank having capital and surplus of not less than $500.0 million in the case of U.S. banks and $100.0 million in the case of non-U.S. banks which have a maturity of</w:t>
      </w:r>
    </w:p>
    <w:p>
      <w:pPr>
        <w:sectPr>
          <w:pgSz w:w="11900" w:h="16838" w:orient="portrait"/>
          <w:cols w:equalWidth="0" w:num="1">
            <w:col w:w="11400"/>
          </w:cols>
          <w:pgMar w:left="240" w:top="625" w:right="259" w:bottom="1440" w:gutter="0" w:footer="0" w:header="0"/>
        </w:sectPr>
      </w:pPr>
    </w:p>
    <w:bookmarkStart w:id="125" w:name="page126"/>
    <w:bookmarkEnd w:id="125"/>
    <w:p>
      <w:pPr>
        <w:ind w:right="60"/>
        <w:spacing w:after="0" w:line="244" w:lineRule="auto"/>
        <w:rPr>
          <w:sz w:val="20"/>
          <w:szCs w:val="20"/>
          <w:color w:val="auto"/>
        </w:rPr>
      </w:pPr>
      <w:r>
        <w:rPr>
          <w:rFonts w:ascii="Times New Roman" w:cs="Times New Roman" w:eastAsia="Times New Roman" w:hAnsi="Times New Roman"/>
          <w:sz w:val="22"/>
          <w:szCs w:val="22"/>
          <w:color w:val="auto"/>
        </w:rPr>
        <w:t xml:space="preserve">one (1) year or less; (d) investments in repurchase obligations with a term of not more than thirty (30) days for underlying securities of the types described in clause (a) above entered into with any bank meeting the qualifications specified in clause (c)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agreements require physical delivery of the securities securing such repurchase agreement, except those delivered through the Federal Reserve Book Entry System; (e) marketable short-term money market or similar securities having a rating of at least P-2 by Moody’s or A-2 by S&amp;P (or, if at any time neither Moody’s nor S&amp;P shall be rating such obligations, an equivalent rating from another nationally recognized rating service), (f) (i) Dollars, Canadian dollars, pounds, Euros or any national currency of any participating member state of the EMU; or (ii) in the case of any Foreign Subsidiary that is a Restricted Subsidiary or any jurisdiction in which the Borrower and the Restricted Subsidiaries conduct business, such local currencies held by it from time to time in the ordinary course of business and (g) investments in money market funds that invest at least 90.0% of their assets in investments of the type described in the immediately preceding clauses (a) through (f) above. In the case of investments by any Foreign Subsidiary that is a Restricted Subsidiary or investments made in a country outside the United States of America, Cash Equivalents shall also include (i) investments of the type and maturity described in clauses (a) through (g) above of foreign obligors, which investments or obligors (or the parents of such obligors) have ratings described in such clauses or equivalent ratings from comparable foreign rating agencies and (ii) other short-term investments utilized by Foreign Subsidiaries that are Restricted Subsidiaries in accordance with normal investment practices for cash management in investments analogous to the foregoing investments in clauses (a) through (g) and in this sentence. Notwithstanding the foregoing, Cash Equivalents shall include amounts denominated in currencies other than those set forth in clause (f)(i)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amounts are converted into any currency listed in clause (f)(i) above as promptly as practicable and in any event within ten (10) Business Days following the receipt of such amounts.</w:t>
      </w:r>
    </w:p>
    <w:p>
      <w:pPr>
        <w:spacing w:after="0" w:line="201"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Flow</w:t>
      </w:r>
      <w:r>
        <w:rPr>
          <w:rFonts w:ascii="Times New Roman" w:cs="Times New Roman" w:eastAsia="Times New Roman" w:hAnsi="Times New Roman"/>
          <w:sz w:val="22"/>
          <w:szCs w:val="22"/>
          <w:color w:val="auto"/>
        </w:rPr>
        <w:t xml:space="preserve">” means, with reference to any period, the difference (if any) of (a) Consolidated Net Income for such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sum of all amounts deducted in arriving at such Consolidated Net Income amount in respect of all Charges for (without duplication) (i) depreciation of fixed assets and amortization of intangible assets for such period and (ii) all other Non-Cash Charges for such period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additions (reductions) to Consolidated Working Capital of the Borrower and its Restricted Subsidiaries for such period (but excluding any such addition or reduction, as applicable, arising from any Acquisition or Disposition by the Borrower or any of its Restricted Subsidiaries or the reclassification during such period of current assets to long term assets (and vice versa) and current liabilities to long term liabilities (and vice versa) and the application of purchase accounting)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(c) all non-cash gains or benefits added in computing Consolidated Net Income for such period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(d) any non-cash charges (gains) attributable to the movement in the mark to market valuation of Hedging Obligations or other derivative instruments pursuant to GAAP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(e) any effects of purchase accounting adjustments (including the effects of such adjustments pushed down to such person and such Subsidiaries) in amounts required or permitted by GAAP, resulting from the application of purchase accounting in relation to any consummated acquisition or the</w:t>
      </w:r>
    </w:p>
    <w:p>
      <w:pPr>
        <w:sectPr>
          <w:pgSz w:w="11900" w:h="16838" w:orient="portrait"/>
          <w:cols w:equalWidth="0" w:num="1">
            <w:col w:w="11420"/>
          </w:cols>
          <w:pgMar w:left="240" w:top="625" w:right="239" w:bottom="1440" w:gutter="0" w:footer="0" w:header="0"/>
        </w:sectPr>
      </w:pPr>
    </w:p>
    <w:bookmarkStart w:id="126" w:name="page127"/>
    <w:bookmarkEnd w:id="126"/>
    <w:p>
      <w:pPr>
        <w:spacing w:after="0" w:line="251" w:lineRule="auto"/>
        <w:rPr>
          <w:sz w:val="20"/>
          <w:szCs w:val="20"/>
          <w:color w:val="auto"/>
        </w:rPr>
      </w:pPr>
      <w:r>
        <w:rPr>
          <w:rFonts w:ascii="Times New Roman" w:cs="Times New Roman" w:eastAsia="Times New Roman" w:hAnsi="Times New Roman"/>
          <w:sz w:val="22"/>
          <w:szCs w:val="22"/>
          <w:color w:val="auto"/>
        </w:rPr>
        <w:t xml:space="preserve">amortization or write-off of any amounts thereof, net of Taxes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(f) any net unrealized gain (loss) (after any offset) resulting in such period from currency translation and transaction gains (losses) including those related to currency remeasurements of Indebtedness (including any net gain (loss) resulting from (i) Hedging Obligations for currency exchange risk and (ii) resulting from intercompany indebtedness) and any other foreign currency transaction or translation gains and losses, to the extent such gains (losses) are non-cash items.</w:t>
      </w:r>
    </w:p>
    <w:p>
      <w:pPr>
        <w:spacing w:after="0" w:line="176" w:lineRule="exact"/>
        <w:rPr>
          <w:sz w:val="20"/>
          <w:szCs w:val="20"/>
          <w:color w:val="auto"/>
        </w:rPr>
      </w:pPr>
    </w:p>
    <w:p>
      <w:pPr>
        <w:ind w:right="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Management Services</w:t>
      </w:r>
      <w:r>
        <w:rPr>
          <w:rFonts w:ascii="Times New Roman" w:cs="Times New Roman" w:eastAsia="Times New Roman" w:hAnsi="Times New Roman"/>
          <w:sz w:val="22"/>
          <w:szCs w:val="22"/>
          <w:color w:val="auto"/>
        </w:rPr>
        <w:t>” means treasury, depository, overdraft, credit or debit card, including noncard payables services, purchase card, electronic funds transfer, automated clearing house fund transfer services and other cash management services.</w:t>
      </w:r>
    </w:p>
    <w:p>
      <w:pPr>
        <w:spacing w:after="0" w:line="167" w:lineRule="exact"/>
        <w:rPr>
          <w:sz w:val="20"/>
          <w:szCs w:val="20"/>
          <w:color w:val="auto"/>
        </w:rPr>
      </w:pPr>
    </w:p>
    <w:p>
      <w:pPr>
        <w:ind w:right="2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Cayman Share Mortgage</w:t>
      </w:r>
      <w:r>
        <w:rPr>
          <w:rFonts w:ascii="Times New Roman" w:cs="Times New Roman" w:eastAsia="Times New Roman" w:hAnsi="Times New Roman"/>
          <w:sz w:val="22"/>
          <w:szCs w:val="22"/>
          <w:color w:val="auto"/>
        </w:rPr>
        <w:t>” means the Cayman Islands law governed equitable share mortgage in respect of shares of Western Digital International Ltd. dated as of the Escrow Release Date between Western Digital Technologies, Inc. and the Collateral Agent.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CFC</w:t>
      </w:r>
      <w:r>
        <w:rPr>
          <w:rFonts w:ascii="Times New Roman" w:cs="Times New Roman" w:eastAsia="Times New Roman" w:hAnsi="Times New Roman"/>
          <w:sz w:val="22"/>
          <w:szCs w:val="22"/>
          <w:color w:val="auto"/>
        </w:rPr>
        <w:t>” means a “controlled foreign corporation” within the meaning of Section 957 of the Code.</w:t>
      </w:r>
    </w:p>
    <w:p>
      <w:pPr>
        <w:spacing w:after="0" w:line="220" w:lineRule="exact"/>
        <w:rPr>
          <w:sz w:val="20"/>
          <w:szCs w:val="20"/>
          <w:color w:val="auto"/>
        </w:rPr>
      </w:pPr>
    </w:p>
    <w:p>
      <w:pPr>
        <w:ind w:right="3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CFC Holdco</w:t>
      </w:r>
      <w:r>
        <w:rPr>
          <w:rFonts w:ascii="Times New Roman" w:cs="Times New Roman" w:eastAsia="Times New Roman" w:hAnsi="Times New Roman"/>
          <w:sz w:val="22"/>
          <w:szCs w:val="22"/>
          <w:color w:val="auto"/>
        </w:rPr>
        <w:t>” means any Domestic Subsidiary with no material assets other than equity interests of one or more Foreign Subsidiaries that are CFCs.</w:t>
      </w:r>
    </w:p>
    <w:p>
      <w:pPr>
        <w:spacing w:after="0" w:line="150" w:lineRule="exact"/>
        <w:rPr>
          <w:sz w:val="20"/>
          <w:szCs w:val="20"/>
          <w:color w:val="auto"/>
        </w:rPr>
      </w:pPr>
    </w:p>
    <w:p>
      <w:pPr>
        <w:ind w:right="40" w:firstLine="1297"/>
        <w:spacing w:after="0" w:line="246"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shall be deemed to have occurred if (a) any “person” or “group” (as such terms (and each other reference thereto in this clause) are used in Sections 13(d) and 14(d) of the Securities Exchange Act of 1934, but excluding any employee benefit plan of such Person and its subsidiaries, and any Person or entity acting in its capacity as trustee, agent or other fiduciary or administrator of any such plan), shall become the “beneficial owner” (as defined in Rules 13(d)-3 and 13(d)-5 under such Act), directly or indirectly, of more than 35.00% of outstanding Voting Stock of the Borrower or (b) during any 24 consecutive month period, commencing after the Escrow Release Date, the board of directors of the Borrower shall cease to consist of a majority of Continuing Directors. Notwithstanding the foregoing, a transaction will not be deemed to involve a Change of Control if (x) the Borrower becomes a direct or indirect wholly-owned Subsidiary of another Person and (y) (i) the shares of the Borrower’s Voting Stock outstanding immediately prior to such transaction constitute, or are converted into or exchanged for, a majority of the Voting Stock of such Person immediately after giving effect to such transaction or (ii) immediately following that transaction, no Person (other than a Person satisfying the requirements of this sentence) is the beneficial owner, directly or indirectly, of more than 50% of the voting power of the Voting Stock of such Person.</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changed date</w:t>
      </w:r>
      <w:r>
        <w:rPr>
          <w:rFonts w:ascii="Times New Roman" w:cs="Times New Roman" w:eastAsia="Times New Roman" w:hAnsi="Times New Roman"/>
          <w:sz w:val="22"/>
          <w:szCs w:val="22"/>
          <w:color w:val="auto"/>
        </w:rPr>
        <w:t>” shall have the meaning assigned to such term in the definition of the term “Fiscal Quarter End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Charges</w:t>
      </w:r>
      <w:r>
        <w:rPr>
          <w:rFonts w:ascii="Times New Roman" w:cs="Times New Roman" w:eastAsia="Times New Roman" w:hAnsi="Times New Roman"/>
          <w:sz w:val="22"/>
          <w:szCs w:val="22"/>
          <w:color w:val="auto"/>
        </w:rPr>
        <w:t>” means any charge, expense, cost, accrual or reserve of any kind.</w:t>
      </w:r>
    </w:p>
    <w:p>
      <w:pPr>
        <w:sectPr>
          <w:pgSz w:w="11900" w:h="16838" w:orient="portrait"/>
          <w:cols w:equalWidth="0" w:num="1">
            <w:col w:w="11420"/>
          </w:cols>
          <w:pgMar w:left="240" w:top="621" w:right="239" w:bottom="1440" w:gutter="0" w:footer="0" w:header="0"/>
        </w:sectPr>
      </w:pPr>
    </w:p>
    <w:bookmarkStart w:id="127" w:name="page128"/>
    <w:bookmarkEnd w:id="127"/>
    <w:p>
      <w:pPr>
        <w:ind w:right="2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Class</w:t>
      </w:r>
      <w:r>
        <w:rPr>
          <w:rFonts w:ascii="Times New Roman" w:cs="Times New Roman" w:eastAsia="Times New Roman" w:hAnsi="Times New Roman"/>
          <w:sz w:val="22"/>
          <w:szCs w:val="22"/>
          <w:color w:val="auto"/>
        </w:rPr>
        <w:t>” means (a) with respect to Lenders, each of the following classes of Lenders: (i) Lenders having Term A-1 Loan Commitments or outstanding Term A-1 Loans, (ii) Lenders having U.S. Term B-4 Commitments or outstanding U.S. Term B-4 Loans or (iii) Lenders having Revolving Exposure and (b) with respect to Loans, each of the following classes of Loans: (i) Term A-1 Loans, (ii) U.S. Term B-4 Loans and (iii) Revolving Loans.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w:t>
      </w:r>
      <w:r>
        <w:rPr>
          <w:rFonts w:ascii="Times New Roman" w:cs="Times New Roman" w:eastAsia="Times New Roman" w:hAnsi="Times New Roman"/>
          <w:sz w:val="22"/>
          <w:szCs w:val="22"/>
          <w:color w:val="auto"/>
        </w:rPr>
        <w:t>” means April 29, 2016.</w:t>
      </w:r>
    </w:p>
    <w:p>
      <w:pPr>
        <w:spacing w:after="0" w:line="220" w:lineRule="exact"/>
        <w:rPr>
          <w:sz w:val="20"/>
          <w:szCs w:val="20"/>
          <w:color w:val="auto"/>
        </w:rPr>
      </w:pPr>
    </w:p>
    <w:p>
      <w:pPr>
        <w:ind w:right="16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Co-Documentation Agents</w:t>
      </w:r>
      <w:r>
        <w:rPr>
          <w:rFonts w:ascii="Times New Roman" w:cs="Times New Roman" w:eastAsia="Times New Roman" w:hAnsi="Times New Roman"/>
          <w:sz w:val="22"/>
          <w:szCs w:val="22"/>
          <w:color w:val="auto"/>
        </w:rPr>
        <w:t>” means, collectively, The Bank of Tokyo-Mitsubishi UFJ, Ltd., SunTrust Bank, HSBC Bank PLC, Sumitomo Mitsui Banking Corporation, Citibank, N.A., TD Bank, N.A., BBVA Compass, The Bank of Nova Scotia and BNP Paribas SA.</w:t>
      </w:r>
    </w:p>
    <w:p>
      <w:pPr>
        <w:spacing w:after="0" w:line="167" w:lineRule="exact"/>
        <w:rPr>
          <w:sz w:val="20"/>
          <w:szCs w:val="20"/>
          <w:color w:val="auto"/>
        </w:rPr>
      </w:pPr>
    </w:p>
    <w:p>
      <w:pPr>
        <w:ind w:right="3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Co-Syndication Agents</w:t>
      </w:r>
      <w:r>
        <w:rPr>
          <w:rFonts w:ascii="Times New Roman" w:cs="Times New Roman" w:eastAsia="Times New Roman" w:hAnsi="Times New Roman"/>
          <w:sz w:val="22"/>
          <w:szCs w:val="22"/>
          <w:color w:val="auto"/>
        </w:rPr>
        <w:t>” means, collectively, J.P. Morgan Securities LLC Bank of America, N.A., Mizuho Bank, Ltd., RBC Capital Markets and Wells Fargo Securities, LLC.</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w:t>
      </w:r>
    </w:p>
    <w:p>
      <w:pPr>
        <w:spacing w:after="0" w:line="220"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w:t>
      </w:r>
      <w:r>
        <w:rPr>
          <w:rFonts w:ascii="Times New Roman" w:cs="Times New Roman" w:eastAsia="Times New Roman" w:hAnsi="Times New Roman"/>
          <w:sz w:val="22"/>
          <w:szCs w:val="22"/>
          <w:color w:val="auto"/>
        </w:rPr>
        <w:t>” means (a) prior to the Escrow Release Date, the Escrow Account Funds and (b) on and after the Escrow Release Date, all properties, rights, interests, and privileges of the Loan Parties on which a Lien is required to be granted to the Collateral Agent, or any security trustee therefor, by Section 4.1 and Section 4.2.</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Account</w:t>
      </w:r>
      <w:r>
        <w:rPr>
          <w:rFonts w:ascii="Times New Roman" w:cs="Times New Roman" w:eastAsia="Times New Roman" w:hAnsi="Times New Roman"/>
          <w:sz w:val="22"/>
          <w:szCs w:val="22"/>
          <w:color w:val="auto"/>
        </w:rPr>
        <w:t>” is defined in Section 7.4(b)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Agent</w:t>
      </w:r>
      <w:r>
        <w:rPr>
          <w:rFonts w:ascii="Times New Roman" w:cs="Times New Roman" w:eastAsia="Times New Roman" w:hAnsi="Times New Roman"/>
          <w:sz w:val="22"/>
          <w:szCs w:val="22"/>
          <w:color w:val="auto"/>
        </w:rPr>
        <w:t>” means JPMorgan Chase Bank, N.A. and any successor pursuant to Section 9.7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and Guarantee Period</w:t>
      </w:r>
      <w:r>
        <w:rPr>
          <w:rFonts w:ascii="Times New Roman" w:cs="Times New Roman" w:eastAsia="Times New Roman" w:hAnsi="Times New Roman"/>
          <w:sz w:val="22"/>
          <w:szCs w:val="22"/>
          <w:color w:val="auto"/>
        </w:rPr>
        <w:t>” is defined in Section 9.12 hereof.</w:t>
      </w:r>
    </w:p>
    <w:p>
      <w:pPr>
        <w:spacing w:after="0" w:line="220" w:lineRule="exact"/>
        <w:rPr>
          <w:sz w:val="20"/>
          <w:szCs w:val="20"/>
          <w:color w:val="auto"/>
        </w:rPr>
      </w:pPr>
    </w:p>
    <w:p>
      <w:pPr>
        <w:ind w:right="40"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and Guarantee Suspension Date</w:t>
      </w:r>
      <w:r>
        <w:rPr>
          <w:rFonts w:ascii="Times New Roman" w:cs="Times New Roman" w:eastAsia="Times New Roman" w:hAnsi="Times New Roman"/>
          <w:sz w:val="22"/>
          <w:szCs w:val="22"/>
          <w:color w:val="auto"/>
        </w:rPr>
        <w:t>” means any Business Day following the Amendment No. 7 Effective Date on which (I) (a) the Borrower has achieved a corporate family rating equal to or higher than the following from at least two of the following three ratings agencies: (i) at least Ba1 from Moody’s, (ii) at least BB+ from S&amp;P and (iii) at least BB+ from Fitch, in each case, with a stable or better outlook, (b) there exists no Priority Debt then outstanding other than (x) Priority Debt in an aggregate amount not in excess of the greater of $2,000 million and 12.5% of Consolidated Total Assets and (y) the Obligations under this Agreement (to the extent constituting Priority Debt) (assuming for purposes of this clause (b), that a Collateral and Guarantee Suspension Period is in effect) and (c) no U.S. Term B-4 Loans or any other term B Loans under this Agreement remain outstanding and (II) the Administrative Agent shall have received a certificate from a Responsible Officer of the Borrower certifying as to the satisfaction (or concurrent satisfaction) of the foregoing.</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and Guarantee Suspension Period</w:t>
      </w:r>
      <w:r>
        <w:rPr>
          <w:rFonts w:ascii="Times New Roman" w:cs="Times New Roman" w:eastAsia="Times New Roman" w:hAnsi="Times New Roman"/>
          <w:sz w:val="22"/>
          <w:szCs w:val="22"/>
          <w:color w:val="auto"/>
        </w:rPr>
        <w:t>” is defined in Section 9.12 hereof.</w:t>
      </w:r>
    </w:p>
    <w:p>
      <w:pPr>
        <w:sectPr>
          <w:pgSz w:w="11900" w:h="16838" w:orient="portrait"/>
          <w:cols w:equalWidth="0" w:num="1">
            <w:col w:w="11400"/>
          </w:cols>
          <w:pgMar w:left="240" w:top="621" w:right="259" w:bottom="1440" w:gutter="0" w:footer="0" w:header="0"/>
        </w:sectPr>
      </w:pPr>
    </w:p>
    <w:bookmarkStart w:id="128" w:name="page129"/>
    <w:bookmarkEnd w:id="128"/>
    <w:p>
      <w:pPr>
        <w:ind w:right="2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Documents</w:t>
      </w:r>
      <w:r>
        <w:rPr>
          <w:rFonts w:ascii="Times New Roman" w:cs="Times New Roman" w:eastAsia="Times New Roman" w:hAnsi="Times New Roman"/>
          <w:sz w:val="22"/>
          <w:szCs w:val="22"/>
          <w:color w:val="auto"/>
        </w:rPr>
        <w:t>” means the Escrow Agreement, the Security Agreement (as supplemented by each Security Agreement Supplement), the Intellectual Property Security Agreements, the Cayman Share Mortgage, Mortgages and all other security agreements, pledge agreements, assignments, financing statements and other documents pursuant to which Liens are granted to the Collateral Agent or such Liens are perfected, and as shall from time to time secure the Obligations, the Hedging Liability, and the Funds Transfer Liability, Deposit Account Liability and Data Processing Obligations, or any part thereof pursuant to Article 4.</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Reinstatement Date</w:t>
      </w:r>
      <w:r>
        <w:rPr>
          <w:rFonts w:ascii="Times New Roman" w:cs="Times New Roman" w:eastAsia="Times New Roman" w:hAnsi="Times New Roman"/>
          <w:sz w:val="22"/>
          <w:szCs w:val="22"/>
          <w:color w:val="auto"/>
        </w:rPr>
        <w:t>” is defined in Section 9.12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is defined in Section 2.13(a)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Increase</w:t>
      </w:r>
      <w:r>
        <w:rPr>
          <w:rFonts w:ascii="Times New Roman" w:cs="Times New Roman" w:eastAsia="Times New Roman" w:hAnsi="Times New Roman"/>
          <w:sz w:val="22"/>
          <w:szCs w:val="22"/>
          <w:color w:val="auto"/>
        </w:rPr>
        <w:t>” is defined in Section 2.14(a) hereof.</w:t>
      </w:r>
    </w:p>
    <w:p>
      <w:pPr>
        <w:spacing w:after="0" w:line="220" w:lineRule="exact"/>
        <w:rPr>
          <w:sz w:val="20"/>
          <w:szCs w:val="20"/>
          <w:color w:val="auto"/>
        </w:rPr>
      </w:pPr>
    </w:p>
    <w:p>
      <w:pPr>
        <w:ind w:right="1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Commitments</w:t>
      </w:r>
      <w:r>
        <w:rPr>
          <w:rFonts w:ascii="Times New Roman" w:cs="Times New Roman" w:eastAsia="Times New Roman" w:hAnsi="Times New Roman"/>
          <w:sz w:val="22"/>
          <w:szCs w:val="22"/>
          <w:color w:val="auto"/>
        </w:rPr>
        <w:t>” means, with respect to any Lender, such Lender’s applicable Revolving Credit Commitment and/or Term Loan Commitment.</w:t>
      </w:r>
    </w:p>
    <w:p>
      <w:pPr>
        <w:spacing w:after="0" w:line="150" w:lineRule="exact"/>
        <w:rPr>
          <w:sz w:val="20"/>
          <w:szCs w:val="20"/>
          <w:color w:val="auto"/>
        </w:rPr>
      </w:pPr>
    </w:p>
    <w:p>
      <w:pPr>
        <w:ind w:right="2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 from time to time, and any successor statute.</w:t>
      </w:r>
    </w:p>
    <w:p>
      <w:pPr>
        <w:spacing w:after="0" w:line="150" w:lineRule="exact"/>
        <w:rPr>
          <w:sz w:val="20"/>
          <w:szCs w:val="20"/>
          <w:color w:val="auto"/>
        </w:rPr>
      </w:pPr>
    </w:p>
    <w:p>
      <w:pPr>
        <w:ind w:right="5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Material Adverse Effect</w:t>
      </w:r>
      <w:r>
        <w:rPr>
          <w:rFonts w:ascii="Times New Roman" w:cs="Times New Roman" w:eastAsia="Times New Roman" w:hAnsi="Times New Roman"/>
          <w:sz w:val="22"/>
          <w:szCs w:val="22"/>
          <w:color w:val="auto"/>
        </w:rPr>
        <w:t>” has the meaning assigned to that term in the Acquisition Agreement (as in effect on the Closing Date).</w:t>
      </w:r>
    </w:p>
    <w:p>
      <w:pPr>
        <w:spacing w:after="0" w:line="150" w:lineRule="exact"/>
        <w:rPr>
          <w:sz w:val="20"/>
          <w:szCs w:val="20"/>
          <w:color w:val="auto"/>
        </w:rPr>
      </w:pPr>
    </w:p>
    <w:p>
      <w:pPr>
        <w:ind w:right="6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Compliance Certificate</w:t>
      </w:r>
      <w:r>
        <w:rPr>
          <w:rFonts w:ascii="Times New Roman" w:cs="Times New Roman" w:eastAsia="Times New Roman" w:hAnsi="Times New Roman"/>
          <w:sz w:val="22"/>
          <w:szCs w:val="22"/>
          <w:color w:val="auto"/>
        </w:rPr>
        <w:t xml:space="preserve">” means the Compliance Certificate to be delivered pursuant to Section 6.1(e) hereof,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hereof.</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Adjusted EBITDA</w:t>
      </w:r>
      <w:r>
        <w:rPr>
          <w:rFonts w:ascii="Times New Roman" w:cs="Times New Roman" w:eastAsia="Times New Roman" w:hAnsi="Times New Roman"/>
          <w:sz w:val="22"/>
          <w:szCs w:val="22"/>
          <w:color w:val="auto"/>
        </w:rPr>
        <w:t xml:space="preserve">” means, for any period, the Consolidated Net Income for such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660" w:right="260" w:firstLine="645"/>
        <w:spacing w:after="0" w:line="295" w:lineRule="auto"/>
        <w:tabs>
          <w:tab w:leader="none" w:pos="176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and to the extent already deducted (and not added back) in arriving at such Consolidated Net Income (other than in the case of clause (xii) below), the sum of the following amounts for such period:</w:t>
      </w:r>
    </w:p>
    <w:p>
      <w:pPr>
        <w:spacing w:after="0" w:line="131" w:lineRule="exact"/>
        <w:rPr>
          <w:rFonts w:ascii="Times New Roman" w:cs="Times New Roman" w:eastAsia="Times New Roman" w:hAnsi="Times New Roman"/>
          <w:sz w:val="21"/>
          <w:szCs w:val="21"/>
          <w:color w:val="auto"/>
        </w:rPr>
      </w:pPr>
    </w:p>
    <w:p>
      <w:pPr>
        <w:ind w:left="1300" w:firstLine="653"/>
        <w:spacing w:after="0" w:line="255" w:lineRule="auto"/>
        <w:tabs>
          <w:tab w:leader="none" w:pos="247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(including, to the extent deducted and not added back in computing Consolidated Net Income, (A) amortization of original issue discount resulting from the issuance of Indebtedness at less than par, (B) all commissions, discounts and other fees and charges owed with respect to letters of credit or bankers’ acceptances, (C) non-cash interest payments, (D) the interest component of Capitalized Lease Obligations, (E) net payments, if any, made (less net amounts, if any, received) pursuant to interest rate hedging obligations with respect to Indebtedness, (F) amortization or write-off of deferred financing fees, debt issuance costs, commissions, fees and expenses, including commitment, letter of credit and administrative fees and charges with respect to Indebtedness permitted to be incurred hereunder and (G) any expensing of bridge, commitment and other financing fees), after giving effect to the impact of interest rate risk hedging, and, to the extent not reflected in such interest expense, unused line fees and letter of credit fees payable hereunder,</w:t>
      </w:r>
    </w:p>
    <w:p>
      <w:pPr>
        <w:sectPr>
          <w:pgSz w:w="11900" w:h="16838" w:orient="portrait"/>
          <w:cols w:equalWidth="0" w:num="1">
            <w:col w:w="11400"/>
          </w:cols>
          <w:pgMar w:left="240" w:top="621" w:right="259" w:bottom="1440" w:gutter="0" w:footer="0" w:header="0"/>
        </w:sectPr>
      </w:pPr>
    </w:p>
    <w:bookmarkStart w:id="129" w:name="page130"/>
    <w:bookmarkEnd w:id="129"/>
    <w:p>
      <w:pPr>
        <w:ind w:left="100" w:right="100" w:firstLine="653"/>
        <w:spacing w:after="0" w:line="282" w:lineRule="auto"/>
        <w:tabs>
          <w:tab w:leader="none" w:pos="13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profits or capital, including federal, foreign, state, franchise, excise and similar taxes paid or accrued during such period (including in respect of repatriated funds),</w:t>
      </w:r>
    </w:p>
    <w:p>
      <w:pPr>
        <w:spacing w:after="0" w:line="161" w:lineRule="exact"/>
        <w:rPr>
          <w:rFonts w:ascii="Times New Roman" w:cs="Times New Roman" w:eastAsia="Times New Roman" w:hAnsi="Times New Roman"/>
          <w:sz w:val="18"/>
          <w:szCs w:val="18"/>
          <w:color w:val="auto"/>
        </w:rPr>
      </w:pPr>
    </w:p>
    <w:p>
      <w:pPr>
        <w:ind w:left="100" w:firstLine="653"/>
        <w:spacing w:after="0" w:line="256" w:lineRule="auto"/>
        <w:tabs>
          <w:tab w:leader="none" w:pos="119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including amortization of intangible assets established through purchase accounting and amortization of deferred financing fees or costs (which shall include, without duplication, with respect to calculation of the Leverage Ratio and the ratio of Consolidated Adjusted EBITDA to Interest Expense for purposes of Section 6.22 only, payments by the Borrower or the Restricted Subsidiaries to Flash Partners Ltd., Flash Alliance Ltd., Flash Forward Ltd. or any other joint venture with Toshiba Corporation or Toshiba Memory Corporation (or any of their Affiliates) with respect to the Borrower or a Restricted Subsidiary’s 50% (or other) share of such joint venture’s expense related to equipment depreciation),</w:t>
      </w:r>
    </w:p>
    <w:p>
      <w:pPr>
        <w:spacing w:after="0" w:line="187" w:lineRule="exact"/>
        <w:rPr>
          <w:rFonts w:ascii="Times New Roman" w:cs="Times New Roman" w:eastAsia="Times New Roman" w:hAnsi="Times New Roman"/>
          <w:sz w:val="18"/>
          <w:szCs w:val="18"/>
          <w:color w:val="auto"/>
        </w:rPr>
      </w:pPr>
    </w:p>
    <w:p>
      <w:pPr>
        <w:jc w:val="both"/>
        <w:ind w:left="100" w:right="600" w:firstLine="653"/>
        <w:spacing w:after="0" w:line="266" w:lineRule="auto"/>
        <w:tabs>
          <w:tab w:leader="none" w:pos="11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Charges (other than depreciation or amortization expense) related to any equity offering, investment, acquisition, disposition, recapitalization or the incurrence or repayment of Indebtedness (including a refinancing or amendment, waiver or other modification thereof) (whether or not successful), including in connection with the Transactions,</w:t>
      </w:r>
    </w:p>
    <w:p>
      <w:pPr>
        <w:spacing w:after="0" w:line="176" w:lineRule="exact"/>
        <w:rPr>
          <w:rFonts w:ascii="Times New Roman" w:cs="Times New Roman" w:eastAsia="Times New Roman" w:hAnsi="Times New Roman"/>
          <w:sz w:val="18"/>
          <w:szCs w:val="18"/>
          <w:color w:val="auto"/>
        </w:rPr>
      </w:pPr>
    </w:p>
    <w:p>
      <w:pPr>
        <w:ind w:left="1320" w:hanging="567"/>
        <w:spacing w:after="0"/>
        <w:tabs>
          <w:tab w:leader="none" w:pos="13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w:t>
      </w:r>
    </w:p>
    <w:p>
      <w:pPr>
        <w:spacing w:after="0" w:line="225" w:lineRule="exact"/>
        <w:rPr>
          <w:rFonts w:ascii="Times New Roman" w:cs="Times New Roman" w:eastAsia="Times New Roman" w:hAnsi="Times New Roman"/>
          <w:sz w:val="18"/>
          <w:szCs w:val="18"/>
          <w:color w:val="auto"/>
        </w:rPr>
      </w:pPr>
    </w:p>
    <w:p>
      <w:pPr>
        <w:ind w:left="1200" w:hanging="447"/>
        <w:spacing w:after="0"/>
        <w:tabs>
          <w:tab w:leader="none" w:pos="1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extraordinary Charges and (B) unusual or nonrecurring Charges, in each case, to the extent not of a type described in</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(viii),</w:t>
      </w:r>
    </w:p>
    <w:p>
      <w:pPr>
        <w:spacing w:after="0" w:line="206" w:lineRule="exact"/>
        <w:rPr>
          <w:rFonts w:ascii="Times New Roman" w:cs="Times New Roman" w:eastAsia="Times New Roman" w:hAnsi="Times New Roman"/>
          <w:sz w:val="18"/>
          <w:szCs w:val="18"/>
          <w:color w:val="auto"/>
        </w:rPr>
      </w:pPr>
    </w:p>
    <w:p>
      <w:pPr>
        <w:ind w:left="100" w:right="40" w:firstLine="653"/>
        <w:spacing w:after="0" w:line="282" w:lineRule="auto"/>
        <w:tabs>
          <w:tab w:leader="none" w:pos="123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and Non-Cash Charges and expenses incurred before the Closing Date with respect to the Seagate Arbitration to the extent that the aggregate amount of all such Charges and expenses do not exceed $32 million,</w:t>
      </w:r>
    </w:p>
    <w:p>
      <w:pPr>
        <w:spacing w:after="0" w:line="161" w:lineRule="exact"/>
        <w:rPr>
          <w:rFonts w:ascii="Times New Roman" w:cs="Times New Roman" w:eastAsia="Times New Roman" w:hAnsi="Times New Roman"/>
          <w:sz w:val="18"/>
          <w:szCs w:val="18"/>
          <w:color w:val="auto"/>
        </w:rPr>
      </w:pPr>
    </w:p>
    <w:p>
      <w:pPr>
        <w:ind w:left="100" w:right="40" w:firstLine="653"/>
        <w:spacing w:after="0" w:line="253" w:lineRule="auto"/>
        <w:tabs>
          <w:tab w:leader="none" w:pos="12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Charges attributable to the undertaking and/or implementation of cost savings initiatives, operating expense reductions and other restructuring, integration or transformational charges (including inventory optimization expenses, business optimization expenses, transaction costs and costs related to the opening, closure, consolidation or separation of facilities and curtailments, costs related to entry into new markets, consulting fees, recruiter fees, signing costs, retention or completion bonuses, transition costs, relocation costs, severance payments, and modifications to pension and post-retirement employee benefit plans);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amounts added back pursuant to this clause (viii), together with any amounts added back pursuant to clause (xii) below and the amount of any Pro Forma Adjustment to Consolidated Adjusted EBITDA for such period, shall not exceed the greater of $500 million and 15% of Consolidated Adjusted EBITDA for such period (calculated prior to giving effect to any such add-back);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Charges relating to (A) the Transactions and</w:t>
      </w:r>
    </w:p>
    <w:p>
      <w:pPr>
        <w:spacing w:after="0" w:line="1" w:lineRule="exact"/>
        <w:rPr>
          <w:rFonts w:ascii="Times New Roman" w:cs="Times New Roman" w:eastAsia="Times New Roman" w:hAnsi="Times New Roman"/>
          <w:sz w:val="18"/>
          <w:szCs w:val="18"/>
          <w:color w:val="auto"/>
        </w:rPr>
      </w:pPr>
    </w:p>
    <w:p>
      <w:pPr>
        <w:ind w:left="100" w:right="40" w:firstLine="5"/>
        <w:spacing w:after="0" w:line="255" w:lineRule="auto"/>
        <w:tabs>
          <w:tab w:leader="none" w:pos="3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$800 million of the foregoing in connection with the MOFCOM Restructuring, in each case, added back to Consolidated Adjusted EBITDA pursuant to this clause (viii) for any period ending on or prior to the 24th month following the Escrow Release Date shall not be subject to the caps in the preceding proviso,</w:t>
      </w:r>
    </w:p>
    <w:p>
      <w:pPr>
        <w:spacing w:after="0" w:line="186" w:lineRule="exact"/>
        <w:rPr>
          <w:rFonts w:ascii="Times New Roman" w:cs="Times New Roman" w:eastAsia="Times New Roman" w:hAnsi="Times New Roman"/>
          <w:sz w:val="18"/>
          <w:szCs w:val="18"/>
          <w:color w:val="auto"/>
        </w:rPr>
      </w:pPr>
    </w:p>
    <w:p>
      <w:pPr>
        <w:ind w:left="100" w:right="60" w:firstLine="653"/>
        <w:spacing w:after="0" w:line="282" w:lineRule="auto"/>
        <w:tabs>
          <w:tab w:leader="none" w:pos="11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minority interest expense consisting of subsidiary income attributable to minority Equity Interests of third parties in any non-Wholly-owned Subsidiary,</w:t>
      </w:r>
    </w:p>
    <w:p>
      <w:pPr>
        <w:spacing w:after="0" w:line="161" w:lineRule="exact"/>
        <w:rPr>
          <w:rFonts w:ascii="Times New Roman" w:cs="Times New Roman" w:eastAsia="Times New Roman" w:hAnsi="Times New Roman"/>
          <w:sz w:val="18"/>
          <w:szCs w:val="18"/>
          <w:color w:val="auto"/>
        </w:rPr>
      </w:pPr>
    </w:p>
    <w:p>
      <w:pPr>
        <w:ind w:left="1320" w:hanging="567"/>
        <w:spacing w:after="0"/>
        <w:tabs>
          <w:tab w:leader="none" w:pos="13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00" w:hanging="447"/>
        <w:spacing w:after="0"/>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10220"/>
          </w:cols>
          <w:pgMar w:left="1440" w:top="621" w:right="239" w:bottom="1440" w:gutter="0" w:footer="0" w:header="0"/>
        </w:sectPr>
      </w:pPr>
    </w:p>
    <w:bookmarkStart w:id="130" w:name="page131"/>
    <w:bookmarkEnd w:id="130"/>
    <w:p>
      <w:pPr>
        <w:ind w:left="100" w:firstLine="653"/>
        <w:spacing w:after="0" w:line="254" w:lineRule="auto"/>
        <w:tabs>
          <w:tab w:leader="none" w:pos="123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expected cost savings, operating expense reductions, restructuring charges and expenses and synergies (net of the amount of actual amounts realized) reasonably identifiable and factually supportable and reasonably anticipated to be realized within 18 months of the date thereof (in the good faith determination of the Borrower) related to permitted asset sales, acquisitions, investments, dispositions, operating improvements, restructurings, cost savings initiatives and certain other similar initiatives and specified transactions conducted after the Escrow Release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amounts added back pursuant to this clause (xii), together with any amounts added back pursuant to clause (viii) above and the amount of any Pro Forma Adjustment to Consolidated Adjusted EBITDA for such period, shall not exceed the greater of $500 million and 15% of Consolidated Adjusted EBITDA for such period (calculated prior to giving effect to any such add-back);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of the foregoing in connection with (A) the Transactions and (B) up to $650 million of the foregoing in connection with the MOFCOM Restructuring, in each case, added back to Consolidated Adjusted EBITDA pursuant to this clause (xii) for any period ending on or prior to the 24th month following the Escrow Release Date shall not be subject to the caps in the preceding proviso,</w:t>
      </w:r>
    </w:p>
    <w:p>
      <w:pPr>
        <w:spacing w:after="0" w:line="186" w:lineRule="exact"/>
        <w:rPr>
          <w:rFonts w:ascii="Times New Roman" w:cs="Times New Roman" w:eastAsia="Times New Roman" w:hAnsi="Times New Roman"/>
          <w:sz w:val="18"/>
          <w:szCs w:val="18"/>
          <w:color w:val="auto"/>
        </w:rPr>
      </w:pPr>
    </w:p>
    <w:p>
      <w:pPr>
        <w:ind w:left="100" w:right="60" w:firstLine="653"/>
        <w:spacing w:after="0" w:line="261" w:lineRule="auto"/>
        <w:tabs>
          <w:tab w:leader="none" w:pos="12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 fees, costs and expenses incurred to the extent reimbursable by third parties pursuant to indemnification provisions or insurance;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in good faith expects to receive reimbursement for such fees, costs and expenses within the next four (4) fiscal quarters (it being understood that to the extent not actually received within such fiscal quarters, such reimbursement amounts shall be deducted in calculating Consolidated Adjusted EBITDA at the end of such four fiscal quarter period),</w:t>
      </w:r>
    </w:p>
    <w:p>
      <w:pPr>
        <w:spacing w:after="0" w:line="180" w:lineRule="exact"/>
        <w:rPr>
          <w:rFonts w:ascii="Times New Roman" w:cs="Times New Roman" w:eastAsia="Times New Roman" w:hAnsi="Times New Roman"/>
          <w:sz w:val="18"/>
          <w:szCs w:val="18"/>
          <w:color w:val="auto"/>
        </w:rPr>
      </w:pPr>
    </w:p>
    <w:p>
      <w:pPr>
        <w:ind w:left="100" w:right="40" w:firstLine="653"/>
        <w:spacing w:after="0" w:line="282" w:lineRule="auto"/>
        <w:tabs>
          <w:tab w:leader="none" w:pos="12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obligations incurred in connection with any Permitted Acquisitions or other investment and paid or accrued during the applicable period and on similar acquisitions, and</w:t>
      </w:r>
    </w:p>
    <w:p>
      <w:pPr>
        <w:spacing w:after="0" w:line="161" w:lineRule="exact"/>
        <w:rPr>
          <w:rFonts w:ascii="Times New Roman" w:cs="Times New Roman" w:eastAsia="Times New Roman" w:hAnsi="Times New Roman"/>
          <w:sz w:val="18"/>
          <w:szCs w:val="18"/>
          <w:color w:val="auto"/>
        </w:rPr>
      </w:pPr>
    </w:p>
    <w:p>
      <w:pPr>
        <w:ind w:left="100" w:right="80" w:firstLine="653"/>
        <w:spacing w:after="0" w:line="276" w:lineRule="auto"/>
        <w:tabs>
          <w:tab w:leader="none" w:pos="122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casualty or business interruption insurance in an amount representing the losses for the applicable period that such proceeds are intended to replace (whether or not yet received so long as the Borrower in good faith expects to receive the same within the next four</w:t>
      </w:r>
    </w:p>
    <w:p>
      <w:pPr>
        <w:ind w:left="100" w:right="40" w:firstLine="5"/>
        <w:spacing w:after="0" w:line="261" w:lineRule="auto"/>
        <w:tabs>
          <w:tab w:leader="none" w:pos="3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fiscal quarters (it being understood that to the extent not actually received within such fiscal quarters, such proceeds shall be deducted in calculating Consolidated Adjusted EBITDA for such fiscal quarters in the future)); </w:t>
      </w:r>
      <w:r>
        <w:rPr>
          <w:rFonts w:ascii="Times New Roman" w:cs="Times New Roman" w:eastAsia="Times New Roman" w:hAnsi="Times New Roman"/>
          <w:sz w:val="18"/>
          <w:szCs w:val="18"/>
          <w:i w:val="1"/>
          <w:iCs w:val="1"/>
          <w:color w:val="auto"/>
        </w:rPr>
        <w:t>less</w:t>
      </w:r>
    </w:p>
    <w:p>
      <w:pPr>
        <w:spacing w:after="0" w:line="184" w:lineRule="exact"/>
        <w:rPr>
          <w:sz w:val="20"/>
          <w:szCs w:val="20"/>
          <w:color w:val="auto"/>
        </w:rPr>
      </w:pPr>
    </w:p>
    <w:p>
      <w:pPr>
        <w:ind w:left="-540" w:right="460" w:firstLine="645"/>
        <w:spacing w:after="0" w:line="271" w:lineRule="auto"/>
        <w:tabs>
          <w:tab w:leader="none" w:pos="57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and to the extent included in arriving at such Consolidated Net Income, the sum of the following amounts for such period:</w:t>
      </w:r>
    </w:p>
    <w:p>
      <w:pPr>
        <w:spacing w:after="0" w:line="153" w:lineRule="exact"/>
        <w:rPr>
          <w:rFonts w:ascii="Times New Roman" w:cs="Times New Roman" w:eastAsia="Times New Roman" w:hAnsi="Times New Roman"/>
          <w:sz w:val="22"/>
          <w:szCs w:val="22"/>
          <w:color w:val="auto"/>
        </w:rPr>
      </w:pPr>
    </w:p>
    <w:p>
      <w:pPr>
        <w:ind w:left="1280" w:hanging="527"/>
        <w:spacing w:after="0"/>
        <w:tabs>
          <w:tab w:leader="none" w:pos="12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unusual or non-recurring gains, and</w:t>
      </w:r>
    </w:p>
    <w:p>
      <w:pPr>
        <w:spacing w:after="0" w:line="225" w:lineRule="exact"/>
        <w:rPr>
          <w:rFonts w:ascii="Times New Roman" w:cs="Times New Roman" w:eastAsia="Times New Roman" w:hAnsi="Times New Roman"/>
          <w:sz w:val="18"/>
          <w:szCs w:val="18"/>
          <w:color w:val="auto"/>
        </w:rPr>
      </w:pPr>
    </w:p>
    <w:p>
      <w:pPr>
        <w:jc w:val="both"/>
        <w:ind w:left="100" w:right="60" w:firstLine="653"/>
        <w:spacing w:after="0" w:line="261" w:lineRule="auto"/>
        <w:tabs>
          <w:tab w:leader="none" w:pos="13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gains (excluding any non-cash gain to the extent it represents the reversal of an accrual or reserve for a potential cash item that reduced Consolidated Adjusted EBITDA in any prior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if any non-cash gain represents an accrual or asset for future cash items in any future period, the cash payment in respect thereof shall in such future period be added to Consolidated Adjusted EBITDA for such period to the extent excluded from Consolidated Adjusted EBITDA in any prior period,</w:t>
      </w:r>
    </w:p>
    <w:p>
      <w:pPr>
        <w:spacing w:after="0" w:line="184" w:lineRule="exact"/>
        <w:rPr>
          <w:rFonts w:ascii="Times New Roman" w:cs="Times New Roman" w:eastAsia="Times New Roman" w:hAnsi="Times New Roman"/>
          <w:sz w:val="18"/>
          <w:szCs w:val="18"/>
          <w:color w:val="auto"/>
        </w:rPr>
      </w:pPr>
    </w:p>
    <w:p>
      <w:pPr>
        <w:ind w:left="560" w:hanging="455"/>
        <w:spacing w:after="0"/>
        <w:tabs>
          <w:tab w:leader="none" w:pos="5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or decreased by (without duplication):</w:t>
      </w:r>
    </w:p>
    <w:p>
      <w:pPr>
        <w:spacing w:after="0" w:line="215" w:lineRule="exact"/>
        <w:rPr>
          <w:rFonts w:ascii="Times New Roman" w:cs="Times New Roman" w:eastAsia="Times New Roman" w:hAnsi="Times New Roman"/>
          <w:sz w:val="22"/>
          <w:szCs w:val="22"/>
          <w:color w:val="auto"/>
        </w:rPr>
      </w:pPr>
    </w:p>
    <w:p>
      <w:pPr>
        <w:ind w:left="100" w:right="600" w:firstLine="653"/>
        <w:spacing w:after="0" w:line="282" w:lineRule="auto"/>
        <w:tabs>
          <w:tab w:leader="none" w:pos="12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resulting in such period from Hedging Obligations and the application of Accounting Standards Codification Topic 815 and International Accounting</w:t>
      </w:r>
    </w:p>
    <w:p>
      <w:pPr>
        <w:sectPr>
          <w:pgSz w:w="11900" w:h="16838" w:orient="portrait"/>
          <w:cols w:equalWidth="0" w:num="1">
            <w:col w:w="10220"/>
          </w:cols>
          <w:pgMar w:left="1440" w:top="621" w:right="239" w:bottom="1440" w:gutter="0" w:footer="0" w:header="0"/>
        </w:sectPr>
      </w:pPr>
    </w:p>
    <w:bookmarkStart w:id="131" w:name="page132"/>
    <w:bookmarkEnd w:id="131"/>
    <w:p>
      <w:pPr>
        <w:ind w:left="1300"/>
        <w:spacing w:after="0"/>
        <w:rPr>
          <w:sz w:val="20"/>
          <w:szCs w:val="20"/>
          <w:color w:val="auto"/>
        </w:rPr>
      </w:pPr>
      <w:r>
        <w:rPr>
          <w:rFonts w:ascii="Times New Roman" w:cs="Times New Roman" w:eastAsia="Times New Roman" w:hAnsi="Times New Roman"/>
          <w:sz w:val="18"/>
          <w:szCs w:val="18"/>
          <w:color w:val="auto"/>
        </w:rPr>
        <w:t xml:space="preserve">Standards No. 39 and their respective related pronouncements and interpretations;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as applicable,</w:t>
      </w:r>
    </w:p>
    <w:p>
      <w:pPr>
        <w:spacing w:after="0" w:line="227" w:lineRule="exact"/>
        <w:rPr>
          <w:sz w:val="20"/>
          <w:szCs w:val="20"/>
          <w:color w:val="auto"/>
        </w:rPr>
      </w:pPr>
    </w:p>
    <w:p>
      <w:pPr>
        <w:ind w:left="1300" w:right="140" w:firstLine="653"/>
        <w:spacing w:after="0" w:line="282" w:lineRule="auto"/>
        <w:tabs>
          <w:tab w:leader="none" w:pos="25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resulting in such period from currency translation gains or losses related to currency remeasurements of indebtedness (including any net loss or gain resulting from hedge agreements for currency exchange risk),</w:t>
      </w:r>
    </w:p>
    <w:p>
      <w:pPr>
        <w:spacing w:after="0" w:line="161" w:lineRule="exact"/>
        <w:rPr>
          <w:rFonts w:ascii="Times New Roman" w:cs="Times New Roman" w:eastAsia="Times New Roman" w:hAnsi="Times New Roman"/>
          <w:sz w:val="18"/>
          <w:szCs w:val="18"/>
          <w:color w:val="auto"/>
        </w:rPr>
      </w:pPr>
    </w:p>
    <w:p>
      <w:pPr>
        <w:ind w:left="1300" w:right="160" w:firstLine="653"/>
        <w:spacing w:after="0" w:line="266" w:lineRule="auto"/>
        <w:tabs>
          <w:tab w:leader="none" w:pos="23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effects of purchase accounting adjustments (including the effects of such adjustments pushed down to such person and such Subsidiaries) in amounts required or permitted by GAAP, resulting from the application of purchase accounting in relation to any consummated acquisition or the amortization or write-off of any amounts thereof, net of Taxes, and</w:t>
      </w:r>
    </w:p>
    <w:p>
      <w:pPr>
        <w:spacing w:after="0" w:line="176" w:lineRule="exact"/>
        <w:rPr>
          <w:rFonts w:ascii="Times New Roman" w:cs="Times New Roman" w:eastAsia="Times New Roman" w:hAnsi="Times New Roman"/>
          <w:sz w:val="18"/>
          <w:szCs w:val="18"/>
          <w:color w:val="auto"/>
        </w:rPr>
      </w:pPr>
    </w:p>
    <w:p>
      <w:pPr>
        <w:ind w:left="1300" w:right="680" w:firstLine="653"/>
        <w:spacing w:after="0" w:line="282" w:lineRule="auto"/>
        <w:tabs>
          <w:tab w:leader="none" w:pos="23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resulting from the application of Accounting Standards Codification Topic 460, Guarantees, or any comparable regulation,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as determined on a consolidated basis for the Borrower and its Restricted Subsidiaries in accordance with GAAP.</w:t>
      </w:r>
    </w:p>
    <w:p>
      <w:pPr>
        <w:spacing w:after="0" w:line="226"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Net Income</w:t>
      </w:r>
      <w:r>
        <w:rPr>
          <w:rFonts w:ascii="Times New Roman" w:cs="Times New Roman" w:eastAsia="Times New Roman" w:hAnsi="Times New Roman"/>
          <w:sz w:val="21"/>
          <w:szCs w:val="21"/>
          <w:color w:val="auto"/>
        </w:rPr>
        <w:t>” means, for any period, the net income (loss) attributable to the Borrower and its Restricted Subsidiaries for such period determined on a consolidated basis in accordance with GAAP, excluding, without duplication, (a) the cumulative effect of a change in accounting principles during such period to the extent included in net income (loss), (b) accruals and reserves that are established or adjusted as a result of the Transactions in accordance with GAAP or changes as a result of the adoption or modification of accounting policies during such period, (c) the income (or loss) of any Person in which any other Person has an ownership interest, except to the extent of the amount of dividends or other distributions actually paid to the Borrower or any of its Restricted Subsidiaries by such Person during such period, (d) the income of any Restricted Subsidiary of the Borrower (other than any other Loan Party) to the extent that the declaration or payment of dividends or similar distributions by that Restricted Subsidiary of that income is subject to an absolute prohibition during such period by operation of the terms of its charter or any agreement, instrument, judgment, decree, order, statute, rule or governmental regulation applicable to that Restricted Subsidiary (other than any prohibition that has been waived or otherwise released), except to the extent of the amount of dividends or other distributions actually paid by such Restricted Subsidiary to the Borrower or any other Restricted Subsidiary that is not subject to such prohibitions, (e) the income (or loss) of any Person accrued prior to the date it becomes a Restricted Subsidiary of the Borrower or is merged into or consolidated with the Borrower or any of its Restricted Subsidiaries or that Person’s assets are acquired by the Borrower or any of its Subsidiaries (except as provided in the definition of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Basis</w:t>
      </w:r>
      <w:r>
        <w:rPr>
          <w:rFonts w:ascii="Times New Roman" w:cs="Times New Roman" w:eastAsia="Times New Roman" w:hAnsi="Times New Roman"/>
          <w:sz w:val="21"/>
          <w:szCs w:val="21"/>
          <w:color w:val="auto"/>
        </w:rPr>
        <w:t>”), (f) after tax gains or Charges (less all fees and expenses chargeable thereto) attributable to any asset dispositions outside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ordinary course of business (including asset retirement costs) or of returned surplus assets of any employee benefit plan, (g) any net gains or Charges with respect to (i) disposed, abandoned, divested and/or discontinued assets, properties or operations (other than assets, properties or operations pending the disposal, abandonment, divestiture and/or termination</w:t>
      </w:r>
    </w:p>
    <w:p>
      <w:pPr>
        <w:sectPr>
          <w:pgSz w:w="11900" w:h="16838" w:orient="portrait"/>
          <w:cols w:equalWidth="0" w:num="1">
            <w:col w:w="11400"/>
          </w:cols>
          <w:pgMar w:left="240" w:top="619" w:right="259" w:bottom="1440" w:gutter="0" w:footer="0" w:header="0"/>
        </w:sectPr>
      </w:pPr>
    </w:p>
    <w:bookmarkStart w:id="132" w:name="page133"/>
    <w:bookmarkEnd w:id="132"/>
    <w:p>
      <w:pPr>
        <w:spacing w:after="0" w:line="252" w:lineRule="auto"/>
        <w:rPr>
          <w:sz w:val="20"/>
          <w:szCs w:val="20"/>
          <w:color w:val="auto"/>
        </w:rPr>
      </w:pPr>
      <w:r>
        <w:rPr>
          <w:rFonts w:ascii="Times New Roman" w:cs="Times New Roman" w:eastAsia="Times New Roman" w:hAnsi="Times New Roman"/>
          <w:sz w:val="22"/>
          <w:szCs w:val="22"/>
          <w:color w:val="auto"/>
        </w:rPr>
        <w:t>thereof) and (ii) facilities that have been closed during such period, (h) any net income or loss (less all fees and expenses or charges related thereto) attributable to the early extinguishment of Indebtedness, hedging obligations or other derivative instruments and (i) any write-off or amortization made in such period of deferred financing costs and premiums paid or other expenses incurred directly in connection with any early extinguishment of Indebtedness.</w:t>
      </w:r>
    </w:p>
    <w:p>
      <w:pPr>
        <w:spacing w:after="0" w:line="176" w:lineRule="exact"/>
        <w:rPr>
          <w:sz w:val="20"/>
          <w:szCs w:val="20"/>
          <w:color w:val="auto"/>
        </w:rPr>
      </w:pPr>
    </w:p>
    <w:p>
      <w:pPr>
        <w:ind w:right="2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Senior Secured Debt</w:t>
      </w:r>
      <w:r>
        <w:rPr>
          <w:rFonts w:ascii="Times New Roman" w:cs="Times New Roman" w:eastAsia="Times New Roman" w:hAnsi="Times New Roman"/>
          <w:sz w:val="22"/>
          <w:szCs w:val="22"/>
          <w:color w:val="auto"/>
        </w:rPr>
        <w:t>” means, at any date of determination, the aggregate principal amount of Total Funded Debt outstanding on such date that is secured by a Lien on any asset or property of the Borrower or the Restricted Subsidiaries, which Total Funded Debt is not, by its terms, subordinated in right of payment to the Obligations.</w:t>
      </w:r>
    </w:p>
    <w:p>
      <w:pPr>
        <w:spacing w:after="0" w:line="167" w:lineRule="exact"/>
        <w:rPr>
          <w:sz w:val="20"/>
          <w:szCs w:val="20"/>
          <w:color w:val="auto"/>
        </w:rPr>
      </w:pPr>
    </w:p>
    <w:p>
      <w:pPr>
        <w:ind w:right="1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Total Assets</w:t>
      </w:r>
      <w:r>
        <w:rPr>
          <w:rFonts w:ascii="Times New Roman" w:cs="Times New Roman" w:eastAsia="Times New Roman" w:hAnsi="Times New Roman"/>
          <w:sz w:val="22"/>
          <w:szCs w:val="22"/>
          <w:color w:val="auto"/>
        </w:rPr>
        <w:t>” means, at any time, all assets that would, in conformity with GAAP, be set forth under the caption “total assets” (or any like caption) on a consolidated balance sheet of the Borrower and the Restricted Subsidiaries at such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Working Capital</w:t>
      </w:r>
      <w:r>
        <w:rPr>
          <w:rFonts w:ascii="Times New Roman" w:cs="Times New Roman" w:eastAsia="Times New Roman" w:hAnsi="Times New Roman"/>
          <w:sz w:val="22"/>
          <w:szCs w:val="22"/>
          <w:color w:val="auto"/>
        </w:rPr>
        <w:t xml:space="preserve">” means, at any time, Current Assets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Current Liabilities, at such time.</w:t>
      </w:r>
    </w:p>
    <w:p>
      <w:pPr>
        <w:spacing w:after="0" w:line="220"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Contingent Obligation</w:t>
      </w:r>
      <w:r>
        <w:rPr>
          <w:rFonts w:ascii="Times New Roman" w:cs="Times New Roman" w:eastAsia="Times New Roman" w:hAnsi="Times New Roman"/>
          <w:sz w:val="22"/>
          <w:szCs w:val="22"/>
          <w:color w:val="auto"/>
        </w:rPr>
        <w:t>” means as to any Person, any obligation of such Person guaranteeing or intended to guarantee any Indebtedness (“</w:t>
      </w:r>
      <w:r>
        <w:rPr>
          <w:rFonts w:ascii="Times New Roman" w:cs="Times New Roman" w:eastAsia="Times New Roman" w:hAnsi="Times New Roman"/>
          <w:sz w:val="22"/>
          <w:szCs w:val="22"/>
          <w:i w:val="1"/>
          <w:iCs w:val="1"/>
          <w:color w:val="auto"/>
        </w:rPr>
        <w:t>primary obligations</w:t>
      </w:r>
      <w:r>
        <w:rPr>
          <w:rFonts w:ascii="Times New Roman" w:cs="Times New Roman" w:eastAsia="Times New Roman" w:hAnsi="Times New Roman"/>
          <w:sz w:val="22"/>
          <w:szCs w:val="22"/>
          <w:color w:val="auto"/>
        </w:rPr>
        <w:t>”) of any other Person (the “</w:t>
      </w:r>
      <w:r>
        <w:rPr>
          <w:rFonts w:ascii="Times New Roman" w:cs="Times New Roman" w:eastAsia="Times New Roman" w:hAnsi="Times New Roman"/>
          <w:sz w:val="22"/>
          <w:szCs w:val="22"/>
          <w:i w:val="1"/>
          <w:iCs w:val="1"/>
          <w:color w:val="auto"/>
        </w:rPr>
        <w:t>primary obligor</w:t>
      </w:r>
      <w:r>
        <w:rPr>
          <w:rFonts w:ascii="Times New Roman" w:cs="Times New Roman" w:eastAsia="Times New Roman" w:hAnsi="Times New Roman"/>
          <w:sz w:val="22"/>
          <w:szCs w:val="22"/>
          <w:color w:val="auto"/>
        </w:rPr>
        <w:t xml:space="preserve">”) in any manner, whether directly or indirectly, including, without limitation, any obligation of such Person, whether or not contingent, (i) to purchase any such primary obligation or any Property constituting direct or indirect security therefor, (ii) to advance or supply funds (x) for the purchase or payment of any such primary obligation or (y)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term Contingent Obligation shall not include endorsements of instruments for deposit or collection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ordinary course of business. The amount of any Contingent Obligation shall be deemed to be an amount equal to the stated or determinable amount of the primary obligation in respect of which such Contingent Obligation is made or, if not stated or determinable, the maximum reasonably anticipated liability in respect thereof (assuming such Person is required to perform thereunder) as determined by such Person in good faith.</w:t>
      </w:r>
    </w:p>
    <w:p>
      <w:pPr>
        <w:spacing w:after="0" w:line="181" w:lineRule="exact"/>
        <w:rPr>
          <w:sz w:val="20"/>
          <w:szCs w:val="20"/>
          <w:color w:val="auto"/>
        </w:rPr>
      </w:pPr>
    </w:p>
    <w:p>
      <w:pPr>
        <w:ind w:right="28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Continuing Director</w:t>
      </w:r>
      <w:r>
        <w:rPr>
          <w:rFonts w:ascii="Times New Roman" w:cs="Times New Roman" w:eastAsia="Times New Roman" w:hAnsi="Times New Roman"/>
          <w:sz w:val="22"/>
          <w:szCs w:val="22"/>
          <w:color w:val="auto"/>
        </w:rPr>
        <w:t>” means, at any date, any individual (a) who is a director of the Borrower on the Escrow Release Date after giving effect to the Schrader Acquisition and the other transactions contemplated thereby or (b) whose nomination for election to the board of directors of the Borrower is recommended by a majority of the directors who were either directors of the Borrower on the Escrow Release Date (after giving effect to the Schrader</w:t>
      </w:r>
    </w:p>
    <w:p>
      <w:pPr>
        <w:sectPr>
          <w:pgSz w:w="11900" w:h="16838" w:orient="portrait"/>
          <w:cols w:equalWidth="0" w:num="1">
            <w:col w:w="11380"/>
          </w:cols>
          <w:pgMar w:left="240" w:top="625" w:right="279" w:bottom="1440" w:gutter="0" w:footer="0" w:header="0"/>
        </w:sectPr>
      </w:pPr>
    </w:p>
    <w:bookmarkStart w:id="133" w:name="page134"/>
    <w:bookmarkEnd w:id="133"/>
    <w:p>
      <w:pPr>
        <w:ind w:right="620"/>
        <w:spacing w:after="0" w:line="271" w:lineRule="auto"/>
        <w:rPr>
          <w:sz w:val="20"/>
          <w:szCs w:val="20"/>
          <w:color w:val="auto"/>
        </w:rPr>
      </w:pPr>
      <w:r>
        <w:rPr>
          <w:rFonts w:ascii="Times New Roman" w:cs="Times New Roman" w:eastAsia="Times New Roman" w:hAnsi="Times New Roman"/>
          <w:sz w:val="22"/>
          <w:szCs w:val="22"/>
          <w:color w:val="auto"/>
        </w:rPr>
        <w:t>Acquisition and the other transactions contemplated thereby) or whose election or nomination for election was previously so approved by directors who were Continuing Directors.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Contract Consideration</w:t>
      </w:r>
      <w:r>
        <w:rPr>
          <w:rFonts w:ascii="Times New Roman" w:cs="Times New Roman" w:eastAsia="Times New Roman" w:hAnsi="Times New Roman"/>
          <w:sz w:val="22"/>
          <w:szCs w:val="22"/>
          <w:color w:val="auto"/>
        </w:rPr>
        <w:t>” shall have the meaning assigned to such term in the definition of the term “Excess Cash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Flow.”</w:t>
      </w:r>
    </w:p>
    <w:p>
      <w:pPr>
        <w:spacing w:after="0" w:line="192" w:lineRule="exact"/>
        <w:rPr>
          <w:sz w:val="20"/>
          <w:szCs w:val="20"/>
          <w:color w:val="auto"/>
        </w:rPr>
      </w:pPr>
    </w:p>
    <w:p>
      <w:pPr>
        <w:ind w:right="18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Controlled Group</w:t>
      </w:r>
      <w:r>
        <w:rPr>
          <w:rFonts w:ascii="Times New Roman" w:cs="Times New Roman" w:eastAsia="Times New Roman" w:hAnsi="Times New Roman"/>
          <w:sz w:val="22"/>
          <w:szCs w:val="22"/>
          <w:color w:val="auto"/>
        </w:rPr>
        <w:t>” means all members of a controlled group of corporations and all trades or businesses (whether or not incorporated) or of an affiliated service group under common control which, together with the Borrower, are treated as a single employer under Section 414 of the Code.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Convertible Notes</w:t>
      </w:r>
      <w:r>
        <w:rPr>
          <w:rFonts w:ascii="Times New Roman" w:cs="Times New Roman" w:eastAsia="Times New Roman" w:hAnsi="Times New Roman"/>
          <w:sz w:val="22"/>
          <w:szCs w:val="22"/>
          <w:color w:val="auto"/>
        </w:rPr>
        <w:t>” means any convertible senior notes issued under the Existing Indentures.</w:t>
      </w:r>
    </w:p>
    <w:p>
      <w:pPr>
        <w:spacing w:after="0" w:line="220" w:lineRule="exact"/>
        <w:rPr>
          <w:sz w:val="20"/>
          <w:szCs w:val="20"/>
          <w:color w:val="auto"/>
        </w:rPr>
      </w:pPr>
    </w:p>
    <w:p>
      <w:pPr>
        <w:ind w:right="2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Credit Extension</w:t>
      </w:r>
      <w:r>
        <w:rPr>
          <w:rFonts w:ascii="Times New Roman" w:cs="Times New Roman" w:eastAsia="Times New Roman" w:hAnsi="Times New Roman"/>
          <w:sz w:val="22"/>
          <w:szCs w:val="22"/>
          <w:color w:val="auto"/>
        </w:rPr>
        <w:t>” means the advancing of any Loan or the issuance or extension of, or increase in the amount of, any Letter of Credit.</w:t>
      </w:r>
    </w:p>
    <w:p>
      <w:pPr>
        <w:spacing w:after="0" w:line="150" w:lineRule="exact"/>
        <w:rPr>
          <w:sz w:val="20"/>
          <w:szCs w:val="20"/>
          <w:color w:val="auto"/>
        </w:rPr>
      </w:pPr>
    </w:p>
    <w:p>
      <w:pPr>
        <w:ind w:right="20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Current Assets</w:t>
      </w:r>
      <w:r>
        <w:rPr>
          <w:rFonts w:ascii="Times New Roman" w:cs="Times New Roman" w:eastAsia="Times New Roman" w:hAnsi="Times New Roman"/>
          <w:sz w:val="22"/>
          <w:szCs w:val="22"/>
          <w:color w:val="auto"/>
        </w:rPr>
        <w:t>” means, at any date, all assets of the Borrower and its Restricted Subsidiaries which under GAAP would be classified as current assets on the consolidated balance sheet of the Borrower and its Restricted Subsidiaries (excluding any (i) cash or Cash Equivalents (including cash and Cash Equivalents held on deposit for third parties by the Borrower or any of its Restricted Subsidiaries), (ii) permitted loans to third parties or related parties, (iii) deferred bank fees and derivative financial instruments related to Indebtedness, (iv) the current portion of current and deferred income Taxes and Taxes based on profit or capital and (v) assets held for sale).</w:t>
      </w:r>
    </w:p>
    <w:p>
      <w:pPr>
        <w:spacing w:after="0" w:line="181" w:lineRule="exact"/>
        <w:rPr>
          <w:sz w:val="20"/>
          <w:szCs w:val="20"/>
          <w:color w:val="auto"/>
        </w:rPr>
      </w:pPr>
    </w:p>
    <w:p>
      <w:pPr>
        <w:jc w:val="both"/>
        <w:ind w:right="220" w:firstLine="1297"/>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Current Liabilities</w:t>
      </w:r>
      <w:r>
        <w:rPr>
          <w:rFonts w:ascii="Times New Roman" w:cs="Times New Roman" w:eastAsia="Times New Roman" w:hAnsi="Times New Roman"/>
          <w:sz w:val="21"/>
          <w:szCs w:val="21"/>
          <w:color w:val="auto"/>
        </w:rPr>
        <w:t>” means, at any date, all liabilities of the Borrower and its Restricted Subsidiaries which under GAAP would be classified as current liabilities on the consolidated balance sheet of the Borrower and its Restricted Subsidiaries, other than (i) current maturities of long-term debt, (ii) outstanding revolving loans and letter of credit reimbursement obligations,</w:t>
      </w:r>
    </w:p>
    <w:p>
      <w:pPr>
        <w:spacing w:after="0" w:line="1" w:lineRule="exact"/>
        <w:rPr>
          <w:sz w:val="20"/>
          <w:szCs w:val="20"/>
          <w:color w:val="auto"/>
        </w:rPr>
      </w:pPr>
    </w:p>
    <w:p>
      <w:pPr>
        <w:ind w:firstLine="8"/>
        <w:spacing w:after="0" w:line="244" w:lineRule="auto"/>
        <w:tabs>
          <w:tab w:leader="none" w:pos="3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accruals of Interest Expense (excluding Interest Expense that is due and unpaid), (iv) obligations in respect of derivative financial instruments related to Indebtedness, (v) the current portion of current and deferred income Taxes and Taxes based on profit or capital (including obligations in respect of any tax receivable agreement), (vi) liabilities in respect of unpaid earnouts, (vii) accruals relating to restructuring reserves, (viii) liabilities in respect of funds of third parties on deposit with the Borrower or any of its Restricted Subsidiaries, (ix) the current portion of any Capitalized Lease Obligation, (x) the current portion of any other long-term liability for borrowed money, (xi) permitted short term indebtedness from third parties or related parties and (xii) settlement obligations.</w:t>
      </w:r>
    </w:p>
    <w:p>
      <w:pPr>
        <w:spacing w:after="0" w:line="184" w:lineRule="exact"/>
        <w:rPr>
          <w:sz w:val="20"/>
          <w:szCs w:val="20"/>
          <w:color w:val="auto"/>
        </w:rPr>
      </w:pPr>
    </w:p>
    <w:p>
      <w:pPr>
        <w:ind w:right="2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Damages</w:t>
      </w:r>
      <w:r>
        <w:rPr>
          <w:rFonts w:ascii="Times New Roman" w:cs="Times New Roman" w:eastAsia="Times New Roman" w:hAnsi="Times New Roman"/>
          <w:sz w:val="22"/>
          <w:szCs w:val="22"/>
          <w:color w:val="auto"/>
        </w:rPr>
        <w:t>” means all damages including, without limitation, punitive damages, liabilities, costs, expenses, losses, judgments, diminutions in value, fines, penalties, demands, claims, cost recovery actions, lawsuits, administrative proceedings, orders, response action,</w:t>
      </w:r>
    </w:p>
    <w:p>
      <w:pPr>
        <w:sectPr>
          <w:pgSz w:w="11900" w:h="16838" w:orient="portrait"/>
          <w:cols w:equalWidth="0" w:num="1">
            <w:col w:w="11400"/>
          </w:cols>
          <w:pgMar w:left="240" w:top="625" w:right="259" w:bottom="1440" w:gutter="0" w:footer="0" w:header="0"/>
        </w:sectPr>
      </w:pPr>
    </w:p>
    <w:bookmarkStart w:id="134" w:name="page135"/>
    <w:bookmarkEnd w:id="134"/>
    <w:p>
      <w:pPr>
        <w:ind w:right="20"/>
        <w:spacing w:after="0" w:line="271" w:lineRule="auto"/>
        <w:rPr>
          <w:sz w:val="20"/>
          <w:szCs w:val="20"/>
          <w:color w:val="auto"/>
        </w:rPr>
      </w:pPr>
      <w:r>
        <w:rPr>
          <w:rFonts w:ascii="Times New Roman" w:cs="Times New Roman" w:eastAsia="Times New Roman" w:hAnsi="Times New Roman"/>
          <w:sz w:val="22"/>
          <w:szCs w:val="22"/>
          <w:color w:val="auto"/>
        </w:rPr>
        <w:t>removal and remedial costs, compliance costs, investigation expenses, consultant fees, attorneys’ and paralegals’ fees and litigation expenses.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Declined Proceeds</w:t>
      </w:r>
      <w:r>
        <w:rPr>
          <w:rFonts w:ascii="Times New Roman" w:cs="Times New Roman" w:eastAsia="Times New Roman" w:hAnsi="Times New Roman"/>
          <w:sz w:val="22"/>
          <w:szCs w:val="22"/>
          <w:color w:val="auto"/>
        </w:rPr>
        <w:t>” has the meaning provided in Section 2.8(c)(vii) hereof.</w:t>
      </w:r>
    </w:p>
    <w:p>
      <w:pPr>
        <w:spacing w:after="0" w:line="220" w:lineRule="exact"/>
        <w:rPr>
          <w:sz w:val="20"/>
          <w:szCs w:val="20"/>
          <w:color w:val="auto"/>
        </w:rPr>
      </w:pPr>
    </w:p>
    <w:p>
      <w:pPr>
        <w:ind w:right="3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means any event or condition the occurrence of which would, with the passage of time or the giving of notice, or both, constitute an Event of Default.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 Excess</w:t>
      </w:r>
      <w:r>
        <w:rPr>
          <w:rFonts w:ascii="Times New Roman" w:cs="Times New Roman" w:eastAsia="Times New Roman" w:hAnsi="Times New Roman"/>
          <w:sz w:val="22"/>
          <w:szCs w:val="22"/>
          <w:color w:val="auto"/>
        </w:rPr>
        <w:t>” has the meaning provided in Section 2.8(d) hereof.</w:t>
      </w:r>
    </w:p>
    <w:p>
      <w:pPr>
        <w:spacing w:after="0" w:line="220" w:lineRule="exact"/>
        <w:rPr>
          <w:sz w:val="20"/>
          <w:szCs w:val="20"/>
          <w:color w:val="auto"/>
        </w:rPr>
      </w:pPr>
    </w:p>
    <w:p>
      <w:pPr>
        <w:ind w:firstLine="12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Defaulting Lender</w:t>
      </w:r>
      <w:r>
        <w:rPr>
          <w:rFonts w:ascii="Times New Roman" w:cs="Times New Roman" w:eastAsia="Times New Roman" w:hAnsi="Times New Roman"/>
          <w:sz w:val="22"/>
          <w:szCs w:val="22"/>
          <w:color w:val="auto"/>
        </w:rPr>
        <w:t xml:space="preserve">” means any Lender that (a) has failed to fund any portion of the Loans or participations in Reimbursement Obligations required to be funded by it hereunder within three (3) Business Days of the date required to be funded by it hereunder unless such failure has been cured, unless such Lender notifies the Administrative Agent in writing that such failure is the result of such Lender’s good faith determination that a condition precedent to funding (specifically identified and including the particular default, if any) has not been satisfied, (b) has otherwise failed to pay over to the Administrative Agent or any other Lender any other amount required to be paid by it hereunder within three (3) Business Days of the date when due, unless the subject of a good faith dispute or unless such failure has been cured, (c) has notified the Borrower or the Administrative Agent that it does not intend to comply with its funding obligations or has made a public statement to that effect with respect to its funding obligations hereunder or generally under other agreements in which it commits to extend credit unless such Lender notifies the Administrative Agent in writing or such public statement that such failure is the result of such Lender’s good faith determination that a condition precedent to funding (specifically identified and including the particular default, if any) has not been satisfied, (d) has failed, within three (3) Business Days after request by the Administrative Agent, to confirm to the Administrative Agent in a reasonably satisfactory manner that it will comply with its funding obligations (provided that such Lender shall cease to be a Defaulting Lender pursuant to this clause (d) upon receipt by the Administrative Agent of such written confirmation) or (e) has, or has a direct or indirect parent company that has, (i) become the subject of a bankruptcy or insolvency proceeding,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Any determination by the Administrative Agent that a Lender is a Defaulting Lender under any one or more of clauses (a) through (e) above shall be conclusive and binding absent manifest error, and such Lender shall be deemed to be a Defaulting Lender (subject to Section 2.18) upon delivery of written notice of such determination to the Borrower, the Lenders and the L/C Issuer.</w:t>
      </w:r>
    </w:p>
    <w:p>
      <w:pPr>
        <w:sectPr>
          <w:pgSz w:w="11900" w:h="16838" w:orient="portrait"/>
          <w:cols w:equalWidth="0" w:num="1">
            <w:col w:w="11380"/>
          </w:cols>
          <w:pgMar w:left="240" w:top="625" w:right="279" w:bottom="1440" w:gutter="0" w:footer="0" w:header="0"/>
        </w:sectPr>
      </w:pPr>
    </w:p>
    <w:bookmarkStart w:id="135" w:name="page136"/>
    <w:bookmarkEnd w:id="135"/>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Departing Administrative Agent</w:t>
      </w:r>
      <w:r>
        <w:rPr>
          <w:rFonts w:ascii="Times New Roman" w:cs="Times New Roman" w:eastAsia="Times New Roman" w:hAnsi="Times New Roman"/>
          <w:sz w:val="22"/>
          <w:szCs w:val="22"/>
          <w:color w:val="auto"/>
        </w:rPr>
        <w:t>” is defined in Section 9.7 hereof.</w:t>
      </w:r>
    </w:p>
    <w:p>
      <w:pPr>
        <w:spacing w:after="0" w:line="220" w:lineRule="exact"/>
        <w:rPr>
          <w:sz w:val="20"/>
          <w:szCs w:val="20"/>
          <w:color w:val="auto"/>
        </w:rPr>
      </w:pPr>
    </w:p>
    <w:p>
      <w:pPr>
        <w:ind w:right="8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Non-Cash Consideration</w:t>
      </w:r>
      <w:r>
        <w:rPr>
          <w:rFonts w:ascii="Times New Roman" w:cs="Times New Roman" w:eastAsia="Times New Roman" w:hAnsi="Times New Roman"/>
          <w:sz w:val="22"/>
          <w:szCs w:val="22"/>
          <w:color w:val="auto"/>
        </w:rPr>
        <w:t>” means the fair market value (as determined by the Borrower in good faith) of non-cash consideration received by the Borrower or a Restricted Subsidiary in connection with a disposition pursuant to Section 6.16(o) or (p) that is designated as Designated Non-Cash Consideration pursuant to a certificate of an officer of the Borrower, setting forth the basis of such valuation (which amount will be reduced by the fair market value of the portion of the non-cash consideration converted to cash or Cash Equivalents).</w:t>
      </w:r>
    </w:p>
    <w:p>
      <w:pPr>
        <w:spacing w:after="0" w:line="176"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Disposition</w:t>
      </w:r>
      <w:r>
        <w:rPr>
          <w:rFonts w:ascii="Times New Roman" w:cs="Times New Roman" w:eastAsia="Times New Roman" w:hAnsi="Times New Roman"/>
          <w:sz w:val="22"/>
          <w:szCs w:val="22"/>
          <w:color w:val="auto"/>
        </w:rPr>
        <w:t>” means the sale, lease, conveyance or other disposition of Property pursuant to Section 6.16(p), Section 6.16(q) or Section 6.16(r).</w:t>
      </w:r>
    </w:p>
    <w:p>
      <w:pPr>
        <w:spacing w:after="0" w:line="150" w:lineRule="exact"/>
        <w:rPr>
          <w:sz w:val="20"/>
          <w:szCs w:val="20"/>
          <w:color w:val="auto"/>
        </w:rPr>
      </w:pPr>
    </w:p>
    <w:p>
      <w:pPr>
        <w:ind w:right="100" w:firstLine="1297"/>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Disqualified Equity Interests</w:t>
      </w:r>
      <w:r>
        <w:rPr>
          <w:rFonts w:ascii="Times New Roman" w:cs="Times New Roman" w:eastAsia="Times New Roman" w:hAnsi="Times New Roman"/>
          <w:sz w:val="21"/>
          <w:szCs w:val="21"/>
          <w:color w:val="auto"/>
        </w:rPr>
        <w:t>” means any Equity Interest which, by its terms (or by the terms of any security or other Equity Interests into which it is convertible or for which it is exchangeable), or upon the happening of any event or condition</w:t>
      </w:r>
    </w:p>
    <w:p>
      <w:pPr>
        <w:spacing w:after="0" w:line="2" w:lineRule="exact"/>
        <w:rPr>
          <w:sz w:val="20"/>
          <w:szCs w:val="20"/>
          <w:color w:val="auto"/>
        </w:rPr>
      </w:pPr>
    </w:p>
    <w:p>
      <w:pPr>
        <w:ind w:right="60" w:firstLine="8"/>
        <w:spacing w:after="0" w:line="244" w:lineRule="auto"/>
        <w:tabs>
          <w:tab w:leader="none" w:pos="2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(excluding any maturity as the result of an optional redemption by the issuer thereof) or is mandatorily redeemable (other than solely for Equity Interests which are not otherwise Disqualified Equity Interests or as a result of a Change of Control or asset sale so long as any rights of the holders thereof upon the occurrence of a Change of Control or asset sale shall be subject to the termination of the Facilities), pursuant to a sinking fund obligation or otherwise, (ii) is redeemable at the option of the holder thereof (other than solely for Equity Interests which are not otherwise Disqualified Equity Interests), in whole or in part, (iii) provides for scheduled payments or dividends in cash, or (iv) is or becomes convertible into or exchangeable for Indebtedness or any other Equity Interests that would constitute Disqualified Equity Interests, in each case, prior to the date that is 91 days after the later of the Final Maturity Date and the Final Revolving Termination Date.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Distributions</w:t>
      </w:r>
      <w:r>
        <w:rPr>
          <w:rFonts w:ascii="Times New Roman" w:cs="Times New Roman" w:eastAsia="Times New Roman" w:hAnsi="Times New Roman"/>
          <w:sz w:val="22"/>
          <w:szCs w:val="22"/>
          <w:color w:val="auto"/>
        </w:rPr>
        <w:t>” has the meaning provided in Section 6.18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each means the lawful currency of the United States of America.</w:t>
      </w:r>
    </w:p>
    <w:p>
      <w:pPr>
        <w:spacing w:after="0" w:line="220" w:lineRule="exact"/>
        <w:rPr>
          <w:sz w:val="20"/>
          <w:szCs w:val="20"/>
          <w:color w:val="auto"/>
        </w:rPr>
      </w:pPr>
    </w:p>
    <w:p>
      <w:pPr>
        <w:ind w:right="2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Domestic Subsidiary</w:t>
      </w:r>
      <w:r>
        <w:rPr>
          <w:rFonts w:ascii="Times New Roman" w:cs="Times New Roman" w:eastAsia="Times New Roman" w:hAnsi="Times New Roman"/>
          <w:sz w:val="22"/>
          <w:szCs w:val="22"/>
          <w:color w:val="auto"/>
        </w:rPr>
        <w:t>” means each Subsidiary of the Borrower that is organized under the Applicable Laws of the United States, any state thereof, or the District of Columbia.</w:t>
      </w:r>
    </w:p>
    <w:p>
      <w:pPr>
        <w:spacing w:after="0" w:line="150" w:lineRule="exact"/>
        <w:rPr>
          <w:sz w:val="20"/>
          <w:szCs w:val="20"/>
          <w:color w:val="auto"/>
        </w:rPr>
      </w:pPr>
    </w:p>
    <w:p>
      <w:pPr>
        <w:jc w:val="both"/>
        <w:ind w:right="80" w:firstLine="1297"/>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Dutch Auction</w:t>
      </w:r>
      <w:r>
        <w:rPr>
          <w:rFonts w:ascii="Times New Roman" w:cs="Times New Roman" w:eastAsia="Times New Roman" w:hAnsi="Times New Roman"/>
          <w:sz w:val="21"/>
          <w:szCs w:val="21"/>
          <w:color w:val="auto"/>
        </w:rPr>
        <w:t>” means an auction (an “</w:t>
      </w:r>
      <w:r>
        <w:rPr>
          <w:rFonts w:ascii="Times New Roman" w:cs="Times New Roman" w:eastAsia="Times New Roman" w:hAnsi="Times New Roman"/>
          <w:sz w:val="21"/>
          <w:szCs w:val="21"/>
          <w:i w:val="1"/>
          <w:iCs w:val="1"/>
          <w:color w:val="auto"/>
        </w:rPr>
        <w:t>Auction</w:t>
      </w:r>
      <w:r>
        <w:rPr>
          <w:rFonts w:ascii="Times New Roman" w:cs="Times New Roman" w:eastAsia="Times New Roman" w:hAnsi="Times New Roman"/>
          <w:sz w:val="21"/>
          <w:szCs w:val="21"/>
          <w:color w:val="auto"/>
        </w:rPr>
        <w:t>”) conducted by the Borrower or one (1) of its Subsidiaries in order to purchase Term B Loans (or any Term B Loans funded under a Term Commitment Increase, which for purposes of this definition shall be deemed to be Term B Loans (and the holders thereof, Term B Lenders)) in accordance with the following procedures:</w:t>
      </w:r>
    </w:p>
    <w:p>
      <w:pPr>
        <w:sectPr>
          <w:pgSz w:w="11900" w:h="16838" w:orient="portrait"/>
          <w:cols w:equalWidth="0" w:num="1">
            <w:col w:w="11400"/>
          </w:cols>
          <w:pgMar w:left="240" w:top="621" w:right="259" w:bottom="1440" w:gutter="0" w:footer="0" w:header="0"/>
        </w:sectPr>
      </w:pPr>
    </w:p>
    <w:bookmarkStart w:id="136" w:name="page137"/>
    <w:bookmarkEnd w:id="136"/>
    <w:p>
      <w:pPr>
        <w:ind w:left="-540" w:firstLine="645"/>
        <w:spacing w:after="0" w:line="247" w:lineRule="auto"/>
        <w:tabs>
          <w:tab w:leader="none" w:pos="56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Procedures</w:t>
      </w:r>
      <w:r>
        <w:rPr>
          <w:rFonts w:ascii="Times New Roman" w:cs="Times New Roman" w:eastAsia="Times New Roman" w:hAnsi="Times New Roman"/>
          <w:sz w:val="22"/>
          <w:szCs w:val="22"/>
          <w:color w:val="auto"/>
        </w:rPr>
        <w:t>. In connection with an Auction, the Borrower will provide notification to the Administrative Agent (for distribution to the relevant Term B Lenders) of the Term B Loans that will be subject to the Auction (an “</w:t>
      </w:r>
      <w:r>
        <w:rPr>
          <w:rFonts w:ascii="Times New Roman" w:cs="Times New Roman" w:eastAsia="Times New Roman" w:hAnsi="Times New Roman"/>
          <w:sz w:val="22"/>
          <w:szCs w:val="22"/>
          <w:i w:val="1"/>
          <w:iCs w:val="1"/>
          <w:color w:val="auto"/>
        </w:rPr>
        <w:t>Auction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Each Auction Notice shall be in a form reasonably acceptable to the Administrative Agent and shall contain (i)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total cash value of the bid, in a minimum amount of $10.0 million with minimum increments of $1.0 million (the “</w:t>
      </w:r>
      <w:r>
        <w:rPr>
          <w:rFonts w:ascii="Times New Roman" w:cs="Times New Roman" w:eastAsia="Times New Roman" w:hAnsi="Times New Roman"/>
          <w:sz w:val="22"/>
          <w:szCs w:val="22"/>
          <w:i w:val="1"/>
          <w:iCs w:val="1"/>
          <w:color w:val="auto"/>
        </w:rPr>
        <w:t>Auction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Amount</w:t>
      </w:r>
      <w:r>
        <w:rPr>
          <w:rFonts w:ascii="Times New Roman" w:cs="Times New Roman" w:eastAsia="Times New Roman" w:hAnsi="Times New Roman"/>
          <w:sz w:val="22"/>
          <w:szCs w:val="22"/>
          <w:color w:val="auto"/>
        </w:rPr>
        <w:t>”), (ii) the discount to par, which shall be a range (the “</w:t>
      </w:r>
      <w:r>
        <w:rPr>
          <w:rFonts w:ascii="Times New Roman" w:cs="Times New Roman" w:eastAsia="Times New Roman" w:hAnsi="Times New Roman"/>
          <w:sz w:val="22"/>
          <w:szCs w:val="22"/>
          <w:i w:val="1"/>
          <w:iCs w:val="1"/>
          <w:color w:val="auto"/>
        </w:rPr>
        <w:t>Discount Range</w:t>
      </w:r>
      <w:r>
        <w:rPr>
          <w:rFonts w:ascii="Times New Roman" w:cs="Times New Roman" w:eastAsia="Times New Roman" w:hAnsi="Times New Roman"/>
          <w:sz w:val="22"/>
          <w:szCs w:val="22"/>
          <w:color w:val="auto"/>
        </w:rPr>
        <w:t>”) of percentages of the par principal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Term B Loans at issue that represents the range of purchase prices that could be paid in the Auction and (iii) be extended, at the sole discretion of the Borrower, to (x) each Term B Lender and/or (y) each Lender with respect to any Term B Loan of any Class.</w:t>
      </w:r>
    </w:p>
    <w:p>
      <w:pPr>
        <w:spacing w:after="0" w:line="186" w:lineRule="exact"/>
        <w:rPr>
          <w:rFonts w:ascii="Times New Roman" w:cs="Times New Roman" w:eastAsia="Times New Roman" w:hAnsi="Times New Roman"/>
          <w:sz w:val="22"/>
          <w:szCs w:val="22"/>
          <w:color w:val="auto"/>
        </w:rPr>
      </w:pPr>
    </w:p>
    <w:p>
      <w:pPr>
        <w:ind w:left="-540" w:right="20" w:firstLine="645"/>
        <w:spacing w:after="0" w:line="245" w:lineRule="auto"/>
        <w:tabs>
          <w:tab w:leader="none" w:pos="57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Reply Procedures</w:t>
      </w:r>
      <w:r>
        <w:rPr>
          <w:rFonts w:ascii="Times New Roman" w:cs="Times New Roman" w:eastAsia="Times New Roman" w:hAnsi="Times New Roman"/>
          <w:sz w:val="22"/>
          <w:szCs w:val="22"/>
          <w:color w:val="auto"/>
        </w:rPr>
        <w:t>. In connection with any Auction, each relevant Term B Lender may, in its sole discretion, participate in such Auction and may provide the Administrative Agent with a notice of participation (the “</w:t>
      </w:r>
      <w:r>
        <w:rPr>
          <w:rFonts w:ascii="Times New Roman" w:cs="Times New Roman" w:eastAsia="Times New Roman" w:hAnsi="Times New Roman"/>
          <w:sz w:val="22"/>
          <w:szCs w:val="22"/>
          <w:i w:val="1"/>
          <w:iCs w:val="1"/>
          <w:color w:val="auto"/>
        </w:rPr>
        <w:t>Return Bid</w:t>
      </w:r>
      <w:r>
        <w:rPr>
          <w:rFonts w:ascii="Times New Roman" w:cs="Times New Roman" w:eastAsia="Times New Roman" w:hAnsi="Times New Roman"/>
          <w:sz w:val="22"/>
          <w:szCs w:val="22"/>
          <w:color w:val="auto"/>
        </w:rPr>
        <w:t>”) which shall be in a form reasonably acceptable to the Administrative Agent and shall specify (i) a discount to par that must be expressed as a percentage (the “</w:t>
      </w:r>
      <w:r>
        <w:rPr>
          <w:rFonts w:ascii="Times New Roman" w:cs="Times New Roman" w:eastAsia="Times New Roman" w:hAnsi="Times New Roman"/>
          <w:sz w:val="22"/>
          <w:szCs w:val="22"/>
          <w:i w:val="1"/>
          <w:iCs w:val="1"/>
          <w:color w:val="auto"/>
        </w:rPr>
        <w:t>Reply Discount</w:t>
      </w:r>
      <w:r>
        <w:rPr>
          <w:rFonts w:ascii="Times New Roman" w:cs="Times New Roman" w:eastAsia="Times New Roman" w:hAnsi="Times New Roman"/>
          <w:sz w:val="22"/>
          <w:szCs w:val="22"/>
          <w:color w:val="auto"/>
        </w:rPr>
        <w:t>”), which must be within the Discount Range, and (ii) a principal amount of such Term B Loans which must be in increments of $1.0 million (the “</w:t>
      </w:r>
      <w:r>
        <w:rPr>
          <w:rFonts w:ascii="Times New Roman" w:cs="Times New Roman" w:eastAsia="Times New Roman" w:hAnsi="Times New Roman"/>
          <w:sz w:val="22"/>
          <w:szCs w:val="22"/>
          <w:i w:val="1"/>
          <w:iCs w:val="1"/>
          <w:color w:val="auto"/>
        </w:rPr>
        <w:t>Reply Amount</w:t>
      </w:r>
      <w:r>
        <w:rPr>
          <w:rFonts w:ascii="Times New Roman" w:cs="Times New Roman" w:eastAsia="Times New Roman" w:hAnsi="Times New Roman"/>
          <w:sz w:val="22"/>
          <w:szCs w:val="22"/>
          <w:color w:val="auto"/>
        </w:rPr>
        <w:t>”). A Term B Lender may avoid the minimum amount condition solely when submitting a Reply Amount equal to the Term B Lender’s entire remaining amount of such Class of Term B Loans. Term B Lenders may only submit one (1) Return Bid per Auction but each Return Bid may contain up to three (3) bids only one (1) of which can result in a Qualifying Bid (as defined below). In addition to the Return Bid, the participating Term B Lender must execute and deliver, to be held in escrow by the Administrative Agent, an Assignment and Assumption with the Dollar or Euro amount of the Term B Loan to be left in blank, which amount shall be completed by the Administrative Agent in accordance with the final determination of such Term B Lender’s Qualifying Bid pursuant to subclause (c) below.</w:t>
      </w:r>
    </w:p>
    <w:p>
      <w:pPr>
        <w:spacing w:after="0" w:line="196" w:lineRule="exact"/>
        <w:rPr>
          <w:rFonts w:ascii="Times New Roman" w:cs="Times New Roman" w:eastAsia="Times New Roman" w:hAnsi="Times New Roman"/>
          <w:sz w:val="22"/>
          <w:szCs w:val="22"/>
          <w:color w:val="auto"/>
        </w:rPr>
      </w:pPr>
    </w:p>
    <w:p>
      <w:pPr>
        <w:ind w:left="-540" w:firstLine="645"/>
        <w:spacing w:after="0" w:line="246" w:lineRule="auto"/>
        <w:tabs>
          <w:tab w:leader="none" w:pos="56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Procedures</w:t>
      </w:r>
      <w:r>
        <w:rPr>
          <w:rFonts w:ascii="Times New Roman" w:cs="Times New Roman" w:eastAsia="Times New Roman" w:hAnsi="Times New Roman"/>
          <w:sz w:val="22"/>
          <w:szCs w:val="22"/>
          <w:color w:val="auto"/>
        </w:rPr>
        <w:t>. Based on the Reply Discounts and Reply Amounts received by the Administrative Agent, the Administrative Agent, in consultation with the Borrower, will determine the applicable discount (the “</w:t>
      </w:r>
      <w:r>
        <w:rPr>
          <w:rFonts w:ascii="Times New Roman" w:cs="Times New Roman" w:eastAsia="Times New Roman" w:hAnsi="Times New Roman"/>
          <w:sz w:val="22"/>
          <w:szCs w:val="22"/>
          <w:i w:val="1"/>
          <w:iCs w:val="1"/>
          <w:color w:val="auto"/>
        </w:rPr>
        <w:t>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Discount</w:t>
      </w:r>
      <w:r>
        <w:rPr>
          <w:rFonts w:ascii="Times New Roman" w:cs="Times New Roman" w:eastAsia="Times New Roman" w:hAnsi="Times New Roman"/>
          <w:sz w:val="22"/>
          <w:szCs w:val="22"/>
          <w:color w:val="auto"/>
        </w:rPr>
        <w:t>”) for the Auction, which will be the lowest Reply Discount for which the Borrower or its Subsidiary,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applicable, can complete the Auction at the Auction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the Reply Amounts are insufficient to allow the Borrower or its Subsidiary, as applicable, to complete a purchase of the entire Auction Amount, the Borrower or its Subsidiary shall either, at its election, (i) withdraw the Auction or (ii) complete the Auction at an Applicable Discount equal to the highest Reply Discount. The Borrower or its Subsidiary, as applicable, shall purchase the applicable Term B Loans (or the respective portions thereof) from each such Term B Lender with a Reply Discount that is equal to or greater than the Applicable Discount (“</w:t>
      </w:r>
      <w:r>
        <w:rPr>
          <w:rFonts w:ascii="Times New Roman" w:cs="Times New Roman" w:eastAsia="Times New Roman" w:hAnsi="Times New Roman"/>
          <w:sz w:val="22"/>
          <w:szCs w:val="22"/>
          <w:i w:val="1"/>
          <w:iCs w:val="1"/>
          <w:color w:val="auto"/>
        </w:rPr>
        <w:t>Qualifying Bids</w:t>
      </w:r>
      <w:r>
        <w:rPr>
          <w:rFonts w:ascii="Times New Roman" w:cs="Times New Roman" w:eastAsia="Times New Roman" w:hAnsi="Times New Roman"/>
          <w:sz w:val="22"/>
          <w:szCs w:val="22"/>
          <w:color w:val="auto"/>
        </w:rPr>
        <w:t xml:space="preserve">”) at the Applicable Discount;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aggregate proceeds required to purchase all</w:t>
      </w:r>
    </w:p>
    <w:p>
      <w:pPr>
        <w:sectPr>
          <w:pgSz w:w="11900" w:h="16838" w:orient="portrait"/>
          <w:cols w:equalWidth="0" w:num="1">
            <w:col w:w="10200"/>
          </w:cols>
          <w:pgMar w:left="1440" w:top="625" w:right="259" w:bottom="1440" w:gutter="0" w:footer="0" w:header="0"/>
        </w:sectPr>
      </w:pPr>
    </w:p>
    <w:bookmarkStart w:id="137" w:name="page138"/>
    <w:bookmarkEnd w:id="137"/>
    <w:p>
      <w:pPr>
        <w:ind w:left="660" w:right="160"/>
        <w:spacing w:after="0" w:line="248" w:lineRule="auto"/>
        <w:rPr>
          <w:sz w:val="20"/>
          <w:szCs w:val="20"/>
          <w:color w:val="auto"/>
        </w:rPr>
      </w:pPr>
      <w:r>
        <w:rPr>
          <w:rFonts w:ascii="Times New Roman" w:cs="Times New Roman" w:eastAsia="Times New Roman" w:hAnsi="Times New Roman"/>
          <w:sz w:val="22"/>
          <w:szCs w:val="22"/>
          <w:color w:val="auto"/>
        </w:rPr>
        <w:t>such Term B Loans subject to Qualifying Bids would exceed the Auction Amount for such Auction, the Borrower or its Subsidiary, as applicable, shall purchase such Term B Loans at the Applicable Discount ratably based on the principal amounts of such Qualifying Bids (subject to rounding requirements specified by the Administrative Agent). If a Term B Lender has submitted a Return Bid containing multiple bids at different Reply Discounts, only the bid with the highest Reply Discount that is equal to or greater than the Applicable Discount will be deemed the Qualifying Bid of such Term B Lender. Each participating Term B Lender will receive notice of a Qualifying Bid as soon as reasonably practicable but in no case later than five (5) Business Days from the date the Return Bid was due.</w:t>
      </w:r>
    </w:p>
    <w:p>
      <w:pPr>
        <w:spacing w:after="0" w:line="182" w:lineRule="exact"/>
        <w:rPr>
          <w:sz w:val="20"/>
          <w:szCs w:val="20"/>
          <w:color w:val="auto"/>
        </w:rPr>
      </w:pPr>
    </w:p>
    <w:p>
      <w:pPr>
        <w:jc w:val="both"/>
        <w:ind w:left="660" w:right="80" w:firstLine="645"/>
        <w:spacing w:after="0" w:line="257" w:lineRule="auto"/>
        <w:tabs>
          <w:tab w:leader="none" w:pos="177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Procedures</w:t>
      </w:r>
      <w:r>
        <w:rPr>
          <w:rFonts w:ascii="Times New Roman" w:cs="Times New Roman" w:eastAsia="Times New Roman" w:hAnsi="Times New Roman"/>
          <w:sz w:val="22"/>
          <w:szCs w:val="22"/>
          <w:color w:val="auto"/>
        </w:rPr>
        <w:t>. Furthermore, in connection with any Auction, upon submission by a Term B Lender of a Qualifying Bid, such Term B Lender will be obligated to sell the entirety or its allocable portion of the Reply Amount, as the case may be, at the Applicable Discount.</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ECF Payment</w:t>
      </w:r>
      <w:r>
        <w:rPr>
          <w:rFonts w:ascii="Times New Roman" w:cs="Times New Roman" w:eastAsia="Times New Roman" w:hAnsi="Times New Roman"/>
          <w:sz w:val="22"/>
          <w:szCs w:val="22"/>
          <w:color w:val="auto"/>
        </w:rPr>
        <w:t>” is defined in Section 2.8(c)(iii) hereof.</w:t>
      </w:r>
    </w:p>
    <w:p>
      <w:pPr>
        <w:spacing w:after="0" w:line="220" w:lineRule="exact"/>
        <w:rPr>
          <w:sz w:val="20"/>
          <w:szCs w:val="20"/>
          <w:color w:val="auto"/>
        </w:rPr>
      </w:pPr>
    </w:p>
    <w:p>
      <w:pPr>
        <w:ind w:right="2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92" w:lineRule="exact"/>
        <w:rPr>
          <w:sz w:val="20"/>
          <w:szCs w:val="20"/>
          <w:color w:val="auto"/>
        </w:rPr>
      </w:pPr>
    </w:p>
    <w:p>
      <w:pPr>
        <w:ind w:right="1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7"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Assignee</w:t>
      </w:r>
      <w:r>
        <w:rPr>
          <w:rFonts w:ascii="Times New Roman" w:cs="Times New Roman" w:eastAsia="Times New Roman" w:hAnsi="Times New Roman"/>
          <w:sz w:val="22"/>
          <w:szCs w:val="22"/>
          <w:color w:val="auto"/>
        </w:rPr>
        <w:t xml:space="preserve">” means (a) a Lender, (b) an Affiliate of a Lender, (c) an Approved Fund, and (d) any other Person (other than a natural person or a holding company, investment vehicle or trust for, or owned and operated for the primary benefit of, a natural person) approved in writing by (i) the Administrative Agent, (ii) in the case of any assignment of a Revolving Credit Commitment, the L/C Issuers, and (iii) unless an Event of Default has occurred and is continuing under Section 7.1(a), (j) or (k) hereof, the Borrower (each such approval not to be unreasonably withheld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assignments of Term B Loans, the Borrower shall be deemed to have consented to any such assignment unless it shall object thereto by written notice to the Administrative Agent within ten (10) Business Days after having received written notice from the Administrative Agent of such request for its</w:t>
      </w:r>
    </w:p>
    <w:p>
      <w:pPr>
        <w:sectPr>
          <w:pgSz w:w="11900" w:h="16838" w:orient="portrait"/>
          <w:cols w:equalWidth="0" w:num="1">
            <w:col w:w="11400"/>
          </w:cols>
          <w:pgMar w:left="240" w:top="625" w:right="2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1"/>
          <w:szCs w:val="21"/>
          <w:color w:val="auto"/>
        </w:rPr>
        <w:t xml:space="preserve">consent;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notwithstanding the foregoing, (A) “Eligible Assignee” shall not include (x) any Prohibited Lenders,</w:t>
      </w:r>
    </w:p>
    <w:p>
      <w:pPr>
        <w:spacing w:after="0" w:line="43" w:lineRule="exact"/>
        <w:rPr>
          <w:sz w:val="20"/>
          <w:szCs w:val="20"/>
          <w:color w:val="auto"/>
        </w:rPr>
      </w:pPr>
    </w:p>
    <w:p>
      <w:pPr>
        <w:jc w:val="both"/>
        <w:ind w:right="100" w:firstLine="8"/>
        <w:spacing w:after="0" w:line="244" w:lineRule="auto"/>
        <w:tabs>
          <w:tab w:leader="none" w:pos="30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natural person or any holding company, investment vehicle or trust for, or owned and operated for the primary benefit of, a natural person or (z) except to the extent provided in Section 10.10(h), the Borrower or any Subsidiary or Affiliate of the Borrower and (B) in the case of assignments of Revolving Credit Commitments or Revolving Exposure, no Person shall be an Eligible Assignee pursuant to clause (a), (b) or (c) above unless such Person is, or is an Affiliate or an Approved Fund of, an existing Lender under the Revolving Facility.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EMU</w:t>
      </w:r>
      <w:r>
        <w:rPr>
          <w:rFonts w:ascii="Times New Roman" w:cs="Times New Roman" w:eastAsia="Times New Roman" w:hAnsi="Times New Roman"/>
          <w:sz w:val="22"/>
          <w:szCs w:val="22"/>
          <w:color w:val="auto"/>
        </w:rPr>
        <w:t>” means the economic and monetary union as contemplated in the Treaty on European Union.</w:t>
      </w:r>
    </w:p>
    <w:p>
      <w:pPr>
        <w:spacing w:after="0" w:line="220" w:lineRule="exact"/>
        <w:rPr>
          <w:sz w:val="20"/>
          <w:szCs w:val="20"/>
          <w:color w:val="auto"/>
        </w:rPr>
      </w:pPr>
    </w:p>
    <w:p>
      <w:pPr>
        <w:ind w:right="2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w:t>
      </w:r>
      <w:r>
        <w:rPr>
          <w:rFonts w:ascii="Times New Roman" w:cs="Times New Roman" w:eastAsia="Times New Roman" w:hAnsi="Times New Roman"/>
          <w:sz w:val="22"/>
          <w:szCs w:val="22"/>
          <w:color w:val="auto"/>
        </w:rPr>
        <w:t>” means ambient air, indoor air, surface water, groundwater, drinking water, land surface, sediments, and subsurface strata and natural resources such as wetlands, flora and fauna.</w:t>
      </w:r>
    </w:p>
    <w:p>
      <w:pPr>
        <w:spacing w:after="0" w:line="150" w:lineRule="exact"/>
        <w:rPr>
          <w:sz w:val="20"/>
          <w:szCs w:val="20"/>
          <w:color w:val="auto"/>
        </w:rPr>
      </w:pPr>
    </w:p>
    <w:p>
      <w:pPr>
        <w:ind w:right="6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Claim</w:t>
      </w:r>
      <w:r>
        <w:rPr>
          <w:rFonts w:ascii="Times New Roman" w:cs="Times New Roman" w:eastAsia="Times New Roman" w:hAnsi="Times New Roman"/>
          <w:sz w:val="22"/>
          <w:szCs w:val="22"/>
          <w:color w:val="auto"/>
        </w:rPr>
        <w:t>” means any investigation, written notice, violation, written demand, written allegation, action, suit, injunction, judgment, order, consent decree, penalty, fine, lien, proceeding or claim (whether administrative, judicial or private in nature) arising pursuant to, or in connection with (a) an actual or alleged violation of, any Environmental Law, (b) from any actual or threatened abatement, removal, remedial, corrective or response action in connection with the Release of Hazardous Material, (c) an order of a Governmental Authority under Environmental Law or (d) from any actual or alleged damage, injury, threat or harm to human health or safety as it relates to exposure to Hazardous Materials or the Environment.</w:t>
      </w:r>
    </w:p>
    <w:p>
      <w:pPr>
        <w:spacing w:after="0" w:line="181" w:lineRule="exact"/>
        <w:rPr>
          <w:sz w:val="20"/>
          <w:szCs w:val="20"/>
          <w:color w:val="auto"/>
        </w:rPr>
      </w:pPr>
    </w:p>
    <w:p>
      <w:pPr>
        <w:ind w:right="4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Law</w:t>
      </w:r>
      <w:r>
        <w:rPr>
          <w:rFonts w:ascii="Times New Roman" w:cs="Times New Roman" w:eastAsia="Times New Roman" w:hAnsi="Times New Roman"/>
          <w:sz w:val="22"/>
          <w:szCs w:val="22"/>
          <w:color w:val="auto"/>
        </w:rPr>
        <w:t>” means any current or future Applicable Law pertaining to (a) the protection of the Environment, or health and safety as it relates to exposure to Hazardous Materials or (b) the management, manufacture, possession, presence, use, generation, transportation, treatment, storage, Release, threatened Release, abatement, removal, remediation or handling of, or exposure to, any Hazardous Material.</w:t>
      </w:r>
    </w:p>
    <w:p>
      <w:pPr>
        <w:spacing w:after="0" w:line="172" w:lineRule="exact"/>
        <w:rPr>
          <w:sz w:val="20"/>
          <w:szCs w:val="20"/>
          <w:color w:val="auto"/>
        </w:rPr>
      </w:pPr>
    </w:p>
    <w:p>
      <w:pPr>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Liability</w:t>
      </w:r>
      <w:r>
        <w:rPr>
          <w:rFonts w:ascii="Times New Roman" w:cs="Times New Roman" w:eastAsia="Times New Roman" w:hAnsi="Times New Roman"/>
          <w:sz w:val="22"/>
          <w:szCs w:val="22"/>
          <w:color w:val="auto"/>
        </w:rPr>
        <w:t>” means any liability, claim, action, suit, agreement, judgment or order arising under or relating to any Environmental Law for any damages, injunctive relief, losses, fines, penalties, fees, expenses (including reasonable fees and expenses of attorneys and consultants) or costs, whether contingent or otherwise, including those directly or indirectly resulting from or relating to: (a) any actual or alleged violation of any Environmental Law or permit, license or approval issued thereunder, (b) the generation, use, handling, transportation, storage, treatment or disposal of any Hazardous Materials, (c) exposure to any Hazardous Materials, (d) the Release or threat of Release of any Hazardous Materials or (e) any contract or written agreement pursuant to which liability is assumed or imposed with respect to any of the foregoing.</w:t>
      </w:r>
    </w:p>
    <w:p>
      <w:pPr>
        <w:sectPr>
          <w:pgSz w:w="11900" w:h="16838" w:orient="portrait"/>
          <w:cols w:equalWidth="0" w:num="1">
            <w:col w:w="11420"/>
          </w:cols>
          <w:pgMar w:left="240" w:top="621" w:right="239" w:bottom="1440" w:gutter="0" w:footer="0" w:header="0"/>
        </w:sectPr>
      </w:pPr>
    </w:p>
    <w:bookmarkStart w:id="139" w:name="page140"/>
    <w:bookmarkEnd w:id="139"/>
    <w:p>
      <w:pPr>
        <w:ind w:right="2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means any and all shares, interests, participations or other equivalents (however designated) of capital stock or in the share capital of a corporation or company, any and all equivalent ownership interests in a Person (other than a corporation), including partnership interests and membership interests, and any and all warrants, rights or options to purchase or other arrangements or rights to acquire any of the foregoing, but excluding any debt security that is convertible into, or exchangeable for, any of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means the Employee Retirement Income Security Act of 1974, as amended, or any successor statute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Escrow Account</w:t>
      </w:r>
      <w:r>
        <w:rPr>
          <w:rFonts w:ascii="Times New Roman" w:cs="Times New Roman" w:eastAsia="Times New Roman" w:hAnsi="Times New Roman"/>
          <w:sz w:val="21"/>
          <w:szCs w:val="21"/>
          <w:color w:val="auto"/>
        </w:rPr>
        <w:t>” means the escrow account or accounts established with the Escrow Agent pursuant to the Escrow</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Escrow Account Funds</w:t>
      </w:r>
      <w:r>
        <w:rPr>
          <w:rFonts w:ascii="Times New Roman" w:cs="Times New Roman" w:eastAsia="Times New Roman" w:hAnsi="Times New Roman"/>
          <w:sz w:val="22"/>
          <w:szCs w:val="22"/>
          <w:color w:val="auto"/>
        </w:rPr>
        <w:t>” means all cash, securities and other property held or credited to the Escrow Account.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Escrow Agent</w:t>
      </w:r>
      <w:r>
        <w:rPr>
          <w:rFonts w:ascii="Times New Roman" w:cs="Times New Roman" w:eastAsia="Times New Roman" w:hAnsi="Times New Roman"/>
          <w:sz w:val="22"/>
          <w:szCs w:val="22"/>
          <w:color w:val="auto"/>
        </w:rPr>
        <w:t>” means SunTrust Bank.</w:t>
      </w:r>
    </w:p>
    <w:p>
      <w:pPr>
        <w:spacing w:after="0" w:line="220" w:lineRule="exact"/>
        <w:rPr>
          <w:sz w:val="20"/>
          <w:szCs w:val="20"/>
          <w:color w:val="auto"/>
        </w:rPr>
      </w:pPr>
    </w:p>
    <w:p>
      <w:pPr>
        <w:ind w:right="96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Escrow Agreement</w:t>
      </w:r>
      <w:r>
        <w:rPr>
          <w:rFonts w:ascii="Times New Roman" w:cs="Times New Roman" w:eastAsia="Times New Roman" w:hAnsi="Times New Roman"/>
          <w:sz w:val="22"/>
          <w:szCs w:val="22"/>
          <w:color w:val="auto"/>
        </w:rPr>
        <w:t xml:space="preserve">” means the Escrow Agreement dated as of the Closing Date among the Borrower, the Administrative Agent and the Escrow Agent substantially in the form of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Escrow Release Conditions</w:t>
      </w:r>
      <w:r>
        <w:rPr>
          <w:rFonts w:ascii="Times New Roman" w:cs="Times New Roman" w:eastAsia="Times New Roman" w:hAnsi="Times New Roman"/>
          <w:sz w:val="22"/>
          <w:szCs w:val="22"/>
          <w:color w:val="auto"/>
        </w:rPr>
        <w:t>” means, collectively, the conditions set forth in Section 3.3 hereof.</w:t>
      </w:r>
    </w:p>
    <w:p>
      <w:pPr>
        <w:spacing w:after="0" w:line="220"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Escrow Release Date</w:t>
      </w:r>
      <w:r>
        <w:rPr>
          <w:rFonts w:ascii="Times New Roman" w:cs="Times New Roman" w:eastAsia="Times New Roman" w:hAnsi="Times New Roman"/>
          <w:sz w:val="22"/>
          <w:szCs w:val="22"/>
          <w:color w:val="auto"/>
        </w:rPr>
        <w:t>” means the date on which the conditions set forth in Section 3.3 are satisfied and the proceeds of the Loans are released from the Escrow Account to the Borrower, which date shall be a Business Day.</w:t>
      </w:r>
    </w:p>
    <w:p>
      <w:pPr>
        <w:spacing w:after="0" w:line="150" w:lineRule="exact"/>
        <w:rPr>
          <w:sz w:val="20"/>
          <w:szCs w:val="20"/>
          <w:color w:val="auto"/>
        </w:rPr>
      </w:pPr>
    </w:p>
    <w:p>
      <w:pPr>
        <w:ind w:right="100"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Escrow Release Date Refinancing</w:t>
      </w:r>
      <w:r>
        <w:rPr>
          <w:rFonts w:ascii="Times New Roman" w:cs="Times New Roman" w:eastAsia="Times New Roman" w:hAnsi="Times New Roman"/>
          <w:sz w:val="22"/>
          <w:szCs w:val="22"/>
          <w:color w:val="auto"/>
        </w:rPr>
        <w:t>” means all existing third party debt for borrowed money of the Borrower and its Subsidiaries under that certain Credit Agreement, dated as of January 9, 2014, among Western Digital Technologies, Inc. and Western Digital Ireland, Ltd., as borrowers, the Borrower, JPMorgan Chase Bank, N.A., as administrative agent and the other lenders and financial institutions party thereto (as amended from time to time) being repaid, redeemed, defeased, discharged, refinanced or terminated in full and all guarantees and Liens (if any) in respect thereof being terminated and released (or arrangements reasonably satisfactory to the Administrative Agent being in place for the termination and release of such guarantees and Liens).</w:t>
      </w:r>
    </w:p>
    <w:p>
      <w:pPr>
        <w:spacing w:after="0" w:line="182" w:lineRule="exact"/>
        <w:rPr>
          <w:sz w:val="20"/>
          <w:szCs w:val="20"/>
          <w:color w:val="auto"/>
        </w:rPr>
      </w:pPr>
    </w:p>
    <w:p>
      <w:pPr>
        <w:ind w:right="6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ectPr>
          <w:pgSz w:w="11900" w:h="16838" w:orient="portrait"/>
          <w:cols w:equalWidth="0" w:num="1">
            <w:col w:w="11420"/>
          </w:cols>
          <w:pgMar w:left="240" w:top="621" w:right="239" w:bottom="1440" w:gutter="0" w:footer="0" w:header="0"/>
        </w:sectPr>
      </w:pPr>
    </w:p>
    <w:bookmarkStart w:id="140" w:name="page141"/>
    <w:bookmarkEnd w:id="14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Euro</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means the official lawful currency of the participating member states of the EMU.</w:t>
      </w:r>
    </w:p>
    <w:p>
      <w:pPr>
        <w:spacing w:after="0" w:line="220" w:lineRule="exact"/>
        <w:rPr>
          <w:sz w:val="20"/>
          <w:szCs w:val="20"/>
          <w:color w:val="auto"/>
        </w:rPr>
      </w:pPr>
    </w:p>
    <w:p>
      <w:pPr>
        <w:ind w:right="16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Eurodollar Loan</w:t>
      </w:r>
      <w:r>
        <w:rPr>
          <w:rFonts w:ascii="Times New Roman" w:cs="Times New Roman" w:eastAsia="Times New Roman" w:hAnsi="Times New Roman"/>
          <w:sz w:val="22"/>
          <w:szCs w:val="22"/>
          <w:color w:val="auto"/>
        </w:rPr>
        <w:t>” means a Term Loan or Revolving Loan bearing interest at the rate specified in Section 2.4(b) or Section 2.4(d) hereof, as applicable.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 means any event or condition identified as such in Section 7.1 hereof.</w:t>
      </w:r>
    </w:p>
    <w:p>
      <w:pPr>
        <w:spacing w:after="0" w:line="220" w:lineRule="exact"/>
        <w:rPr>
          <w:sz w:val="20"/>
          <w:szCs w:val="20"/>
          <w:color w:val="auto"/>
        </w:rPr>
      </w:pPr>
    </w:p>
    <w:p>
      <w:pPr>
        <w:ind w:right="38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Event of Loss</w:t>
      </w:r>
      <w:r>
        <w:rPr>
          <w:rFonts w:ascii="Times New Roman" w:cs="Times New Roman" w:eastAsia="Times New Roman" w:hAnsi="Times New Roman"/>
          <w:sz w:val="22"/>
          <w:szCs w:val="22"/>
          <w:color w:val="auto"/>
        </w:rPr>
        <w:t>” means, with respect to any Property, any of the following: (a) any loss, destruction or damage of such Property or (b) any condemnation, seizure, or taking, by exercise of the power of eminent domain or otherwise, of such Property, or confiscation of such Property.</w:t>
      </w:r>
    </w:p>
    <w:p>
      <w:pPr>
        <w:spacing w:after="0" w:line="167" w:lineRule="exact"/>
        <w:rPr>
          <w:sz w:val="20"/>
          <w:szCs w:val="20"/>
          <w:color w:val="auto"/>
        </w:rPr>
      </w:pPr>
    </w:p>
    <w:p>
      <w:pPr>
        <w:ind w:right="18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Excess Cash Flow</w:t>
      </w:r>
      <w:r>
        <w:rPr>
          <w:rFonts w:ascii="Times New Roman" w:cs="Times New Roman" w:eastAsia="Times New Roman" w:hAnsi="Times New Roman"/>
          <w:sz w:val="22"/>
          <w:szCs w:val="22"/>
          <w:color w:val="auto"/>
        </w:rPr>
        <w:t xml:space="preserve">” means, with respect to any period, the amount (if any, but which amount shall not be less than zero) by which (a) Cash Flow during such period exceeds (b) the sum of (i) the aggregate amount of payments or repurchases required to be (and actually) made or otherwise paid by the Borrower and its Restricted Subsidiaries during such period in respect of all principal on all Indebtedness (whether at maturity, as a result of mandatory prepayment, acceleration or otherwise, but excluding voluntary prepayments deducted pursuant to Section 2.8(c)(iii)(B)),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(ii) to the extent each of the following is not deducted in computing Consolidated Net Income and without duplication,</w:t>
      </w:r>
    </w:p>
    <w:p>
      <w:pPr>
        <w:spacing w:after="0" w:line="185" w:lineRule="exact"/>
        <w:rPr>
          <w:sz w:val="20"/>
          <w:szCs w:val="20"/>
          <w:color w:val="auto"/>
        </w:rPr>
      </w:pPr>
    </w:p>
    <w:p>
      <w:pPr>
        <w:jc w:val="both"/>
        <w:ind w:left="660" w:right="220" w:firstLine="645"/>
        <w:spacing w:after="0" w:line="250" w:lineRule="auto"/>
        <w:tabs>
          <w:tab w:leader="none" w:pos="182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of amounts deducted pursuant to this subclause (A) or subclause (D) below in a prior period, capital expenditures, capitalized software expenses, acquisitions of intellectual property of the Borrower and its Restricted Subsidiaries, in each case, made in cash during such period or, at the option of the Borrower, made prior to the date the applicable Excess Cash Flow payment is required to be made under Section 2.8(c)(iii) with respect to such period (except to the extent financed with long-term Indebtedness (other than revolving Indebtedness)),</w:t>
      </w:r>
    </w:p>
    <w:p>
      <w:pPr>
        <w:spacing w:after="0" w:line="181" w:lineRule="exact"/>
        <w:rPr>
          <w:rFonts w:ascii="Times New Roman" w:cs="Times New Roman" w:eastAsia="Times New Roman" w:hAnsi="Times New Roman"/>
          <w:sz w:val="22"/>
          <w:szCs w:val="22"/>
          <w:color w:val="auto"/>
        </w:rPr>
      </w:pPr>
    </w:p>
    <w:p>
      <w:pPr>
        <w:ind w:left="660" w:firstLine="645"/>
        <w:spacing w:after="0" w:line="266" w:lineRule="auto"/>
        <w:tabs>
          <w:tab w:leader="none" w:pos="181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of amounts deducted pursuant to subclause (D) below in a prior period, the amount of (i) investments made by the Borrower and its Restricted Subsidiaries pursuant to Section 6.17(f), (l)(ii), (o), (q), (u) and (y) and</w:t>
      </w:r>
    </w:p>
    <w:p>
      <w:pPr>
        <w:spacing w:after="0" w:line="1" w:lineRule="exact"/>
        <w:rPr>
          <w:rFonts w:ascii="Times New Roman" w:cs="Times New Roman" w:eastAsia="Times New Roman" w:hAnsi="Times New Roman"/>
          <w:sz w:val="21"/>
          <w:szCs w:val="21"/>
          <w:color w:val="auto"/>
        </w:rPr>
      </w:pPr>
    </w:p>
    <w:p>
      <w:pPr>
        <w:ind w:left="660" w:right="360" w:hanging="4"/>
        <w:spacing w:after="0" w:line="246" w:lineRule="auto"/>
        <w:tabs>
          <w:tab w:leader="none" w:pos="97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made by the Borrower and its Restricted Subsidiaries pursuant to Section 6.18(b), (f)(x), (g) and (h), in each case, in cash (except, in each case, to the extent financed with long-term Indebtedness (other than revolving Indebtedness)),</w:t>
      </w:r>
    </w:p>
    <w:p>
      <w:pPr>
        <w:spacing w:after="0" w:line="18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losses from any sale or disposition outside the ordinary course of business,</w:t>
      </w:r>
    </w:p>
    <w:p>
      <w:pPr>
        <w:spacing w:after="0" w:line="219" w:lineRule="exact"/>
        <w:rPr>
          <w:rFonts w:ascii="Times New Roman" w:cs="Times New Roman" w:eastAsia="Times New Roman" w:hAnsi="Times New Roman"/>
          <w:sz w:val="22"/>
          <w:szCs w:val="22"/>
          <w:color w:val="auto"/>
        </w:rPr>
      </w:pPr>
    </w:p>
    <w:p>
      <w:pPr>
        <w:ind w:left="660" w:firstLine="645"/>
        <w:spacing w:after="0" w:line="271" w:lineRule="auto"/>
        <w:tabs>
          <w:tab w:leader="none" w:pos="182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of amounts deducted from Excess Cash Flow in a prior period, the aggregate consideration required to be paid in cash by the Borrower and</w:t>
      </w:r>
    </w:p>
    <w:p>
      <w:pPr>
        <w:sectPr>
          <w:pgSz w:w="11900" w:h="16838" w:orient="portrait"/>
          <w:cols w:equalWidth="0" w:num="1">
            <w:col w:w="11420"/>
          </w:cols>
          <w:pgMar w:left="240" w:top="621" w:right="239" w:bottom="1440" w:gutter="0" w:footer="0" w:header="0"/>
        </w:sectPr>
      </w:pPr>
    </w:p>
    <w:bookmarkStart w:id="141" w:name="page142"/>
    <w:bookmarkEnd w:id="141"/>
    <w:p>
      <w:pPr>
        <w:ind w:left="660"/>
        <w:spacing w:after="0" w:line="246" w:lineRule="auto"/>
        <w:rPr>
          <w:sz w:val="20"/>
          <w:szCs w:val="20"/>
          <w:color w:val="auto"/>
        </w:rPr>
      </w:pPr>
      <w:r>
        <w:rPr>
          <w:rFonts w:ascii="Times New Roman" w:cs="Times New Roman" w:eastAsia="Times New Roman" w:hAnsi="Times New Roman"/>
          <w:sz w:val="22"/>
          <w:szCs w:val="22"/>
          <w:color w:val="auto"/>
        </w:rPr>
        <w:t>its Restricted Subsidiaries pursuant to binding contracts (the “</w:t>
      </w:r>
      <w:r>
        <w:rPr>
          <w:rFonts w:ascii="Times New Roman" w:cs="Times New Roman" w:eastAsia="Times New Roman" w:hAnsi="Times New Roman"/>
          <w:sz w:val="22"/>
          <w:szCs w:val="22"/>
          <w:i w:val="1"/>
          <w:iCs w:val="1"/>
          <w:color w:val="auto"/>
        </w:rPr>
        <w:t>Contract Consideration</w:t>
      </w:r>
      <w:r>
        <w:rPr>
          <w:rFonts w:ascii="Times New Roman" w:cs="Times New Roman" w:eastAsia="Times New Roman" w:hAnsi="Times New Roman"/>
          <w:sz w:val="22"/>
          <w:szCs w:val="22"/>
          <w:color w:val="auto"/>
        </w:rPr>
        <w:t>”) entered into prior to or during such period or any planned cash expenditures (the “</w:t>
      </w:r>
      <w:r>
        <w:rPr>
          <w:rFonts w:ascii="Times New Roman" w:cs="Times New Roman" w:eastAsia="Times New Roman" w:hAnsi="Times New Roman"/>
          <w:sz w:val="22"/>
          <w:szCs w:val="22"/>
          <w:i w:val="1"/>
          <w:iCs w:val="1"/>
          <w:color w:val="auto"/>
        </w:rPr>
        <w:t>Planned Expenditures</w:t>
      </w:r>
      <w:r>
        <w:rPr>
          <w:rFonts w:ascii="Times New Roman" w:cs="Times New Roman" w:eastAsia="Times New Roman" w:hAnsi="Times New Roman"/>
          <w:sz w:val="22"/>
          <w:szCs w:val="22"/>
          <w:color w:val="auto"/>
        </w:rPr>
        <w:t xml:space="preserve">”), in each case, relating to investments permitted pursuant to Section 6.17(f), (l), (o), (q), (u) or (y), capital expenditures, capitalized software expenses or acquisitions of intellectual property to be consummated or made during the period of four (4) consecutive fiscal quarters of the Borrower following the end of such period (except, in each case, to the extent financed with long-term Indebtedness (other than revolving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the aggregate amount of cash actually utilized to finance such investments permitted pursuant to Section 6.17(f), (l), (o), (q), (u) or (y), capital expenditures, capitalized software expenses or acquisitions of intellectual property during such following period of four consecutive fiscal quarters is less than the Contract Consideration and the Planned Expenditures, the amount of such shortfall shall be added to the calculation of Excess Cash Flow at the end of such period of four consecutive fiscal quarters,</w:t>
      </w:r>
    </w:p>
    <w:p>
      <w:pPr>
        <w:spacing w:after="0" w:line="193" w:lineRule="exact"/>
        <w:rPr>
          <w:sz w:val="20"/>
          <w:szCs w:val="20"/>
          <w:color w:val="auto"/>
        </w:rPr>
      </w:pPr>
    </w:p>
    <w:p>
      <w:pPr>
        <w:ind w:left="660" w:right="40" w:firstLine="645"/>
        <w:spacing w:after="0" w:line="250" w:lineRule="auto"/>
        <w:tabs>
          <w:tab w:leader="none" w:pos="18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expenditures (other than investments or Distributions) actually made by the Borrower and its Restricted Subsidiaries in cash during such period (including expenditures for the payment of financing fees) to the extent that such expenditures are not expensed and amounts in respect thereof are not otherwise deducted in computing Consolidated Net Income for such period or any prior period (except, in each case, to the extent financed with long-term Indebtedness (other than revolving Indebtedness)),</w:t>
      </w:r>
    </w:p>
    <w:p>
      <w:pPr>
        <w:spacing w:after="0" w:line="181" w:lineRule="exact"/>
        <w:rPr>
          <w:rFonts w:ascii="Times New Roman" w:cs="Times New Roman" w:eastAsia="Times New Roman" w:hAnsi="Times New Roman"/>
          <w:sz w:val="22"/>
          <w:szCs w:val="22"/>
          <w:color w:val="auto"/>
        </w:rPr>
      </w:pPr>
    </w:p>
    <w:p>
      <w:pPr>
        <w:ind w:left="660" w:right="40" w:firstLine="645"/>
        <w:spacing w:after="0" w:line="295" w:lineRule="auto"/>
        <w:tabs>
          <w:tab w:leader="none" w:pos="178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any premium, make-whole or penalty payments actually paid in cash by the Borrower and its Restricted Subsidiaries during such period that are made in connection with any prepayment of Indebtedness,</w:t>
      </w:r>
    </w:p>
    <w:p>
      <w:pPr>
        <w:spacing w:after="0" w:line="135" w:lineRule="exact"/>
        <w:rPr>
          <w:rFonts w:ascii="Times New Roman" w:cs="Times New Roman" w:eastAsia="Times New Roman" w:hAnsi="Times New Roman"/>
          <w:sz w:val="21"/>
          <w:szCs w:val="21"/>
          <w:color w:val="auto"/>
        </w:rPr>
      </w:pPr>
    </w:p>
    <w:p>
      <w:pPr>
        <w:ind w:left="660" w:right="60" w:firstLine="645"/>
        <w:spacing w:after="0" w:line="271" w:lineRule="auto"/>
        <w:tabs>
          <w:tab w:leader="none" w:pos="182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by the Borrower and its Restricted Subsidiaries during such period in respect of long-term liabilities of the Borrower and its Restricted Subsidiaries other than Indebtedness,</w:t>
      </w:r>
    </w:p>
    <w:p>
      <w:pPr>
        <w:spacing w:after="0" w:line="157" w:lineRule="exact"/>
        <w:rPr>
          <w:rFonts w:ascii="Times New Roman" w:cs="Times New Roman" w:eastAsia="Times New Roman" w:hAnsi="Times New Roman"/>
          <w:sz w:val="22"/>
          <w:szCs w:val="22"/>
          <w:color w:val="auto"/>
        </w:rPr>
      </w:pPr>
    </w:p>
    <w:p>
      <w:pPr>
        <w:ind w:left="1820" w:hanging="515"/>
        <w:spacing w:after="0"/>
        <w:tabs>
          <w:tab w:leader="none" w:pos="18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expenditures in respect of Hedge Agreements during such fiscal year, and</w:t>
      </w:r>
    </w:p>
    <w:p>
      <w:pPr>
        <w:spacing w:after="0" w:line="219" w:lineRule="exact"/>
        <w:rPr>
          <w:rFonts w:ascii="Times New Roman" w:cs="Times New Roman" w:eastAsia="Times New Roman" w:hAnsi="Times New Roman"/>
          <w:sz w:val="22"/>
          <w:szCs w:val="22"/>
          <w:color w:val="auto"/>
        </w:rPr>
      </w:pPr>
    </w:p>
    <w:p>
      <w:pPr>
        <w:ind w:left="660" w:right="40" w:firstLine="645"/>
        <w:spacing w:after="0" w:line="257" w:lineRule="auto"/>
        <w:tabs>
          <w:tab w:leader="none" w:pos="17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Taxes (including penalties and interest) paid in cash (without duplication) or tax reserves set aside or payable with respect to such period in such period to the extent they exceed the amount of Tax expense deducted in determining Consolidated Net Income for such period.</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Excess Interest</w:t>
      </w:r>
      <w:r>
        <w:rPr>
          <w:rFonts w:ascii="Times New Roman" w:cs="Times New Roman" w:eastAsia="Times New Roman" w:hAnsi="Times New Roman"/>
          <w:sz w:val="22"/>
          <w:szCs w:val="22"/>
          <w:color w:val="auto"/>
        </w:rPr>
        <w:t>” is defined in Section 10.18 hereof.</w:t>
      </w:r>
    </w:p>
    <w:p>
      <w:pPr>
        <w:spacing w:after="0" w:line="220" w:lineRule="exact"/>
        <w:rPr>
          <w:sz w:val="20"/>
          <w:szCs w:val="20"/>
          <w:color w:val="auto"/>
        </w:rPr>
      </w:pPr>
    </w:p>
    <w:p>
      <w:pPr>
        <w:ind w:right="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Exchanged Term A Loans</w:t>
      </w:r>
      <w:r>
        <w:rPr>
          <w:rFonts w:ascii="Times New Roman" w:cs="Times New Roman" w:eastAsia="Times New Roman" w:hAnsi="Times New Roman"/>
          <w:sz w:val="22"/>
          <w:szCs w:val="22"/>
          <w:color w:val="auto"/>
        </w:rPr>
        <w:t>” means each Term A Loan extended on the Closing Date (or portion thereof) and held by a Rollover Term A Lender on the Amendment No. 7</w:t>
      </w:r>
    </w:p>
    <w:p>
      <w:pPr>
        <w:sectPr>
          <w:pgSz w:w="11900" w:h="16838" w:orient="portrait"/>
          <w:cols w:equalWidth="0" w:num="1">
            <w:col w:w="11400"/>
          </w:cols>
          <w:pgMar w:left="240" w:top="621" w:right="259" w:bottom="1440" w:gutter="0" w:footer="0" w:header="0"/>
        </w:sectPr>
      </w:pPr>
    </w:p>
    <w:bookmarkStart w:id="142" w:name="page143"/>
    <w:bookmarkEnd w:id="142"/>
    <w:p>
      <w:pPr>
        <w:jc w:val="both"/>
        <w:ind w:right="140"/>
        <w:spacing w:after="0" w:line="257" w:lineRule="auto"/>
        <w:rPr>
          <w:sz w:val="20"/>
          <w:szCs w:val="20"/>
          <w:color w:val="auto"/>
        </w:rPr>
      </w:pPr>
      <w:r>
        <w:rPr>
          <w:rFonts w:ascii="Times New Roman" w:cs="Times New Roman" w:eastAsia="Times New Roman" w:hAnsi="Times New Roman"/>
          <w:sz w:val="22"/>
          <w:szCs w:val="22"/>
          <w:color w:val="auto"/>
        </w:rPr>
        <w:t>Effective Date immediately prior to the extension of credit hereunder on the Amendment No. 7 Effective Date and as to which the Rollover Term A Lender thereof has consented to exchange into a Term A-1 Loan and the Administrative Agent has allocated into a Term A-1 Loan.</w:t>
      </w:r>
    </w:p>
    <w:p>
      <w:pPr>
        <w:spacing w:after="0" w:line="169" w:lineRule="exact"/>
        <w:rPr>
          <w:sz w:val="20"/>
          <w:szCs w:val="20"/>
          <w:color w:val="auto"/>
        </w:rPr>
      </w:pPr>
    </w:p>
    <w:p>
      <w:pPr>
        <w:ind w:right="240" w:firstLine="1297"/>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Exchanged U.S. Term B Loans</w:t>
      </w:r>
      <w:r>
        <w:rPr>
          <w:rFonts w:ascii="Times New Roman" w:cs="Times New Roman" w:eastAsia="Times New Roman" w:hAnsi="Times New Roman"/>
          <w:sz w:val="21"/>
          <w:szCs w:val="21"/>
          <w:color w:val="auto"/>
        </w:rPr>
        <w:t>” means each U.S. Term B Loan extended on the Closing Date (or portion thereof) and held by a Rollover U.S. Term B Lender on the Amendment No. 1 Effective Date immediately prior to the extension of credit hereunder on the Amendment No. 1 Effective Date and as to which the Rollover U.S. Term B Lender thereof has consented to exchange into a U.S. Term B-1 Loan and the Administrative Agent has allocated into a U.S. Term B-1 Loan.</w:t>
      </w:r>
    </w:p>
    <w:p>
      <w:pPr>
        <w:spacing w:after="0" w:line="160" w:lineRule="exact"/>
        <w:rPr>
          <w:sz w:val="20"/>
          <w:szCs w:val="20"/>
          <w:color w:val="auto"/>
        </w:rPr>
      </w:pPr>
    </w:p>
    <w:p>
      <w:pPr>
        <w:ind w:right="12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Exchanged U.S. Term B-1 Loans</w:t>
      </w:r>
      <w:r>
        <w:rPr>
          <w:rFonts w:ascii="Times New Roman" w:cs="Times New Roman" w:eastAsia="Times New Roman" w:hAnsi="Times New Roman"/>
          <w:sz w:val="22"/>
          <w:szCs w:val="22"/>
          <w:color w:val="auto"/>
        </w:rPr>
        <w:t>” means each U.S. Term B-1 Loan extended on the Amendment No. 1 Effective Date (or portion thereof) and held by a Rollover U.S. Term B-1 Lender on the Amendment No. 3 Effective Date immediately prior to the extension of credit hereunder on the Amendment No. 3 Effective Date and as to which the Rollover U.S. Term B-1 Lender thereof has consented to exchange into a U.S. Term B-2 Loan and the Administrative Agent has allocated into a U.S. Term B-2 Loan.</w:t>
      </w:r>
    </w:p>
    <w:p>
      <w:pPr>
        <w:spacing w:after="0" w:line="176" w:lineRule="exact"/>
        <w:rPr>
          <w:sz w:val="20"/>
          <w:szCs w:val="20"/>
          <w:color w:val="auto"/>
        </w:rPr>
      </w:pPr>
    </w:p>
    <w:p>
      <w:pPr>
        <w:ind w:right="12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Exchanged U.S. Term B-2 Loans</w:t>
      </w:r>
      <w:r>
        <w:rPr>
          <w:rFonts w:ascii="Times New Roman" w:cs="Times New Roman" w:eastAsia="Times New Roman" w:hAnsi="Times New Roman"/>
          <w:sz w:val="22"/>
          <w:szCs w:val="22"/>
          <w:color w:val="auto"/>
        </w:rPr>
        <w:t>” means each U.S. Term B-2 Loan extended on the Amendment No. 3 Effective Date (or portion thereof) and held by a Rollover U.S. Term B-2 Lender on the Amendment No. 5 Effective Date immediately prior to the extension of credit hereunder on the Amendment No. 5 Effective Date and as to which the Rollover U.S. Term B-2 Lender thereof has consented to exchange into a U.S. Term B-3 Loan and the Administrative Agent has allocated into a U.S. Term B-3 Loan.</w:t>
      </w:r>
    </w:p>
    <w:p>
      <w:pPr>
        <w:spacing w:after="0" w:line="176" w:lineRule="exact"/>
        <w:rPr>
          <w:sz w:val="20"/>
          <w:szCs w:val="20"/>
          <w:color w:val="auto"/>
        </w:rPr>
      </w:pPr>
    </w:p>
    <w:p>
      <w:pPr>
        <w:ind w:right="12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Exchanged U.S. Term B-3 Loans</w:t>
      </w:r>
      <w:r>
        <w:rPr>
          <w:rFonts w:ascii="Times New Roman" w:cs="Times New Roman" w:eastAsia="Times New Roman" w:hAnsi="Times New Roman"/>
          <w:sz w:val="22"/>
          <w:szCs w:val="22"/>
          <w:color w:val="auto"/>
        </w:rPr>
        <w:t>” means each U.S. Term B-3 Loan extended on the Amendment No. 5 Effective Date (or portion thereof) and held by a Rollover U.S. Term B-3 Lender on the Amendment No. 8 Effective Date immediately prior to the extension of credit hereunder on the Amendment No. 8 Effective Date and as to which the Rollover U.S. Term B-3 Lender thereof has consented to exchange into a U.S. Term B-4 Loan and the Administrative Agent has allocated into a U.S. Term B-4 Loan.</w:t>
      </w:r>
    </w:p>
    <w:p>
      <w:pPr>
        <w:spacing w:after="0" w:line="176"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Equity Interests</w:t>
      </w:r>
      <w:r>
        <w:rPr>
          <w:rFonts w:ascii="Times New Roman" w:cs="Times New Roman" w:eastAsia="Times New Roman" w:hAnsi="Times New Roman"/>
          <w:sz w:val="22"/>
          <w:szCs w:val="22"/>
          <w:color w:val="auto"/>
        </w:rPr>
        <w:t>” means (a) any capital stock or other Equity Interests of any Person with respect to which the cost or other consequences (including any adverse tax consequences) of pledging such Equity Interests shall be excessive in view of the benefits to be obtained by the Lenders therefrom as reasonably determined by the Administrative Agent and the Borrower, (b) solely in the case of any pledge of voting Equity Interests of any CFC Holdco or any First-Tier Foreign Subsidiary that is a CFC, any voting Equity Interests in excess of 65.00% of the outstanding voting Equity Interests of such entity, (c) any Equity Interests to the extent the pledge thereof would be prohibited by (i) any applicable law or would require governmental consent, approval, license or authorization (only to the extent such prohibition is applicable and not rendered ineffective by the UCC or other applicable law) or (ii) contractual obligation</w:t>
      </w:r>
    </w:p>
    <w:p>
      <w:pPr>
        <w:sectPr>
          <w:pgSz w:w="11900" w:h="16838" w:orient="portrait"/>
          <w:cols w:equalWidth="0" w:num="1">
            <w:col w:w="11420"/>
          </w:cols>
          <w:pgMar w:left="240" w:top="625" w:right="239" w:bottom="1440" w:gutter="0" w:footer="0" w:header="0"/>
        </w:sectPr>
      </w:pPr>
    </w:p>
    <w:bookmarkStart w:id="143" w:name="page144"/>
    <w:bookmarkEnd w:id="143"/>
    <w:p>
      <w:pPr>
        <w:spacing w:after="0" w:line="245" w:lineRule="auto"/>
        <w:rPr>
          <w:sz w:val="20"/>
          <w:szCs w:val="20"/>
          <w:color w:val="auto"/>
        </w:rPr>
      </w:pPr>
      <w:r>
        <w:rPr>
          <w:rFonts w:ascii="Times New Roman" w:cs="Times New Roman" w:eastAsia="Times New Roman" w:hAnsi="Times New Roman"/>
          <w:sz w:val="22"/>
          <w:szCs w:val="22"/>
          <w:color w:val="auto"/>
        </w:rPr>
        <w:t>binding on such Equity Interests on the Closing Date (with respect to the Borrower or any of its Subsidiaries as of the Closing Date) or the Escrow Release Date (with respect to the Target) or if later, at the time of the acquisition of such Equity Interests and not incurred in contemplation of such acquisition (only to the extent such prohibition is applicable and not rendered ineffective by the UCC or other applicable law), (d) margin stock or any interest in partnerships, joint ventures and non-Wholly-owned Subsidiaries which cannot be pledged without the consent of, or a pledge of which is restricted by (including as a result of a right of first refusal, call option or a similar right or a requirement to give notice that will trigger such right of first refusal, call option or a similar right), one or more third parties other than the Borrower or any of its Subsidiaries (after giving effect to the applicable anti-assignment provisions of the UCC or other applicable law), and (e) the Equity Interests of any (i) Immaterial Subsidiary (except to the extent the security interest in such Equity Interest may be perfected by the filing of a Form UCC-1 (or similar) financing statement), (ii) Unrestricted Subsidiary, (iii) Captive Insurance Subsidiary, (iv) not-for-profit subsidiary, (v) Receivables Financing Subsidiary, (vi) Subsidiary that is an Excluded Subsidiary described in clauses (e), (f), (g) and (h) of the definition of Excluded Subsidiary, (vii) Subsidiary of a Foreign Subsidiary that is a CFC and (viii) any entity whose Equity Interests are specifically agreed by the Administrative Agent to be Excluded Equity Interests as a result of such entity being disregarded as an entity separate from its owner (within the meaning of U.S. Treasury Regulation 301.7701-3(a)) that owns a Subsidiary that is a CFC, so long as such disregarded entity is a Guarantor and has provided a security interest in its assets pursuant to and to the extent provided in the Collateral Documents (it being understood that the Administrative Agent has agreed that Equity Interests of HGST, Inc. will be Excluded Equity Interests once it has become such a disregarded entity).</w:t>
      </w:r>
    </w:p>
    <w:p>
      <w:pPr>
        <w:spacing w:after="0" w:line="184" w:lineRule="exact"/>
        <w:rPr>
          <w:sz w:val="20"/>
          <w:szCs w:val="20"/>
          <w:color w:val="auto"/>
        </w:rPr>
      </w:pPr>
    </w:p>
    <w:p>
      <w:pPr>
        <w:ind w:right="60"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Property</w:t>
      </w:r>
      <w:r>
        <w:rPr>
          <w:rFonts w:ascii="Times New Roman" w:cs="Times New Roman" w:eastAsia="Times New Roman" w:hAnsi="Times New Roman"/>
          <w:sz w:val="22"/>
          <w:szCs w:val="22"/>
          <w:color w:val="auto"/>
        </w:rPr>
        <w:t>” means (a) any Excluded Equity Interests, (b) any property to the extent that the grant of a Lien thereon or perfection of a security interest therein (i) is prohibited by applicable law or contractual obligation, binding on such assets (including, without limitation, Capital Leases) on the Escrow Release Date (or if later, at the time of the acquisition of such asset and not incurred in contemplation of such acquisition) (only to the extent such prohibition is applicable and not rendered ineffective by the UCC or other applicable law), (ii) requires the consent, approval, license or authorization of any governmental authority pursuant to such applicable law or any third party pursuant to any contract between the Borrower or any Subsidiary and such third party binding on such assets on the Escrow Release Date (or if later, at the time of the acquisition of such asset and not incurred in contemplation of such acquisition) or (iii) other than with respect to the Equity Interests of the Borrower or any Guarantor, would trigger a termination event pursuant to any “change of control” or similar provision binding on such assets on the Escrow Release Date (or if later, at the time of the acquisition of such asset and not incurred in contemplation of such acquisition) (in each case of clauses (i), (ii) and (iii) of this clause (b), after giving effect to the applicable anti-assignment provisions of the UCC or other applicable law), (c) United States intent-to-use trademark applications to the extent that, and solely during the period in which, the grant of a Lien thereon would impair the validity or enforceability of such intent-to-use trademark applications under applicable United States federal</w:t>
      </w:r>
    </w:p>
    <w:p>
      <w:pPr>
        <w:sectPr>
          <w:pgSz w:w="11900" w:h="16838" w:orient="portrait"/>
          <w:cols w:equalWidth="0" w:num="1">
            <w:col w:w="11420"/>
          </w:cols>
          <w:pgMar w:left="240" w:top="625" w:right="239" w:bottom="1440" w:gutter="0" w:footer="0" w:header="0"/>
        </w:sectPr>
      </w:pPr>
    </w:p>
    <w:bookmarkStart w:id="144" w:name="page145"/>
    <w:bookmarkEnd w:id="144"/>
    <w:p>
      <w:pPr>
        <w:spacing w:after="0" w:line="245" w:lineRule="auto"/>
        <w:rPr>
          <w:sz w:val="20"/>
          <w:szCs w:val="20"/>
          <w:color w:val="auto"/>
        </w:rPr>
      </w:pPr>
      <w:r>
        <w:rPr>
          <w:rFonts w:ascii="Times New Roman" w:cs="Times New Roman" w:eastAsia="Times New Roman" w:hAnsi="Times New Roman"/>
          <w:sz w:val="22"/>
          <w:szCs w:val="22"/>
          <w:color w:val="auto"/>
        </w:rPr>
        <w:t xml:space="preserve">law, (d) all vehicles and other assets subject to certificates of title, (e) Property that is subject to a Lien securing a purchase money obligation or Capitalized Lease Obligation permitted to be incurred pursuant to this Agreement, if the contract or other agreement in which such Lien is granted (or the documentation providing for such purchase money obligation or Capitalized Lease Obligation) validly prohibits the creation of any other Lien on such Property, (f) commercial tort claims with a value (as reasonably estimated by the Borrower) of less than $30 million, (g) (i) any leasehold real property, (ii) any fee-owned real property having an individual fair market value not exceeding $30 million (as determined by the Borrower in good faith and without requirement of delivery of an appraisal or other third-party valuation) (iii) any fee-owned real property wherein a portion of said fee-owned real property is at any time located in an area identified by the Federal Emergency Management Agency (or any successor agency) as a special flood hazard area, and (iv) any real property located outside of the United States, (h) any letter of credit rights that cannot be perfected by a UCC filing and (i) any direct proceeds, substitutions or replacements of any of the foregoing, but only to the extent such proceeds, substitutions or replacements would otherwise constitute Excluded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no Intercompany Notes (as defined in the Security Agreement) shall constitute Excluded Property.</w:t>
      </w:r>
    </w:p>
    <w:p>
      <w:pPr>
        <w:spacing w:after="0" w:line="192"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Subsidiary</w:t>
      </w:r>
      <w:r>
        <w:rPr>
          <w:rFonts w:ascii="Times New Roman" w:cs="Times New Roman" w:eastAsia="Times New Roman" w:hAnsi="Times New Roman"/>
          <w:sz w:val="22"/>
          <w:szCs w:val="22"/>
          <w:color w:val="auto"/>
        </w:rPr>
        <w:t>” means (a) any Subsidiary that is prohibited by any applicable law, rule or regulation or by any contractual obligation existing on the Escrow Release Date (or, if later, the date of the acquisition of such Restricted Subsidiary and not incurred in contemplation of such acquisition) from guaranteeing or providing collateral for the Obligations (only to the extent such prohibition is applicable and not rendered ineffective) or would require a governmental (including regulatory) consent, approval, license or authorization in order to provide such guarantee, (b) any Foreign Subsidiary, (c) any CFC Holdco or any Subsidiary of a Foreign Subsidiary that is a CFC, (d) any Subsidiary that is not a Material Subsidiary, (e) any Receivables Financing Subsidiary, (f) any Captive Insurance Subsidiary, (g) any not-for-profit subsidiary, (h) any Subsidiary that is not a Wholly-owned Subsidiary, and (i) any other Subsidiary with respect to which the cost or other consequences (including any adverse tax consequences) of providing Collateral or guaranteeing the Obligations shall be excessive in view of the benefits to be obtained by the Lenders therefrom as reasonably determined by the Administrative Agent and the Borrower.</w:t>
      </w:r>
    </w:p>
    <w:p>
      <w:pPr>
        <w:spacing w:after="0" w:line="189" w:lineRule="exact"/>
        <w:rPr>
          <w:sz w:val="20"/>
          <w:szCs w:val="20"/>
          <w:color w:val="auto"/>
        </w:rPr>
      </w:pPr>
    </w:p>
    <w:p>
      <w:pPr>
        <w:ind w:right="60"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Swap Obligation</w:t>
      </w:r>
      <w:r>
        <w:rPr>
          <w:rFonts w:ascii="Times New Roman" w:cs="Times New Roman" w:eastAsia="Times New Roman" w:hAnsi="Times New Roman"/>
          <w:sz w:val="22"/>
          <w:szCs w:val="22"/>
          <w:color w:val="auto"/>
        </w:rPr>
        <w:t>” means, with respect to any Loan Party, any obligation (a “</w:t>
      </w:r>
      <w:r>
        <w:rPr>
          <w:rFonts w:ascii="Times New Roman" w:cs="Times New Roman" w:eastAsia="Times New Roman" w:hAnsi="Times New Roman"/>
          <w:sz w:val="22"/>
          <w:szCs w:val="22"/>
          <w:i w:val="1"/>
          <w:iCs w:val="1"/>
          <w:color w:val="auto"/>
        </w:rPr>
        <w:t>Swap Obligation</w:t>
      </w:r>
      <w:r>
        <w:rPr>
          <w:rFonts w:ascii="Times New Roman" w:cs="Times New Roman" w:eastAsia="Times New Roman" w:hAnsi="Times New Roman"/>
          <w:sz w:val="22"/>
          <w:szCs w:val="22"/>
          <w:color w:val="auto"/>
        </w:rPr>
        <w:t>”) to pay or perform under any agreement, contract, or transaction that constitutes a “swap” within the meaning of section 1a(47) of the Commodity Exchange Act, if, and to the extent that, and only for so long as, all or a portion of the guarantee of such Loan Party of, or the grant by such Loan Party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w:t>
      </w:r>
    </w:p>
    <w:p>
      <w:pPr>
        <w:sectPr>
          <w:pgSz w:w="11900" w:h="16838" w:orient="portrait"/>
          <w:cols w:equalWidth="0" w:num="1">
            <w:col w:w="11420"/>
          </w:cols>
          <w:pgMar w:left="240" w:top="625" w:right="239" w:bottom="1440" w:gutter="0" w:footer="0" w:header="0"/>
        </w:sectPr>
      </w:pPr>
    </w:p>
    <w:bookmarkStart w:id="145" w:name="page146"/>
    <w:bookmarkEnd w:id="145"/>
    <w:p>
      <w:pPr>
        <w:ind w:right="580"/>
        <w:spacing w:after="0" w:line="271" w:lineRule="auto"/>
        <w:rPr>
          <w:sz w:val="20"/>
          <w:szCs w:val="20"/>
          <w:color w:val="auto"/>
        </w:rPr>
      </w:pPr>
      <w:r>
        <w:rPr>
          <w:rFonts w:ascii="Times New Roman" w:cs="Times New Roman" w:eastAsia="Times New Roman" w:hAnsi="Times New Roman"/>
          <w:sz w:val="22"/>
          <w:szCs w:val="22"/>
          <w:color w:val="auto"/>
        </w:rPr>
        <w:t>Exchange Act and the regulations thereunder at the time the guarantee given by such Loan Party or the grant of such security interest, as applicable, becomes effective with respect to such Swap Obligation.</w:t>
      </w:r>
    </w:p>
    <w:p>
      <w:pPr>
        <w:spacing w:after="0" w:line="154" w:lineRule="exact"/>
        <w:rPr>
          <w:sz w:val="20"/>
          <w:szCs w:val="20"/>
          <w:color w:val="auto"/>
        </w:rPr>
      </w:pPr>
    </w:p>
    <w:p>
      <w:pPr>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Taxes</w:t>
      </w:r>
      <w:r>
        <w:rPr>
          <w:rFonts w:ascii="Times New Roman" w:cs="Times New Roman" w:eastAsia="Times New Roman" w:hAnsi="Times New Roman"/>
          <w:sz w:val="22"/>
          <w:szCs w:val="22"/>
          <w:color w:val="auto"/>
        </w:rPr>
        <w:t>” means, with respect to the Administrative Agent and each Lender, (i) any Taxes imposed on or measured by net income (however denominated), franchise Taxes, and branch profits Taxes, in each case imposed as a result of the Administrative Agent or such Lender, as applicable, being organized or having its principal executive office (or, in the case of a Lender, its applicable Lending Office) located in, such jurisdiction (or any political subdivision thereof), or as a result of any other present or former connection between the Administrative Agent or such Lender, as applicable, and such jurisdiction (or any political subdivision thereof), other than a connection arising from executing, delivering, entering into, performing its obligations under, receiving payments under, receiving or perfecting a security interest under, engaging in any other transaction pursuant to, or enforcing any Loan Document, or selling or assigning an interest in any Loan or Loan Document, (ii) any Taxes attributable to a Lender’s failure to comply with Section 10.1(c), (iii) in the case of a Lender (other than a Lender becoming a party hereto pursuant to the Borrower’s request under Section 8.5), any U.S. federal withholding Taxes imposed on amounts payable to or for the account of such Lender pursuant to a law in effect at the time such Lender becomes a party to this Agreement (or designates a new Lending Office), except to the extent such Lender (or its assignor, if any) was entitled, immediately prior to the time of designation of a new Lending Office (or assignment), to receive additional amounts or indemnification under Section 10.1, or (iv) any U.S. federal withholding Taxes imposed under FATCA.</w:t>
      </w:r>
    </w:p>
    <w:p>
      <w:pPr>
        <w:spacing w:after="0" w:line="193" w:lineRule="exact"/>
        <w:rPr>
          <w:sz w:val="20"/>
          <w:szCs w:val="20"/>
          <w:color w:val="auto"/>
        </w:rPr>
      </w:pPr>
    </w:p>
    <w:p>
      <w:pPr>
        <w:ind w:right="8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Indentures</w:t>
      </w:r>
      <w:r>
        <w:rPr>
          <w:rFonts w:ascii="Times New Roman" w:cs="Times New Roman" w:eastAsia="Times New Roman" w:hAnsi="Times New Roman"/>
          <w:sz w:val="22"/>
          <w:szCs w:val="22"/>
          <w:color w:val="auto"/>
        </w:rPr>
        <w:t>” means (a) the Indenture with respect to the Target Company’s 1.5% Convertible Senior Notes due 2017, dated as of August 25, 2010, by and between the Target Company and The Bank of New York Mellon Trust Company, N.A. and (b) the Indenture with respect to the Target Company’s 0.5% Convertible Senior Notes due 2020, dated as of October 29, 2013, by and between the Target Company and The Bank of New York Mellon Trust Company, N.A. (each as amended, restated, supplemented or otherwise modified from time to time prior to the Closing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Letters of Credit</w:t>
      </w:r>
      <w:r>
        <w:rPr>
          <w:rFonts w:ascii="Times New Roman" w:cs="Times New Roman" w:eastAsia="Times New Roman" w:hAnsi="Times New Roman"/>
          <w:sz w:val="22"/>
          <w:szCs w:val="22"/>
          <w:color w:val="auto"/>
        </w:rPr>
        <w:t>” is defined in Section 2.3(a)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Revolving Credit Commitment</w:t>
      </w:r>
      <w:r>
        <w:rPr>
          <w:rFonts w:ascii="Times New Roman" w:cs="Times New Roman" w:eastAsia="Times New Roman" w:hAnsi="Times New Roman"/>
          <w:sz w:val="22"/>
          <w:szCs w:val="22"/>
          <w:color w:val="auto"/>
        </w:rPr>
        <w:t>” is defined in Section 2.15(a)(ii)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Revolving Loans</w:t>
      </w:r>
      <w:r>
        <w:rPr>
          <w:rFonts w:ascii="Times New Roman" w:cs="Times New Roman" w:eastAsia="Times New Roman" w:hAnsi="Times New Roman"/>
          <w:sz w:val="22"/>
          <w:szCs w:val="22"/>
          <w:color w:val="auto"/>
        </w:rPr>
        <w:t>” is defined in Section 2.15(a)(ii)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Term A Loans</w:t>
      </w:r>
      <w:r>
        <w:rPr>
          <w:rFonts w:ascii="Times New Roman" w:cs="Times New Roman" w:eastAsia="Times New Roman" w:hAnsi="Times New Roman"/>
          <w:sz w:val="22"/>
          <w:szCs w:val="22"/>
          <w:color w:val="auto"/>
        </w:rPr>
        <w:t>” means any Term A-1 Loans extended pursuant to an Extension.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Term B Loans</w:t>
      </w:r>
      <w:r>
        <w:rPr>
          <w:rFonts w:ascii="Times New Roman" w:cs="Times New Roman" w:eastAsia="Times New Roman" w:hAnsi="Times New Roman"/>
          <w:sz w:val="22"/>
          <w:szCs w:val="22"/>
          <w:color w:val="auto"/>
        </w:rPr>
        <w:t>” means any Term B Loans extended pursuant to an Extension.</w:t>
      </w:r>
    </w:p>
    <w:p>
      <w:pPr>
        <w:sectPr>
          <w:pgSz w:w="11900" w:h="16838" w:orient="portrait"/>
          <w:cols w:equalWidth="0" w:num="1">
            <w:col w:w="11400"/>
          </w:cols>
          <w:pgMar w:left="240" w:top="625" w:right="259" w:bottom="1440" w:gutter="0" w:footer="0" w:header="0"/>
        </w:sectPr>
      </w:pPr>
    </w:p>
    <w:bookmarkStart w:id="146" w:name="page147"/>
    <w:bookmarkEnd w:id="14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Term Loans</w:t>
      </w:r>
      <w:r>
        <w:rPr>
          <w:rFonts w:ascii="Times New Roman" w:cs="Times New Roman" w:eastAsia="Times New Roman" w:hAnsi="Times New Roman"/>
          <w:sz w:val="22"/>
          <w:szCs w:val="22"/>
          <w:color w:val="auto"/>
        </w:rPr>
        <w:t>” is defined in Section 2.15(a)(iii)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w:t>
      </w:r>
      <w:r>
        <w:rPr>
          <w:rFonts w:ascii="Times New Roman" w:cs="Times New Roman" w:eastAsia="Times New Roman" w:hAnsi="Times New Roman"/>
          <w:sz w:val="22"/>
          <w:szCs w:val="22"/>
          <w:color w:val="auto"/>
        </w:rPr>
        <w:t>” is defined in Section 2.15(a)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Offer</w:t>
      </w:r>
      <w:r>
        <w:rPr>
          <w:rFonts w:ascii="Times New Roman" w:cs="Times New Roman" w:eastAsia="Times New Roman" w:hAnsi="Times New Roman"/>
          <w:sz w:val="22"/>
          <w:szCs w:val="22"/>
          <w:color w:val="auto"/>
        </w:rPr>
        <w:t>” is defined in Section 2.15(a)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w:t>
      </w:r>
      <w:r>
        <w:rPr>
          <w:rFonts w:ascii="Times New Roman" w:cs="Times New Roman" w:eastAsia="Times New Roman" w:hAnsi="Times New Roman"/>
          <w:sz w:val="22"/>
          <w:szCs w:val="22"/>
          <w:color w:val="auto"/>
        </w:rPr>
        <w:t>” means any of the Revolving Facility and any Term Facility.</w:t>
      </w:r>
    </w:p>
    <w:p>
      <w:pPr>
        <w:spacing w:after="0" w:line="220" w:lineRule="exact"/>
        <w:rPr>
          <w:sz w:val="20"/>
          <w:szCs w:val="20"/>
          <w:color w:val="auto"/>
        </w:rPr>
      </w:pPr>
    </w:p>
    <w:p>
      <w:pPr>
        <w:ind w:right="12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means Sections 1471-1474 of the Code, as of the Closing Date (or any amended or successor version that is substantively comparable and not materially more onerous to comply with), and any current or future Treasury Regulations promulgated thereunder or official guidance or interpretations issued pursuant thereto and any agreement entered into pursuant to Section 1471(b)(1) of the Code as of the Closing Date (or any amended or successor version described above), any intergovernmental agreement implementing such sections of such Code, and any fiscal or regulatory legislation, rules or practices adopted implementing such intergovernmental agreement.</w:t>
      </w:r>
    </w:p>
    <w:p>
      <w:pPr>
        <w:spacing w:after="0" w:line="181" w:lineRule="exact"/>
        <w:rPr>
          <w:sz w:val="20"/>
          <w:szCs w:val="20"/>
          <w:color w:val="auto"/>
        </w:rPr>
      </w:pPr>
    </w:p>
    <w:p>
      <w:pPr>
        <w:ind w:right="1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Federal Funds Rate</w:t>
      </w:r>
      <w:r>
        <w:rPr>
          <w:rFonts w:ascii="Times New Roman" w:cs="Times New Roman" w:eastAsia="Times New Roman" w:hAnsi="Times New Roman"/>
          <w:sz w:val="22"/>
          <w:szCs w:val="22"/>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w:t>
      </w:r>
    </w:p>
    <w:p>
      <w:pPr>
        <w:spacing w:after="0" w:line="167" w:lineRule="exact"/>
        <w:rPr>
          <w:sz w:val="20"/>
          <w:szCs w:val="20"/>
          <w:color w:val="auto"/>
        </w:rPr>
      </w:pPr>
    </w:p>
    <w:p>
      <w:pPr>
        <w:ind w:right="2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xml:space="preserve"> means that certain Amended and Restated Fee Letter dated November 13, 2015 among the Borrower and the financial institutions party thereto.</w:t>
      </w:r>
    </w:p>
    <w:p>
      <w:pPr>
        <w:spacing w:after="0" w:line="150" w:lineRule="exact"/>
        <w:rPr>
          <w:sz w:val="20"/>
          <w:szCs w:val="20"/>
          <w:color w:val="auto"/>
        </w:rPr>
      </w:pPr>
    </w:p>
    <w:p>
      <w:pPr>
        <w:jc w:val="both"/>
        <w:ind w:right="10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Final Maturity Date</w:t>
      </w:r>
      <w:r>
        <w:rPr>
          <w:rFonts w:ascii="Times New Roman" w:cs="Times New Roman" w:eastAsia="Times New Roman" w:hAnsi="Times New Roman"/>
          <w:sz w:val="22"/>
          <w:szCs w:val="22"/>
          <w:color w:val="auto"/>
        </w:rPr>
        <w:t>” means, as at any date, the latest to occur of (a) the Term A-1 Termination Date, (b) the Term B Termination Date, (c) the latest maturity date in respect of any outstanding Extended Term Loans and (d) the latest maturity date in respect of any Incremental Term Loans.</w:t>
      </w:r>
    </w:p>
    <w:p>
      <w:pPr>
        <w:spacing w:after="0" w:line="167"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Final Revolving Termination Date</w:t>
      </w:r>
      <w:r>
        <w:rPr>
          <w:rFonts w:ascii="Times New Roman" w:cs="Times New Roman" w:eastAsia="Times New Roman" w:hAnsi="Times New Roman"/>
          <w:sz w:val="22"/>
          <w:szCs w:val="22"/>
          <w:color w:val="auto"/>
        </w:rPr>
        <w:t>” means, as at any date, the latest to occur of (a) the Revolving Credit Termination Date, (b) the latest termination date in respect of any outstanding Extended Revolving Credit Commitments and (c) the latest termination date in respect of any Incremental Revolving Credit Facility.</w:t>
      </w:r>
    </w:p>
    <w:p>
      <w:pPr>
        <w:spacing w:after="0" w:line="167" w:lineRule="exact"/>
        <w:rPr>
          <w:sz w:val="20"/>
          <w:szCs w:val="20"/>
          <w:color w:val="auto"/>
        </w:rPr>
      </w:pPr>
    </w:p>
    <w:p>
      <w:pPr>
        <w:ind w:right="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First-Tier Foreign Subsidiary</w:t>
      </w:r>
      <w:r>
        <w:rPr>
          <w:rFonts w:ascii="Times New Roman" w:cs="Times New Roman" w:eastAsia="Times New Roman" w:hAnsi="Times New Roman"/>
          <w:sz w:val="22"/>
          <w:szCs w:val="22"/>
          <w:color w:val="auto"/>
        </w:rPr>
        <w:t>” means a Foreign Subsidiary, the Equity Interests of which are directly owned by the Borrower or a Domestic Subsidiary that is not a Subsidiary of a Foreign Subsidiary.</w:t>
      </w:r>
    </w:p>
    <w:p>
      <w:pPr>
        <w:spacing w:after="0" w:line="150" w:lineRule="exact"/>
        <w:rPr>
          <w:sz w:val="20"/>
          <w:szCs w:val="20"/>
          <w:color w:val="auto"/>
        </w:rPr>
      </w:pPr>
    </w:p>
    <w:p>
      <w:pPr>
        <w:ind w:right="26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Fiscal Quarter End Date</w:t>
      </w:r>
      <w:r>
        <w:rPr>
          <w:rFonts w:ascii="Times New Roman" w:cs="Times New Roman" w:eastAsia="Times New Roman" w:hAnsi="Times New Roman"/>
          <w:sz w:val="22"/>
          <w:szCs w:val="22"/>
          <w:color w:val="auto"/>
        </w:rPr>
        <w:t>” means the last day of each fiscal quarter of the Borrower, which shall be July 1, 2016, September 30, 2016, December 30, 2016, March 31, 2017, June 30, 2017, September 29, 2017, December 29, 2017, March 30, 2018, June 29, 2018, September 28, 2018, December 28, 2018, March 29, 2019, June 28, 2019, October 4, 2019,</w:t>
      </w:r>
    </w:p>
    <w:p>
      <w:pPr>
        <w:sectPr>
          <w:pgSz w:w="11900" w:h="16838" w:orient="portrait"/>
          <w:cols w:equalWidth="0" w:num="1">
            <w:col w:w="11400"/>
          </w:cols>
          <w:pgMar w:left="240" w:top="621" w:right="259" w:bottom="1440" w:gutter="0" w:footer="0" w:header="0"/>
        </w:sectPr>
      </w:pPr>
    </w:p>
    <w:bookmarkStart w:id="147" w:name="page148"/>
    <w:bookmarkEnd w:id="147"/>
    <w:p>
      <w:pPr>
        <w:ind w:right="300"/>
        <w:spacing w:after="0" w:line="249" w:lineRule="auto"/>
        <w:rPr>
          <w:sz w:val="20"/>
          <w:szCs w:val="20"/>
          <w:color w:val="auto"/>
        </w:rPr>
      </w:pPr>
      <w:r>
        <w:rPr>
          <w:rFonts w:ascii="Times New Roman" w:cs="Times New Roman" w:eastAsia="Times New Roman" w:hAnsi="Times New Roman"/>
          <w:sz w:val="22"/>
          <w:szCs w:val="22"/>
          <w:color w:val="auto"/>
        </w:rPr>
        <w:t xml:space="preserve">January 3, 2020, April 3, 2020, July 3, 2020, October 2, 2020, January 1, 2021, April 2, 2021, July 2, 2021, October 1, 2021, December 31, 2021, April 1, 2022, July 1, 2022, September 30, 2022, December 30, 2022 and March 31, 2023;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 if such day is not a Business Day, the Fiscal Quarter End Date shall be the immediately preceding Business Day; provided, further, that if the Borrower changes the last day of any fiscal quarter to a date (a “</w:t>
      </w:r>
      <w:r>
        <w:rPr>
          <w:rFonts w:ascii="Times New Roman" w:cs="Times New Roman" w:eastAsia="Times New Roman" w:hAnsi="Times New Roman"/>
          <w:sz w:val="22"/>
          <w:szCs w:val="22"/>
          <w:i w:val="1"/>
          <w:iCs w:val="1"/>
          <w:color w:val="auto"/>
        </w:rPr>
        <w:t>changed date</w:t>
      </w:r>
      <w:r>
        <w:rPr>
          <w:rFonts w:ascii="Times New Roman" w:cs="Times New Roman" w:eastAsia="Times New Roman" w:hAnsi="Times New Roman"/>
          <w:sz w:val="22"/>
          <w:szCs w:val="22"/>
          <w:color w:val="auto"/>
        </w:rPr>
        <w:t>”) on or about the date specified above (a “</w:t>
      </w:r>
      <w:r>
        <w:rPr>
          <w:rFonts w:ascii="Times New Roman" w:cs="Times New Roman" w:eastAsia="Times New Roman" w:hAnsi="Times New Roman"/>
          <w:sz w:val="22"/>
          <w:szCs w:val="22"/>
          <w:i w:val="1"/>
          <w:iCs w:val="1"/>
          <w:color w:val="auto"/>
        </w:rPr>
        <w:t>specified date</w:t>
      </w:r>
      <w:r>
        <w:rPr>
          <w:rFonts w:ascii="Times New Roman" w:cs="Times New Roman" w:eastAsia="Times New Roman" w:hAnsi="Times New Roman"/>
          <w:sz w:val="22"/>
          <w:szCs w:val="22"/>
          <w:color w:val="auto"/>
        </w:rPr>
        <w:t>”), such changed date shall be deemed to be the Fiscal Quarter End Date with respect to such specified date.</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Fitch</w:t>
      </w:r>
      <w:r>
        <w:rPr>
          <w:rFonts w:ascii="Times New Roman" w:cs="Times New Roman" w:eastAsia="Times New Roman" w:hAnsi="Times New Roman"/>
          <w:sz w:val="22"/>
          <w:szCs w:val="22"/>
          <w:color w:val="auto"/>
        </w:rPr>
        <w:t>” means Fitch,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Fixed Amounts</w:t>
      </w:r>
      <w:r>
        <w:rPr>
          <w:rFonts w:ascii="Times New Roman" w:cs="Times New Roman" w:eastAsia="Times New Roman" w:hAnsi="Times New Roman"/>
          <w:sz w:val="22"/>
          <w:szCs w:val="22"/>
          <w:color w:val="auto"/>
        </w:rPr>
        <w:t>” is defined in Section 1.3(a)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Fixed Dollar Incremental Amount</w:t>
      </w:r>
      <w:r>
        <w:rPr>
          <w:rFonts w:ascii="Times New Roman" w:cs="Times New Roman" w:eastAsia="Times New Roman" w:hAnsi="Times New Roman"/>
          <w:sz w:val="22"/>
          <w:szCs w:val="22"/>
          <w:color w:val="auto"/>
        </w:rPr>
        <w:t>” is defined in Section 2.14(b) hereof.</w:t>
      </w:r>
    </w:p>
    <w:p>
      <w:pPr>
        <w:spacing w:after="0" w:line="220" w:lineRule="exact"/>
        <w:rPr>
          <w:sz w:val="20"/>
          <w:szCs w:val="20"/>
          <w:color w:val="auto"/>
        </w:rPr>
      </w:pPr>
    </w:p>
    <w:p>
      <w:pPr>
        <w:ind w:right="10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Flood Insurance Laws</w:t>
      </w:r>
      <w:r>
        <w:rPr>
          <w:rFonts w:ascii="Times New Roman" w:cs="Times New Roman" w:eastAsia="Times New Roman" w:hAnsi="Times New Roman"/>
          <w:sz w:val="22"/>
          <w:szCs w:val="22"/>
          <w:color w:val="auto"/>
        </w:rPr>
        <w:t>”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Subsidiary</w:t>
      </w:r>
      <w:r>
        <w:rPr>
          <w:rFonts w:ascii="Times New Roman" w:cs="Times New Roman" w:eastAsia="Times New Roman" w:hAnsi="Times New Roman"/>
          <w:sz w:val="22"/>
          <w:szCs w:val="22"/>
          <w:color w:val="auto"/>
        </w:rPr>
        <w:t>” means each Subsidiary of the Borrower that is not a Domestic Subsidiary.</w:t>
      </w:r>
    </w:p>
    <w:p>
      <w:pPr>
        <w:spacing w:after="0" w:line="220" w:lineRule="exact"/>
        <w:rPr>
          <w:sz w:val="20"/>
          <w:szCs w:val="20"/>
          <w:color w:val="auto"/>
        </w:rPr>
      </w:pPr>
    </w:p>
    <w:p>
      <w:pPr>
        <w:ind w:right="1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Subsidiary Total Assets</w:t>
      </w:r>
      <w:r>
        <w:rPr>
          <w:rFonts w:ascii="Times New Roman" w:cs="Times New Roman" w:eastAsia="Times New Roman" w:hAnsi="Times New Roman"/>
          <w:sz w:val="22"/>
          <w:szCs w:val="22"/>
          <w:color w:val="auto"/>
        </w:rPr>
        <w:t>” means the total assets of the Foreign Subsidiaries of the Borrower, as determined in accordance with GAAP in good faith by the Borrower without intercompany eliminations.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Formula Based Increase</w:t>
      </w:r>
      <w:r>
        <w:rPr>
          <w:rFonts w:ascii="Times New Roman" w:cs="Times New Roman" w:eastAsia="Times New Roman" w:hAnsi="Times New Roman"/>
          <w:sz w:val="22"/>
          <w:szCs w:val="22"/>
          <w:color w:val="auto"/>
        </w:rPr>
        <w:t>” has the meaning provided in Section 6.22.</w:t>
      </w:r>
    </w:p>
    <w:p>
      <w:pPr>
        <w:spacing w:after="0" w:line="220"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Funds Transfer Liability, Deposit Account Liability and Data Processing Obligations</w:t>
      </w:r>
      <w:r>
        <w:rPr>
          <w:rFonts w:ascii="Times New Roman" w:cs="Times New Roman" w:eastAsia="Times New Roman" w:hAnsi="Times New Roman"/>
          <w:sz w:val="22"/>
          <w:szCs w:val="22"/>
          <w:color w:val="auto"/>
        </w:rPr>
        <w:t>” means the liability of the Borrower or any of its Restricted Subsidiaries that is (i) owing to any entity that was a Lender, an Agent or a Joint Lead Arranger or an Affiliate of a Lender, an Agent or a Joint Lead Arranger at the time the relevant transaction was entered into or (ii) outstanding on the Closing Date and owing to any entity that is a Lender, an Agent or a Joint Lead Arranger or an Affiliate of a Lender, an Agent or a Joint Lead Arranger on the Closing Date, in each case, arising out of (a) the execution or processing of electronic transfers of funds by automatic clearing house transfer, wire transfer or otherwise to or from the deposit accounts of the Borrower and/or any Restricted Subsidiary now or hereafter maintained, (b) the acceptance for deposit or the honoring for payment of any check, draft or other item with respect to any such deposit accounts and (c) any other deposit, disbursement, and Cash Management Services afforded to the Borrower or any such Restricted Subsidiary.</w:t>
      </w:r>
    </w:p>
    <w:p>
      <w:pPr>
        <w:sectPr>
          <w:pgSz w:w="11900" w:h="16838" w:orient="portrait"/>
          <w:cols w:equalWidth="0" w:num="1">
            <w:col w:w="11420"/>
          </w:cols>
          <w:pgMar w:left="240" w:top="625" w:right="239" w:bottom="1440" w:gutter="0" w:footer="0" w:header="0"/>
        </w:sectPr>
      </w:pPr>
    </w:p>
    <w:bookmarkStart w:id="148" w:name="page149"/>
    <w:bookmarkEnd w:id="14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means generally accepted accounting principles in the United States of America, as in effect from time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Global Intercompany Note</w:t>
      </w:r>
      <w:r>
        <w:rPr>
          <w:rFonts w:ascii="Times New Roman" w:cs="Times New Roman" w:eastAsia="Times New Roman" w:hAnsi="Times New Roman"/>
          <w:sz w:val="22"/>
          <w:szCs w:val="22"/>
          <w:color w:val="auto"/>
        </w:rPr>
        <w:t xml:space="preserve">” means the Global Intercompany Note, substantially in the form of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to this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2" w:lineRule="exact"/>
        <w:rPr>
          <w:sz w:val="20"/>
          <w:szCs w:val="20"/>
          <w:color w:val="auto"/>
        </w:rPr>
      </w:pPr>
    </w:p>
    <w:p>
      <w:pPr>
        <w:ind w:right="14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Governmental Authority</w:t>
      </w:r>
      <w:r>
        <w:rPr>
          <w:rFonts w:ascii="Times New Roman" w:cs="Times New Roman" w:eastAsia="Times New Roman" w:hAnsi="Times New Roman"/>
          <w:sz w:val="22"/>
          <w:szCs w:val="22"/>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Grantors</w:t>
      </w:r>
      <w:r>
        <w:rPr>
          <w:rFonts w:ascii="Times New Roman" w:cs="Times New Roman" w:eastAsia="Times New Roman" w:hAnsi="Times New Roman"/>
          <w:sz w:val="22"/>
          <w:szCs w:val="22"/>
          <w:color w:val="auto"/>
        </w:rPr>
        <w:t>” means the Borrower and the Guarantors (other than the SD Guarantor).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is defined in Section 4.3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Guaranty</w:t>
      </w:r>
      <w:r>
        <w:rPr>
          <w:rFonts w:ascii="Times New Roman" w:cs="Times New Roman" w:eastAsia="Times New Roman" w:hAnsi="Times New Roman"/>
          <w:sz w:val="22"/>
          <w:szCs w:val="22"/>
          <w:color w:val="auto"/>
        </w:rPr>
        <w:t>” is defined in Section 4.3 hereof.</w:t>
      </w:r>
    </w:p>
    <w:p>
      <w:pPr>
        <w:spacing w:after="0" w:line="220" w:lineRule="exact"/>
        <w:rPr>
          <w:sz w:val="20"/>
          <w:szCs w:val="20"/>
          <w:color w:val="auto"/>
        </w:rPr>
      </w:pPr>
    </w:p>
    <w:p>
      <w:pPr>
        <w:ind w:right="2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Guaranty Supplement</w:t>
      </w:r>
      <w:r>
        <w:rPr>
          <w:rFonts w:ascii="Times New Roman" w:cs="Times New Roman" w:eastAsia="Times New Roman" w:hAnsi="Times New Roman"/>
          <w:sz w:val="22"/>
          <w:szCs w:val="22"/>
          <w:color w:val="auto"/>
        </w:rPr>
        <w:t xml:space="preserve">” means an Assumption and Supplement to Guaranty Agreement in the form attached to the Guaranty Agreement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740" w:firstLine="1297"/>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Hazardous Material</w:t>
      </w:r>
      <w:r>
        <w:rPr>
          <w:rFonts w:ascii="Times New Roman" w:cs="Times New Roman" w:eastAsia="Times New Roman" w:hAnsi="Times New Roman"/>
          <w:sz w:val="21"/>
          <w:szCs w:val="21"/>
          <w:color w:val="auto"/>
        </w:rPr>
        <w:t>” means any (a) asbestos, asbestos-containing materials, polychlorinated biphenyls and petroleum (including crude oil or any fraction thereof) and (b) any substance, waste or material classified or regulated as “hazardous,” “toxic,” “contaminant” or “pollutant” or words of like import pursuant to any Environmental Law.</w:t>
      </w:r>
    </w:p>
    <w:p>
      <w:pPr>
        <w:spacing w:after="0" w:line="150" w:lineRule="exact"/>
        <w:rPr>
          <w:sz w:val="20"/>
          <w:szCs w:val="20"/>
          <w:color w:val="auto"/>
        </w:rPr>
      </w:pPr>
    </w:p>
    <w:p>
      <w:pPr>
        <w:jc w:val="both"/>
        <w:ind w:right="5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Hedge Agreement</w:t>
      </w:r>
      <w:r>
        <w:rPr>
          <w:rFonts w:ascii="Times New Roman" w:cs="Times New Roman" w:eastAsia="Times New Roman" w:hAnsi="Times New Roman"/>
          <w:sz w:val="22"/>
          <w:szCs w:val="22"/>
          <w:color w:val="auto"/>
        </w:rPr>
        <w:t>” means any interest rate, currency or commodity swap agreements, cap agreements, collar agreements, floor agreements, exchange agreements, forward contracts, option contracts or similar interest rate or currency or commodity arrangements or precious metal hedging arrangements.</w:t>
      </w:r>
    </w:p>
    <w:p>
      <w:pPr>
        <w:spacing w:after="0" w:line="167"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Hedging Liability</w:t>
      </w:r>
      <w:r>
        <w:rPr>
          <w:rFonts w:ascii="Times New Roman" w:cs="Times New Roman" w:eastAsia="Times New Roman" w:hAnsi="Times New Roman"/>
          <w:sz w:val="22"/>
          <w:szCs w:val="22"/>
          <w:color w:val="auto"/>
        </w:rPr>
        <w:t>” means Hedging Obligations (other than with respect to any Loan Party’s Hedging Liabilities that constitute Excluded Swap Obligations solely with respect to such Loan Party) (i) owing by the Borrower or any of its Restricted Subsidiaries (a) to any entity that was a Lender, an Agent or a Joint Lead Arranger or an Affiliate of a Lender, an Agent or a Joint Lead Arranger at the time the relevant Hedge Agreement was entered into or (b) with respect to Hedging Obligations outstanding on the Closing Date, to any entity that is a Lender, an Agent or a Joint Lead Arranger or an Affiliate of a Lender, an Agent or a Joint Lead Arranger on the Closing Date and (ii) at the Borrower’s option, with respect to Hedging Obligations outstanding on the Escrow Release Date, owing by the Target to any entity that is a Lender, an Agent or a Joint Lead Arranger or an Affiliate of a Lender, an Agent or a Joint Lead Arranger.</w:t>
      </w:r>
    </w:p>
    <w:p>
      <w:pPr>
        <w:sectPr>
          <w:pgSz w:w="11900" w:h="16838" w:orient="portrait"/>
          <w:cols w:equalWidth="0" w:num="1">
            <w:col w:w="11420"/>
          </w:cols>
          <w:pgMar w:left="240" w:top="621" w:right="239" w:bottom="1440" w:gutter="0" w:footer="0" w:header="0"/>
        </w:sectPr>
      </w:pPr>
    </w:p>
    <w:bookmarkStart w:id="149" w:name="page150"/>
    <w:bookmarkEnd w:id="149"/>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Hedging Obligations</w:t>
      </w:r>
      <w:r>
        <w:rPr>
          <w:rFonts w:ascii="Times New Roman" w:cs="Times New Roman" w:eastAsia="Times New Roman" w:hAnsi="Times New Roman"/>
          <w:sz w:val="21"/>
          <w:szCs w:val="21"/>
          <w:color w:val="auto"/>
        </w:rPr>
        <w:t>” means, with respect to any Person, the obligations of such Person under Hedge Agreements.</w:t>
      </w:r>
    </w:p>
    <w:p>
      <w:pPr>
        <w:spacing w:after="0" w:line="231" w:lineRule="exact"/>
        <w:rPr>
          <w:sz w:val="20"/>
          <w:szCs w:val="20"/>
          <w:color w:val="auto"/>
        </w:rPr>
      </w:pPr>
    </w:p>
    <w:p>
      <w:pPr>
        <w:ind w:right="18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Hostile Acquisition</w:t>
      </w:r>
      <w:r>
        <w:rPr>
          <w:rFonts w:ascii="Times New Roman" w:cs="Times New Roman" w:eastAsia="Times New Roman" w:hAnsi="Times New Roman"/>
          <w:sz w:val="22"/>
          <w:szCs w:val="22"/>
          <w:color w:val="auto"/>
        </w:rPr>
        <w:t>” means the acquisition of the capital stock or other Equity Interests of a Person through a tender offer or similar solicitation of the owners of such capital stock or other Equity Interests which has not been approved (prior to such acquisition) by resolutions of the board of directors (or any other applicable governing body) of such Person or by similar action if such Person is not a corporation, and, if such acquisition has been so approved, as to which such approval has been withdrawn.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Immaterial Subsidiary</w:t>
      </w:r>
      <w:r>
        <w:rPr>
          <w:rFonts w:ascii="Times New Roman" w:cs="Times New Roman" w:eastAsia="Times New Roman" w:hAnsi="Times New Roman"/>
          <w:sz w:val="22"/>
          <w:szCs w:val="22"/>
          <w:color w:val="auto"/>
        </w:rPr>
        <w:t>” has the meaning set forth in the definition of “Material Subsidiary.”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Impacted LIBOR Interest Period</w:t>
      </w:r>
      <w:r>
        <w:rPr>
          <w:rFonts w:ascii="Times New Roman" w:cs="Times New Roman" w:eastAsia="Times New Roman" w:hAnsi="Times New Roman"/>
          <w:sz w:val="22"/>
          <w:szCs w:val="22"/>
          <w:color w:val="auto"/>
        </w:rPr>
        <w:t>” shall have the meaning assigned to such term in the definition of the term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“LIBOR.”</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Impacted Loans</w:t>
      </w:r>
      <w:r>
        <w:rPr>
          <w:rFonts w:ascii="Times New Roman" w:cs="Times New Roman" w:eastAsia="Times New Roman" w:hAnsi="Times New Roman"/>
          <w:sz w:val="22"/>
          <w:szCs w:val="22"/>
          <w:color w:val="auto"/>
        </w:rPr>
        <w:t>” is defined in Section 8.3(a)(iii) herein.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Amendment</w:t>
      </w:r>
      <w:r>
        <w:rPr>
          <w:rFonts w:ascii="Times New Roman" w:cs="Times New Roman" w:eastAsia="Times New Roman" w:hAnsi="Times New Roman"/>
          <w:sz w:val="22"/>
          <w:szCs w:val="22"/>
          <w:color w:val="auto"/>
        </w:rPr>
        <w:t>” is defined in Section 2.14(a) herein.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Cap</w:t>
      </w:r>
      <w:r>
        <w:rPr>
          <w:rFonts w:ascii="Times New Roman" w:cs="Times New Roman" w:eastAsia="Times New Roman" w:hAnsi="Times New Roman"/>
          <w:sz w:val="22"/>
          <w:szCs w:val="22"/>
          <w:color w:val="auto"/>
        </w:rPr>
        <w:t>” is defined in Section 2.14(b) herein.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Equivalent Debt</w:t>
      </w:r>
      <w:r>
        <w:rPr>
          <w:rFonts w:ascii="Times New Roman" w:cs="Times New Roman" w:eastAsia="Times New Roman" w:hAnsi="Times New Roman"/>
          <w:sz w:val="22"/>
          <w:szCs w:val="22"/>
          <w:color w:val="auto"/>
        </w:rPr>
        <w:t>” is defined in Section 6.14(I)(u).</w:t>
      </w:r>
    </w:p>
    <w:p>
      <w:pPr>
        <w:spacing w:after="0" w:line="220" w:lineRule="exact"/>
        <w:rPr>
          <w:sz w:val="20"/>
          <w:szCs w:val="20"/>
          <w:color w:val="auto"/>
        </w:rPr>
      </w:pPr>
    </w:p>
    <w:p>
      <w:pPr>
        <w:ind w:right="8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Facility</w:t>
      </w:r>
      <w:r>
        <w:rPr>
          <w:rFonts w:ascii="Times New Roman" w:cs="Times New Roman" w:eastAsia="Times New Roman" w:hAnsi="Times New Roman"/>
          <w:sz w:val="22"/>
          <w:szCs w:val="22"/>
          <w:color w:val="auto"/>
        </w:rPr>
        <w:t>” means (a) any Incremental Term Facility, (b) any Incremental Revolving Credit Facility, (c) the commitments (if any) of Additional Revolving Lenders to make Incremental Revolving Loans in respect of any Revolving Credit Commitment Increase and the Incremental Revolving Loans in respect thereof and/or (d) the commitments (if any) of Additional Term Lenders to make Incremental Term Loans in respect of any Term Commitment Increase and the Incremental Term Loans in respect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Loans</w:t>
      </w:r>
      <w:r>
        <w:rPr>
          <w:rFonts w:ascii="Times New Roman" w:cs="Times New Roman" w:eastAsia="Times New Roman" w:hAnsi="Times New Roman"/>
          <w:sz w:val="22"/>
          <w:szCs w:val="22"/>
          <w:color w:val="auto"/>
        </w:rPr>
        <w:t>” means any loans made pursuant to Section 2.14(a).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Credit Facility</w:t>
      </w:r>
      <w:r>
        <w:rPr>
          <w:rFonts w:ascii="Times New Roman" w:cs="Times New Roman" w:eastAsia="Times New Roman" w:hAnsi="Times New Roman"/>
          <w:sz w:val="22"/>
          <w:szCs w:val="22"/>
          <w:color w:val="auto"/>
        </w:rPr>
        <w:t>” is defined in Section 2.14(a) herein.</w:t>
      </w:r>
    </w:p>
    <w:p>
      <w:pPr>
        <w:spacing w:after="0" w:line="220"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Loans</w:t>
      </w:r>
      <w:r>
        <w:rPr>
          <w:rFonts w:ascii="Times New Roman" w:cs="Times New Roman" w:eastAsia="Times New Roman" w:hAnsi="Times New Roman"/>
          <w:sz w:val="22"/>
          <w:szCs w:val="22"/>
          <w:color w:val="auto"/>
        </w:rPr>
        <w:t>” means any revolving loans made under any Incremental Revolving Credit Facility or in respect of any Revolving Credit Commitment Increase.</w:t>
      </w:r>
    </w:p>
    <w:p>
      <w:pPr>
        <w:spacing w:after="0" w:line="150" w:lineRule="exact"/>
        <w:rPr>
          <w:sz w:val="20"/>
          <w:szCs w:val="20"/>
          <w:color w:val="auto"/>
        </w:rPr>
      </w:pPr>
    </w:p>
    <w:p>
      <w:pPr>
        <w:ind w:right="3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A Facility</w:t>
      </w:r>
      <w:r>
        <w:rPr>
          <w:rFonts w:ascii="Times New Roman" w:cs="Times New Roman" w:eastAsia="Times New Roman" w:hAnsi="Times New Roman"/>
          <w:sz w:val="22"/>
          <w:szCs w:val="22"/>
          <w:color w:val="auto"/>
        </w:rPr>
        <w:t>” means the commitments (if any) of Additional Term Lenders to make Incremental Term A Loans in accordance with Section 2.14(a) and the Incremental Term A Loans in respect thereof.</w:t>
      </w:r>
    </w:p>
    <w:p>
      <w:pPr>
        <w:sectPr>
          <w:pgSz w:w="11900" w:h="16838" w:orient="portrait"/>
          <w:cols w:equalWidth="0" w:num="1">
            <w:col w:w="11420"/>
          </w:cols>
          <w:pgMar w:left="240" w:top="621" w:right="239" w:bottom="1440" w:gutter="0" w:footer="0" w:header="0"/>
        </w:sectPr>
      </w:pPr>
    </w:p>
    <w:bookmarkStart w:id="150" w:name="page151"/>
    <w:bookmarkEnd w:id="150"/>
    <w:p>
      <w:pPr>
        <w:ind w:right="1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A Loans</w:t>
      </w:r>
      <w:r>
        <w:rPr>
          <w:rFonts w:ascii="Times New Roman" w:cs="Times New Roman" w:eastAsia="Times New Roman" w:hAnsi="Times New Roman"/>
          <w:sz w:val="22"/>
          <w:szCs w:val="22"/>
          <w:color w:val="auto"/>
        </w:rPr>
        <w:t>” means any term A loans (i.e., having no more than a 5 year maturity and with lenders that are primarily commercial banks) made pursuant to Section 2.14(a).</w:t>
      </w:r>
    </w:p>
    <w:p>
      <w:pPr>
        <w:spacing w:after="0" w:line="150" w:lineRule="exact"/>
        <w:rPr>
          <w:sz w:val="20"/>
          <w:szCs w:val="20"/>
          <w:color w:val="auto"/>
        </w:rPr>
      </w:pPr>
    </w:p>
    <w:p>
      <w:pPr>
        <w:jc w:val="both"/>
        <w:ind w:right="1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A-1 Commitment</w:t>
      </w:r>
      <w:r>
        <w:rPr>
          <w:rFonts w:ascii="Times New Roman" w:cs="Times New Roman" w:eastAsia="Times New Roman" w:hAnsi="Times New Roman"/>
          <w:sz w:val="22"/>
          <w:szCs w:val="22"/>
          <w:color w:val="auto"/>
        </w:rPr>
        <w:t xml:space="preserve">” means, with respect to an Incremental Term A-1 Lender, the commitment of such Incremental Term A-1 Lender to make an Incremental Term A-1 Loan hereunder on the Amendment No. 7 Effective Date, in the amount set forth opposite such Lender’s name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to Amendment No. 7 and made a part hereof.</w:t>
      </w:r>
    </w:p>
    <w:p>
      <w:pPr>
        <w:spacing w:after="0" w:line="167" w:lineRule="exact"/>
        <w:rPr>
          <w:sz w:val="20"/>
          <w:szCs w:val="20"/>
          <w:color w:val="auto"/>
        </w:rPr>
      </w:pPr>
    </w:p>
    <w:p>
      <w:pPr>
        <w:ind w:right="2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A-1 Lender</w:t>
      </w:r>
      <w:r>
        <w:rPr>
          <w:rFonts w:ascii="Times New Roman" w:cs="Times New Roman" w:eastAsia="Times New Roman" w:hAnsi="Times New Roman"/>
          <w:sz w:val="22"/>
          <w:szCs w:val="22"/>
          <w:color w:val="auto"/>
        </w:rPr>
        <w:t>” means a Person with an Incremental Term A-1 Commitment to make Incremental Term A-1 Loans to the Borrower on the Amendment No. 7 Effective Date.</w:t>
      </w:r>
    </w:p>
    <w:p>
      <w:pPr>
        <w:spacing w:after="0" w:line="150" w:lineRule="exact"/>
        <w:rPr>
          <w:sz w:val="20"/>
          <w:szCs w:val="20"/>
          <w:color w:val="auto"/>
        </w:rPr>
      </w:pPr>
    </w:p>
    <w:p>
      <w:pPr>
        <w:ind w:right="7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A-1 Loan</w:t>
      </w:r>
      <w:r>
        <w:rPr>
          <w:rFonts w:ascii="Times New Roman" w:cs="Times New Roman" w:eastAsia="Times New Roman" w:hAnsi="Times New Roman"/>
          <w:sz w:val="22"/>
          <w:szCs w:val="22"/>
          <w:color w:val="auto"/>
        </w:rPr>
        <w:t>” means a Loan that is made pursuant to Section 2.1(j) of this Agreement on the Amendment No. 7 Effective Date.</w:t>
      </w:r>
    </w:p>
    <w:p>
      <w:pPr>
        <w:spacing w:after="0" w:line="150" w:lineRule="exact"/>
        <w:rPr>
          <w:sz w:val="20"/>
          <w:szCs w:val="20"/>
          <w:color w:val="auto"/>
        </w:rPr>
      </w:pPr>
    </w:p>
    <w:p>
      <w:pPr>
        <w:ind w:right="3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B Facility</w:t>
      </w:r>
      <w:r>
        <w:rPr>
          <w:rFonts w:ascii="Times New Roman" w:cs="Times New Roman" w:eastAsia="Times New Roman" w:hAnsi="Times New Roman"/>
          <w:sz w:val="22"/>
          <w:szCs w:val="22"/>
          <w:color w:val="auto"/>
        </w:rPr>
        <w:t>” means the commitments (if any) of Additional Term Lenders to make Incremental Term B Loans in accordance with Section 2.14(a) and the Incremental Term B Loans in respect thereof.</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B Loans</w:t>
      </w:r>
      <w:r>
        <w:rPr>
          <w:rFonts w:ascii="Times New Roman" w:cs="Times New Roman" w:eastAsia="Times New Roman" w:hAnsi="Times New Roman"/>
          <w:sz w:val="22"/>
          <w:szCs w:val="22"/>
          <w:color w:val="auto"/>
        </w:rPr>
        <w:t>” means any term B loans made pursuant to Section 2.14(a).</w:t>
      </w:r>
    </w:p>
    <w:p>
      <w:pPr>
        <w:spacing w:after="0" w:line="220"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Facility</w:t>
      </w:r>
      <w:r>
        <w:rPr>
          <w:rFonts w:ascii="Times New Roman" w:cs="Times New Roman" w:eastAsia="Times New Roman" w:hAnsi="Times New Roman"/>
          <w:sz w:val="22"/>
          <w:szCs w:val="22"/>
          <w:color w:val="auto"/>
        </w:rPr>
        <w:t>” means the commitments (if any) of Additional Term Lenders to make Incremental Term Loans in accordance with Section 2.14(a) and the Incremental Term Loans in respect thereof.</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Loans</w:t>
      </w:r>
      <w:r>
        <w:rPr>
          <w:rFonts w:ascii="Times New Roman" w:cs="Times New Roman" w:eastAsia="Times New Roman" w:hAnsi="Times New Roman"/>
          <w:sz w:val="22"/>
          <w:szCs w:val="22"/>
          <w:color w:val="auto"/>
        </w:rPr>
        <w:t>” means any term loans made pursuant to Section 2.14(a).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means for any Person (without duplication):</w:t>
      </w:r>
    </w:p>
    <w:p>
      <w:pPr>
        <w:spacing w:after="0" w:line="224" w:lineRule="exact"/>
        <w:rPr>
          <w:sz w:val="20"/>
          <w:szCs w:val="20"/>
          <w:color w:val="auto"/>
        </w:rPr>
      </w:pPr>
    </w:p>
    <w:p>
      <w:pPr>
        <w:ind w:left="1760" w:hanging="455"/>
        <w:spacing w:after="0"/>
        <w:tabs>
          <w:tab w:leader="none" w:pos="17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such Person for borrowed money, whether current or funded, or secured or unsecured,</w:t>
      </w:r>
    </w:p>
    <w:p>
      <w:pPr>
        <w:spacing w:after="0" w:line="219"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for the deferred purchase price of Property,</w:t>
      </w:r>
    </w:p>
    <w:p>
      <w:pPr>
        <w:spacing w:after="0" w:line="219" w:lineRule="exact"/>
        <w:rPr>
          <w:rFonts w:ascii="Times New Roman" w:cs="Times New Roman" w:eastAsia="Times New Roman" w:hAnsi="Times New Roman"/>
          <w:sz w:val="22"/>
          <w:szCs w:val="22"/>
          <w:color w:val="auto"/>
        </w:rPr>
      </w:pPr>
    </w:p>
    <w:p>
      <w:pPr>
        <w:ind w:left="660" w:right="20" w:firstLine="645"/>
        <w:spacing w:after="0" w:line="271" w:lineRule="auto"/>
        <w:tabs>
          <w:tab w:leader="none" w:pos="176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secured by a purchase money mortgage or other Lien to secure all or part of the purchase price of Property subject to such mortgage or Lien,</w:t>
      </w:r>
    </w:p>
    <w:p>
      <w:pPr>
        <w:spacing w:after="0" w:line="157" w:lineRule="exact"/>
        <w:rPr>
          <w:rFonts w:ascii="Times New Roman" w:cs="Times New Roman" w:eastAsia="Times New Roman" w:hAnsi="Times New Roman"/>
          <w:sz w:val="22"/>
          <w:szCs w:val="22"/>
          <w:color w:val="auto"/>
        </w:rPr>
      </w:pPr>
    </w:p>
    <w:p>
      <w:pPr>
        <w:ind w:left="660" w:right="220" w:firstLine="645"/>
        <w:spacing w:after="0" w:line="271" w:lineRule="auto"/>
        <w:tabs>
          <w:tab w:leader="none" w:pos="177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under leases which shall have been or must be, in accordance with GAAP, recorded as Capital Leases in respect of which such Person is liable as lessee,</w:t>
      </w:r>
    </w:p>
    <w:p>
      <w:pPr>
        <w:sectPr>
          <w:pgSz w:w="11900" w:h="16838" w:orient="portrait"/>
          <w:cols w:equalWidth="0" w:num="1">
            <w:col w:w="11400"/>
          </w:cols>
          <w:pgMar w:left="240" w:top="621" w:right="259" w:bottom="1440" w:gutter="0" w:footer="0" w:header="0"/>
        </w:sectPr>
      </w:pPr>
    </w:p>
    <w:bookmarkStart w:id="151" w:name="page152"/>
    <w:bookmarkEnd w:id="151"/>
    <w:p>
      <w:pPr>
        <w:ind w:left="1760" w:hanging="455"/>
        <w:spacing w:after="0"/>
        <w:tabs>
          <w:tab w:leader="none" w:pos="17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in respect of banker’s acceptances or letters of credit,</w:t>
      </w:r>
    </w:p>
    <w:p>
      <w:pPr>
        <w:spacing w:after="0" w:line="219" w:lineRule="exact"/>
        <w:rPr>
          <w:rFonts w:ascii="Times New Roman" w:cs="Times New Roman" w:eastAsia="Times New Roman" w:hAnsi="Times New Roman"/>
          <w:sz w:val="22"/>
          <w:szCs w:val="22"/>
          <w:color w:val="auto"/>
        </w:rPr>
      </w:pPr>
    </w:p>
    <w:p>
      <w:pPr>
        <w:ind w:left="660" w:right="60" w:firstLine="645"/>
        <w:spacing w:after="0" w:line="257" w:lineRule="auto"/>
        <w:tabs>
          <w:tab w:leader="none" w:pos="17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of another Person, whether or not assumed, of the types described in clauses (a) through (c) above or clauses (g) and (h) below, secured by Liens on Property acquired by the Borrower or its Subsidiaries at the time of acquisition thereof,</w:t>
      </w:r>
    </w:p>
    <w:p>
      <w:pPr>
        <w:spacing w:after="0" w:line="173"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under any so-called “synthetic lease” transaction entered into by such Person, and</w:t>
      </w:r>
    </w:p>
    <w:p>
      <w:pPr>
        <w:spacing w:after="0" w:line="219"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Contingent Obligations in respect of indebtedness of the types described in clauses (a) through (g) hereof,</w:t>
      </w:r>
    </w:p>
    <w:p>
      <w:pPr>
        <w:spacing w:after="0" w:line="2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term “Indebtedness” shall not include (i) trade payables and accrued expenses arising in the ordinary course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(ii) any earn-out obligation until such obligation becomes a liability on the balance sheet of such Person in accordance with GAAP, (iii) prepaid or deferred revenue arising in the ordinary course of business, (iv) purchase price holdbacks arising in the ordinary course of business in respect of a portion of the purchase price of an asset to satisfy warrants or other unperformed obligations of the seller of such asset and (v) any operating leases or guarantees of operating leases, including of joint ventures. The amount of Indebtedness of any person for purposes of clause (f) above shall (unless such indebtedness has been assumed by such person or is otherwise recourse to such person) be deemed to be equal to the lesser of (A) the aggregate unpaid amount of such indebtedness and (B) the fair market value of the property encumbered thereby.</w:t>
      </w:r>
    </w:p>
    <w:p>
      <w:pPr>
        <w:spacing w:after="0" w:line="186" w:lineRule="exact"/>
        <w:rPr>
          <w:sz w:val="20"/>
          <w:szCs w:val="20"/>
          <w:color w:val="auto"/>
        </w:rPr>
      </w:pPr>
    </w:p>
    <w:p>
      <w:pPr>
        <w:ind w:right="1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has the meaning provided in Section 10.23.</w:t>
      </w:r>
    </w:p>
    <w:p>
      <w:pPr>
        <w:spacing w:after="0" w:line="220" w:lineRule="exact"/>
        <w:rPr>
          <w:sz w:val="20"/>
          <w:szCs w:val="20"/>
          <w:color w:val="auto"/>
        </w:rPr>
      </w:pPr>
    </w:p>
    <w:p>
      <w:pPr>
        <w:ind w:right="4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Lenders</w:t>
      </w:r>
      <w:r>
        <w:rPr>
          <w:rFonts w:ascii="Times New Roman" w:cs="Times New Roman" w:eastAsia="Times New Roman" w:hAnsi="Times New Roman"/>
          <w:sz w:val="22"/>
          <w:szCs w:val="22"/>
          <w:color w:val="auto"/>
        </w:rPr>
        <w:t>” means JPMorgan Chase Bank, N.A., Bank of America, N.A., Credit Suisse AG, Cayman Islands Branch, Royal Bank of Canada, Mizuho Bank, Ltd., The Bank of Tokyo-Mitsubishi UFJ, Ltd., Citibank, N.A., HSBC Bank PLC, HSBC Bank USA, National Association, Sumitomo Mitsui Banking Corporation, BBVA Compass, The Bank of Nova Scotia, BNP Paribas, Bank of the West, First Hawaiian Bank, TD Bank, N.A., Toronto Dominion (Texas) LLC, Wells Fargo Bank, National Association, U.S. Bank National Association, Fifth Third Bank, Standard Chartered Bank and SunTrust Bank.</w:t>
      </w:r>
    </w:p>
    <w:p>
      <w:pPr>
        <w:spacing w:after="0" w:line="176" w:lineRule="exact"/>
        <w:rPr>
          <w:sz w:val="20"/>
          <w:szCs w:val="20"/>
          <w:color w:val="auto"/>
        </w:rPr>
      </w:pPr>
    </w:p>
    <w:p>
      <w:pPr>
        <w:ind w:right="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Intellectual Property Security Agreements</w:t>
      </w:r>
      <w:r>
        <w:rPr>
          <w:rFonts w:ascii="Times New Roman" w:cs="Times New Roman" w:eastAsia="Times New Roman" w:hAnsi="Times New Roman"/>
          <w:sz w:val="22"/>
          <w:szCs w:val="22"/>
          <w:color w:val="auto"/>
        </w:rPr>
        <w:t xml:space="preserve">” means any of the following agreements executed on or after the Escrow Release Date: (a) a Trademark Security Agreement substantially in the form of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 (b) a Patent Security Agreement substantially in the</w:t>
      </w:r>
    </w:p>
    <w:p>
      <w:pPr>
        <w:sectPr>
          <w:pgSz w:w="11900" w:h="16838" w:orient="portrait"/>
          <w:cols w:equalWidth="0" w:num="1">
            <w:col w:w="11400"/>
          </w:cols>
          <w:pgMar w:left="240" w:top="625" w:right="2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 xml:space="preserve">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 xml:space="preserve"> or (c) a Copyright Security Agreement substantially in the form of </w:t>
      </w:r>
      <w:r>
        <w:rPr>
          <w:rFonts w:ascii="Times New Roman" w:cs="Times New Roman" w:eastAsia="Times New Roman" w:hAnsi="Times New Roman"/>
          <w:sz w:val="22"/>
          <w:szCs w:val="22"/>
          <w:u w:val="single" w:color="auto"/>
          <w:color w:val="auto"/>
        </w:rPr>
        <w:t>Exhibit H-3</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right="56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Intercompany Transactions</w:t>
      </w:r>
      <w:r>
        <w:rPr>
          <w:rFonts w:ascii="Times New Roman" w:cs="Times New Roman" w:eastAsia="Times New Roman" w:hAnsi="Times New Roman"/>
          <w:sz w:val="22"/>
          <w:szCs w:val="22"/>
          <w:color w:val="auto"/>
        </w:rPr>
        <w:t>” means the intercompany transactions described in the Confidential Information Memorandum dated March 15, 2016.</w:t>
      </w:r>
    </w:p>
    <w:p>
      <w:pPr>
        <w:spacing w:after="0" w:line="150" w:lineRule="exact"/>
        <w:rPr>
          <w:sz w:val="20"/>
          <w:szCs w:val="20"/>
          <w:color w:val="auto"/>
        </w:rPr>
      </w:pPr>
    </w:p>
    <w:p>
      <w:pPr>
        <w:ind w:right="10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Intercreditor Agreement</w:t>
      </w:r>
      <w:r>
        <w:rPr>
          <w:rFonts w:ascii="Times New Roman" w:cs="Times New Roman" w:eastAsia="Times New Roman" w:hAnsi="Times New Roman"/>
          <w:sz w:val="22"/>
          <w:szCs w:val="22"/>
          <w:color w:val="auto"/>
        </w:rPr>
        <w:t>” means an intercreditor agreement dated as of the Escrow Release Date, among the Loan Parties, the Collateral Agent, the collateral agent in respect of the Senior Secured Notes and the collateral agent in respect of the Additional Bridge Facility, in form and substance reasonably satisfactory to the Collateral Agent and the Borrower.</w:t>
      </w:r>
    </w:p>
    <w:p>
      <w:pPr>
        <w:spacing w:after="0" w:line="167" w:lineRule="exact"/>
        <w:rPr>
          <w:sz w:val="20"/>
          <w:szCs w:val="20"/>
          <w:color w:val="auto"/>
        </w:rPr>
      </w:pPr>
    </w:p>
    <w:p>
      <w:pPr>
        <w:ind w:right="60"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Expense</w:t>
      </w:r>
      <w:r>
        <w:rPr>
          <w:rFonts w:ascii="Times New Roman" w:cs="Times New Roman" w:eastAsia="Times New Roman" w:hAnsi="Times New Roman"/>
          <w:sz w:val="22"/>
          <w:szCs w:val="22"/>
          <w:color w:val="auto"/>
        </w:rPr>
        <w:t xml:space="preserve">” means, with reference to any period, (a) the sum of all interest expense (including imputed interest charges with respect to Capitalized Lease Obligations) of the Borrower and its Restricted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 (ii) any expensing of bridge, commitment and other financing fees, (iii) costs in connection with the Escrow Release Date Refinancing, the repurchase of the Convertible Notes in connection with the Schrader Acquisition and any annual administrative or other agency fees, (iv) any premiums, fees or other charges incurred in connection with the refinancing, incurrence, purchase or redemption of Indebtedness (including in connection with the Transactions) and (v) commissions, discounts, yield and other fees and charges (including any interest expense) related to any Permitted Receivables Financing,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interest income of the Borrower and its Restricted Subsidiaries for such period determined on a consolidated basis in accordance with GAAP.</w:t>
      </w:r>
    </w:p>
    <w:p>
      <w:pPr>
        <w:spacing w:after="0" w:line="186" w:lineRule="exact"/>
        <w:rPr>
          <w:sz w:val="20"/>
          <w:szCs w:val="20"/>
          <w:color w:val="auto"/>
        </w:rPr>
      </w:pPr>
    </w:p>
    <w:p>
      <w:pPr>
        <w:ind w:right="1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Period</w:t>
      </w:r>
      <w:r>
        <w:rPr>
          <w:rFonts w:ascii="Times New Roman" w:cs="Times New Roman" w:eastAsia="Times New Roman" w:hAnsi="Times New Roman"/>
          <w:sz w:val="22"/>
          <w:szCs w:val="22"/>
          <w:color w:val="auto"/>
        </w:rPr>
        <w:t xml:space="preserve">” means, with respect to Eurodollar Loans, the period commencing on the date a Borrowing of Eurodollar Loans is advanced, continued or created by conversion and ending one week or 1, 2, 3, 6, or if available to all affected Lenders in respect of LIBOR, 12 months thereafter, as selected by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pacing w:after="0" w:line="166" w:lineRule="exact"/>
        <w:rPr>
          <w:sz w:val="20"/>
          <w:szCs w:val="20"/>
          <w:color w:val="auto"/>
        </w:rPr>
      </w:pPr>
    </w:p>
    <w:p>
      <w:pPr>
        <w:ind w:left="660" w:right="60" w:firstLine="645"/>
        <w:spacing w:after="0" w:line="261" w:lineRule="auto"/>
        <w:tabs>
          <w:tab w:leader="none" w:pos="17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last day of any Interest Period would otherwise be a day that is not a Business Day, the last day of such Interest Period shall be extended to the next succeeding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the case of an Interest Period of less than one month, if such extension would cause the last day of an Interest Period for a Borrowing of Eurodollar Loans to occur in the following calendar month, the last day of such Interest Period shall be the immediately preceding Business Day; and</w:t>
      </w:r>
    </w:p>
    <w:p>
      <w:pPr>
        <w:spacing w:after="0" w:line="180" w:lineRule="exact"/>
        <w:rPr>
          <w:rFonts w:ascii="Times New Roman" w:cs="Times New Roman" w:eastAsia="Times New Roman" w:hAnsi="Times New Roman"/>
          <w:sz w:val="18"/>
          <w:szCs w:val="18"/>
          <w:color w:val="auto"/>
        </w:rPr>
      </w:pPr>
    </w:p>
    <w:p>
      <w:pPr>
        <w:ind w:left="660" w:firstLine="645"/>
        <w:spacing w:after="0" w:line="258" w:lineRule="auto"/>
        <w:tabs>
          <w:tab w:leader="none" w:pos="17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an Interest Period for a Borrowing of Eurodollar Loans of one month or longer, a month means a period starting on one (1) day in a calendar month and ending on the numerically corresponding day in the next calendar month;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w:t>
      </w:r>
    </w:p>
    <w:p>
      <w:pPr>
        <w:sectPr>
          <w:pgSz w:w="11900" w:h="16838" w:orient="portrait"/>
          <w:cols w:equalWidth="0" w:num="1">
            <w:col w:w="11320"/>
          </w:cols>
          <w:pgMar w:left="240" w:top="625" w:right="339" w:bottom="1440" w:gutter="0" w:footer="0" w:header="0"/>
        </w:sectPr>
      </w:pPr>
    </w:p>
    <w:bookmarkStart w:id="153" w:name="page154"/>
    <w:bookmarkEnd w:id="153"/>
    <w:p>
      <w:pPr>
        <w:ind w:right="10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Interpolated Rate</w:t>
      </w:r>
      <w:r>
        <w:rPr>
          <w:rFonts w:ascii="Times New Roman" w:cs="Times New Roman" w:eastAsia="Times New Roman" w:hAnsi="Times New Roman"/>
          <w:sz w:val="22"/>
          <w:szCs w:val="22"/>
          <w:color w:val="auto"/>
        </w:rPr>
        <w:t>” means, at any time, for any Interest Period, in relation to “LIBOR” for any Impacted Loans, the rate per annum determined by the Administrative Agent (which determination shall be conclusive and binding absent manifest error) to be equal to the rate that results from interpolating on a linear basis between: (i) the LIBOR Screen Rate for the longest period (for which the LIBOR Screen Rate is available) that is shorter than the Impacted LIBOR Interest Period and (ii) the LIBOR Screen Rate for the shortest period (for which the LIBOR Screen Rate is available) that exceeds the Impacted LIBOR Interest Period, in each case, at such time.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ind w:right="34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ISP</w:t>
      </w:r>
      <w:r>
        <w:rPr>
          <w:rFonts w:ascii="Times New Roman" w:cs="Times New Roman" w:eastAsia="Times New Roman" w:hAnsi="Times New Roman"/>
          <w:sz w:val="21"/>
          <w:szCs w:val="21"/>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28" w:lineRule="exact"/>
        <w:rPr>
          <w:sz w:val="20"/>
          <w:szCs w:val="20"/>
          <w:color w:val="auto"/>
        </w:rPr>
      </w:pPr>
    </w:p>
    <w:p>
      <w:pPr>
        <w:ind w:right="4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Joint Lead Arrangers</w:t>
      </w:r>
      <w:r>
        <w:rPr>
          <w:rFonts w:ascii="Times New Roman" w:cs="Times New Roman" w:eastAsia="Times New Roman" w:hAnsi="Times New Roman"/>
          <w:sz w:val="22"/>
          <w:szCs w:val="22"/>
          <w:color w:val="auto"/>
        </w:rPr>
        <w:t>” means, collectively, J.P. Morgan Securities LLC,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hereof), Mizuho Bank, Ltd., RBC Capital Markets, Wells Fargo Securities, LLC, The Bank of Tokyo-Mitsubishi UFJ, Ltd., SunTrust Robinson Humphrey, Inc., HSBC Securities (USA) Inc., Sumitomo Mitsui Banking Corporation, Citigroup Global Markets Inc. and TD Bank, N.A.</w:t>
      </w:r>
    </w:p>
    <w:p>
      <w:pPr>
        <w:spacing w:after="0" w:line="181" w:lineRule="exact"/>
        <w:rPr>
          <w:sz w:val="20"/>
          <w:szCs w:val="20"/>
          <w:color w:val="auto"/>
        </w:rPr>
      </w:pPr>
    </w:p>
    <w:p>
      <w:pPr>
        <w:ind w:right="6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Backstop</w:t>
      </w:r>
      <w:r>
        <w:rPr>
          <w:rFonts w:ascii="Times New Roman" w:cs="Times New Roman" w:eastAsia="Times New Roman" w:hAnsi="Times New Roman"/>
          <w:sz w:val="22"/>
          <w:szCs w:val="22"/>
          <w:color w:val="auto"/>
        </w:rPr>
        <w:t>” means, in respect of any Letter of Credit, (a) a letter of credit delivered to the L/C Issuer which may be drawn by the L/C Issuer to satisfy any obligations of the Borrower in respect of such Letter of Credit or (b) cash or Cash Equivalents deposited with the “L/C Issuer” to satisfy any obligation of the Borrower in respect of such Letter of Credit, in each case, in an amount not to exceed 101.00% of the undrawn face amount and any unpaid Reimbursement Obligations with respect to such Letter of Credit and on terms and pursuant to arrangements (including, if applicable, any appropriate reimbursement agreement) reasonably satisfactory to the respective L/C Issuer.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Disbursement</w:t>
      </w:r>
      <w:r>
        <w:rPr>
          <w:rFonts w:ascii="Times New Roman" w:cs="Times New Roman" w:eastAsia="Times New Roman" w:hAnsi="Times New Roman"/>
          <w:sz w:val="22"/>
          <w:szCs w:val="22"/>
          <w:color w:val="auto"/>
        </w:rPr>
        <w:t>” means a payment or disbursement made by an L/C Issuer pursuant to a Letter of Credit.</w:t>
      </w:r>
    </w:p>
    <w:p>
      <w:pPr>
        <w:spacing w:after="0" w:line="220" w:lineRule="exact"/>
        <w:rPr>
          <w:sz w:val="20"/>
          <w:szCs w:val="20"/>
          <w:color w:val="auto"/>
        </w:rPr>
      </w:pPr>
    </w:p>
    <w:p>
      <w:pPr>
        <w:ind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Exposure</w:t>
      </w:r>
      <w:r>
        <w:rPr>
          <w:rFonts w:ascii="Times New Roman" w:cs="Times New Roman" w:eastAsia="Times New Roman" w:hAnsi="Times New Roman"/>
          <w:sz w:val="22"/>
          <w:szCs w:val="22"/>
          <w:color w:val="auto"/>
        </w:rPr>
        <w:t xml:space="preserve">” means, at any time, the sum of (a) the aggregate undrawn amount of all outstanding Letters of Credit at such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aggregate amount of all L/C Disbursements that have not yet been reimbursed by or on behalf of the Borrower at such time. The L/C Exposure of any Lender at any time shall be its Revolver Percentage of the total L/C Exposure at such time. For all purposes of this Agreement, if on any date of determination a Letter of Credit has expired by its terms but any amount may still be drawn thereunder by reason</w:t>
      </w:r>
    </w:p>
    <w:p>
      <w:pPr>
        <w:sectPr>
          <w:pgSz w:w="11900" w:h="16838" w:orient="portrait"/>
          <w:cols w:equalWidth="0" w:num="1">
            <w:col w:w="11420"/>
          </w:cols>
          <w:pgMar w:left="240" w:top="622" w:right="239" w:bottom="1440" w:gutter="0" w:footer="0" w:header="0"/>
        </w:sectPr>
      </w:pPr>
    </w:p>
    <w:bookmarkStart w:id="154" w:name="page155"/>
    <w:bookmarkEnd w:id="154"/>
    <w:p>
      <w:pPr>
        <w:spacing w:after="0" w:line="263" w:lineRule="auto"/>
        <w:rPr>
          <w:sz w:val="20"/>
          <w:szCs w:val="20"/>
          <w:color w:val="auto"/>
        </w:rPr>
      </w:pPr>
      <w:r>
        <w:rPr>
          <w:rFonts w:ascii="Times New Roman" w:cs="Times New Roman" w:eastAsia="Times New Roman" w:hAnsi="Times New Roman"/>
          <w:sz w:val="21"/>
          <w:szCs w:val="21"/>
          <w:color w:val="auto"/>
        </w:rPr>
        <w:t xml:space="preserve">of the operation of Rule 3.13 or 3.14 of the ISP or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Issuer</w:t>
      </w:r>
      <w:r>
        <w:rPr>
          <w:rFonts w:ascii="Times New Roman" w:cs="Times New Roman" w:eastAsia="Times New Roman" w:hAnsi="Times New Roman"/>
          <w:sz w:val="21"/>
          <w:szCs w:val="21"/>
          <w:color w:val="auto"/>
        </w:rPr>
        <w:t>” means each of (a) JPMorgan Chase Bank, N.A., with respect to up to $44,350,000 of Letters of Credit,</w:t>
      </w:r>
    </w:p>
    <w:p>
      <w:pPr>
        <w:spacing w:after="0" w:line="43" w:lineRule="exact"/>
        <w:rPr>
          <w:sz w:val="20"/>
          <w:szCs w:val="20"/>
          <w:color w:val="auto"/>
        </w:rPr>
      </w:pPr>
    </w:p>
    <w:p>
      <w:pPr>
        <w:ind w:firstLine="8"/>
        <w:spacing w:after="0" w:line="244" w:lineRule="auto"/>
        <w:tabs>
          <w:tab w:leader="none" w:pos="30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of America, N.A., with respect to up to $44,350,000 of Letters of Credit, (c) Royal Bank of Canada, with respect to up to $37,100,000 of Letters of Credit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it shall only be required to issue standby letters of credit), (d) Wells Fargo Bank, National Association, with respect to up to $37,100,000 of Letters of Credit (e) Mizuho Bank, Ltd, with respect to up to $37,100,000 of Letters of Credit, (f) with respect to the Existing Letters of Credit, Bank of Tokyo Mitsubishi UFJ, Ltd., in each case, acting through any of its Affiliates or branches, and (g) and any other L/C Issuer designated pursuant to Section 2.3(j) in each case in its capacity as an L/C Issuer, and its successors in such capacity as provided in Section 2.3(i). An L/C Issuer may, in its discretion, arrange for one (1) or more Letters of Credit to be issued by Affiliates of such L/C Issuer, in which case the term L/C Issuer shall include any such Affiliates with respect to Letters of Credit issued by such Affiliate.</w:t>
      </w:r>
    </w:p>
    <w:p>
      <w:pPr>
        <w:spacing w:after="0" w:line="183" w:lineRule="exact"/>
        <w:rPr>
          <w:sz w:val="20"/>
          <w:szCs w:val="20"/>
          <w:color w:val="auto"/>
        </w:rPr>
      </w:pPr>
    </w:p>
    <w:p>
      <w:pPr>
        <w:ind w:right="2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Obligations</w:t>
      </w:r>
      <w:r>
        <w:rPr>
          <w:rFonts w:ascii="Times New Roman" w:cs="Times New Roman" w:eastAsia="Times New Roman" w:hAnsi="Times New Roman"/>
          <w:sz w:val="22"/>
          <w:szCs w:val="22"/>
          <w:color w:val="auto"/>
        </w:rPr>
        <w:t>” means the aggregate undrawn face amounts of all outstanding Letters of Credit and all unpaid Reimbursement Obligations.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Sublimit</w:t>
      </w:r>
      <w:r>
        <w:rPr>
          <w:rFonts w:ascii="Times New Roman" w:cs="Times New Roman" w:eastAsia="Times New Roman" w:hAnsi="Times New Roman"/>
          <w:sz w:val="22"/>
          <w:szCs w:val="22"/>
          <w:color w:val="auto"/>
        </w:rPr>
        <w:t>” means $200.0 million, as reduced pursuant to the terms hereof.</w:t>
      </w:r>
    </w:p>
    <w:p>
      <w:pPr>
        <w:spacing w:after="0" w:line="220" w:lineRule="exact"/>
        <w:rPr>
          <w:sz w:val="20"/>
          <w:szCs w:val="20"/>
          <w:color w:val="auto"/>
        </w:rPr>
      </w:pPr>
    </w:p>
    <w:p>
      <w:pPr>
        <w:ind w:right="1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means the several banks and other financial institutions and other lenders from time to time party to this Agreement (excluding Prohibited Lenders), including each assignee Lender pursuant to Section 10.10 hereof.</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Lending Office</w:t>
      </w:r>
      <w:r>
        <w:rPr>
          <w:rFonts w:ascii="Times New Roman" w:cs="Times New Roman" w:eastAsia="Times New Roman" w:hAnsi="Times New Roman"/>
          <w:sz w:val="22"/>
          <w:szCs w:val="22"/>
          <w:color w:val="auto"/>
        </w:rPr>
        <w:t>” is defined in Section 8.6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w:t>
      </w:r>
      <w:r>
        <w:rPr>
          <w:rFonts w:ascii="Times New Roman" w:cs="Times New Roman" w:eastAsia="Times New Roman" w:hAnsi="Times New Roman"/>
          <w:sz w:val="22"/>
          <w:szCs w:val="22"/>
          <w:color w:val="auto"/>
        </w:rPr>
        <w:t>” is defined in Section 2.3(a) hereof.</w:t>
      </w:r>
    </w:p>
    <w:p>
      <w:pPr>
        <w:spacing w:after="0" w:line="220" w:lineRule="exact"/>
        <w:rPr>
          <w:sz w:val="20"/>
          <w:szCs w:val="20"/>
          <w:color w:val="auto"/>
        </w:rPr>
      </w:pPr>
    </w:p>
    <w:p>
      <w:pPr>
        <w:ind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Usage</w:t>
      </w:r>
      <w:r>
        <w:rPr>
          <w:rFonts w:ascii="Times New Roman" w:cs="Times New Roman" w:eastAsia="Times New Roman" w:hAnsi="Times New Roman"/>
          <w:sz w:val="22"/>
          <w:szCs w:val="22"/>
          <w:color w:val="auto"/>
        </w:rPr>
        <w:t>” means, as at any date of determination, the sum of (i) the maximum aggregate amount which is, or at any time thereafter may become, available for drawing under all Letters of Credit then outstanding, and (ii) the aggregate amount of all drawings under Letters of Credit honored by the L/C Issuer and not theretofore reimbursed by or on behalf of Borrower.</w:t>
      </w:r>
    </w:p>
    <w:p>
      <w:pPr>
        <w:sectPr>
          <w:pgSz w:w="11900" w:h="16838" w:orient="portrait"/>
          <w:cols w:equalWidth="0" w:num="1">
            <w:col w:w="11340"/>
          </w:cols>
          <w:pgMar w:left="240" w:top="625" w:right="319" w:bottom="1440" w:gutter="0" w:footer="0" w:header="0"/>
        </w:sectPr>
      </w:pPr>
    </w:p>
    <w:bookmarkStart w:id="155" w:name="page156"/>
    <w:bookmarkEnd w:id="155"/>
    <w:p>
      <w:pPr>
        <w:ind w:right="4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Leverage Ratio</w:t>
      </w:r>
      <w:r>
        <w:rPr>
          <w:rFonts w:ascii="Times New Roman" w:cs="Times New Roman" w:eastAsia="Times New Roman" w:hAnsi="Times New Roman"/>
          <w:sz w:val="21"/>
          <w:szCs w:val="21"/>
          <w:color w:val="auto"/>
        </w:rPr>
        <w:t>” means, as of the date of determination thereof, the ratio of Total Funded Debt of the Borrower and its Restricted Subsidiaries as of such date to Consolidated Adjusted EBITDA for the period of four (4) fiscal quarters then ended.</w:t>
      </w:r>
    </w:p>
    <w:p>
      <w:pPr>
        <w:spacing w:after="0" w:line="128" w:lineRule="exact"/>
        <w:rPr>
          <w:sz w:val="20"/>
          <w:szCs w:val="20"/>
          <w:color w:val="auto"/>
        </w:rPr>
      </w:pPr>
    </w:p>
    <w:p>
      <w:pPr>
        <w:ind w:right="20"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LIBOR</w:t>
      </w:r>
      <w:r>
        <w:rPr>
          <w:rFonts w:ascii="Times New Roman" w:cs="Times New Roman" w:eastAsia="Times New Roman" w:hAnsi="Times New Roman"/>
          <w:sz w:val="22"/>
          <w:szCs w:val="22"/>
          <w:color w:val="auto"/>
        </w:rPr>
        <w:t xml:space="preserve">” means, with respect to each day during each Interest Period pertaining to a Eurodollar Loan denominated in Dollars, the rate per annum determined on the basis of the rate for deposits in Dollars for a period equal to such Interest Period commencing on the first day of such Interest Period administered by ICE Benchmark Administration Limited, as published by Reuters on Reuters Page LIBOR01 (or any replacement Reuters page that displays that rate) as of 11:00 a.m., London time, two (2) Business Days prior to the beginning of such Interest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such rate does not appear on Reuters, the “</w:t>
      </w:r>
      <w:r>
        <w:rPr>
          <w:rFonts w:ascii="Times New Roman" w:cs="Times New Roman" w:eastAsia="Times New Roman" w:hAnsi="Times New Roman"/>
          <w:sz w:val="22"/>
          <w:szCs w:val="22"/>
          <w:i w:val="1"/>
          <w:iCs w:val="1"/>
          <w:color w:val="auto"/>
        </w:rPr>
        <w:t>LIBOR</w:t>
      </w:r>
      <w:r>
        <w:rPr>
          <w:rFonts w:ascii="Times New Roman" w:cs="Times New Roman" w:eastAsia="Times New Roman" w:hAnsi="Times New Roman"/>
          <w:sz w:val="22"/>
          <w:szCs w:val="22"/>
          <w:color w:val="auto"/>
        </w:rPr>
        <w:t>” shall be determined by reference to such other comparable publicly available service for displaying eurodollar rates for Dollar deposits as may be selected by the Administrative Agent or, in the absence of such availability, by reference to the rate at which Dollar deposits of like amounts and for a maturity comparable to such Interest Period are offered by the principal London office of the Administrative Agent in immediately available funds in the London interbank market at approximately 11:00 a.m., London time, two (2) Business Days prior to the commencement of such Interest Period (in each case, the “</w:t>
      </w:r>
      <w:r>
        <w:rPr>
          <w:rFonts w:ascii="Times New Roman" w:cs="Times New Roman" w:eastAsia="Times New Roman" w:hAnsi="Times New Roman"/>
          <w:sz w:val="22"/>
          <w:szCs w:val="22"/>
          <w:i w:val="1"/>
          <w:iCs w:val="1"/>
          <w:color w:val="auto"/>
        </w:rPr>
        <w:t>LIBOR Screen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if the LIBOR Screen Rate shall not be available at such time for such Interest Period (an “</w:t>
      </w:r>
      <w:r>
        <w:rPr>
          <w:rFonts w:ascii="Times New Roman" w:cs="Times New Roman" w:eastAsia="Times New Roman" w:hAnsi="Times New Roman"/>
          <w:sz w:val="22"/>
          <w:szCs w:val="22"/>
          <w:i w:val="1"/>
          <w:iCs w:val="1"/>
          <w:color w:val="auto"/>
        </w:rPr>
        <w:t>Impacted LIBOR Interest Period</w:t>
      </w:r>
      <w:r>
        <w:rPr>
          <w:rFonts w:ascii="Times New Roman" w:cs="Times New Roman" w:eastAsia="Times New Roman" w:hAnsi="Times New Roman"/>
          <w:sz w:val="22"/>
          <w:szCs w:val="22"/>
          <w:color w:val="auto"/>
        </w:rPr>
        <w:t>”), then LIBOR shall be the Interpolated Rate at such time, subject to Section 8.3;</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in no event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LIBOR be less than 0% per annum.</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LIBOR Screen Rate</w:t>
      </w:r>
      <w:r>
        <w:rPr>
          <w:rFonts w:ascii="Times New Roman" w:cs="Times New Roman" w:eastAsia="Times New Roman" w:hAnsi="Times New Roman"/>
          <w:sz w:val="22"/>
          <w:szCs w:val="22"/>
          <w:color w:val="auto"/>
        </w:rPr>
        <w:t>” shall have the meaning assigned to such term in the definition of the term “LIBOR.”</w:t>
      </w:r>
    </w:p>
    <w:p>
      <w:pPr>
        <w:spacing w:after="0" w:line="220" w:lineRule="exact"/>
        <w:rPr>
          <w:sz w:val="20"/>
          <w:szCs w:val="20"/>
          <w:color w:val="auto"/>
        </w:rPr>
      </w:pPr>
    </w:p>
    <w:p>
      <w:pPr>
        <w:ind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w:t>
      </w:r>
      <w:r>
        <w:rPr>
          <w:rFonts w:ascii="Times New Roman" w:cs="Times New Roman" w:eastAsia="Times New Roman" w:hAnsi="Times New Roman"/>
          <w:sz w:val="22"/>
          <w:szCs w:val="22"/>
          <w:color w:val="auto"/>
        </w:rPr>
        <w:t xml:space="preserve">” means, with respect to any Property, any deed of trust, mortgage, lien, security interest, pledge, charge or encumbrance in the nature of security in respect of such Property, including the interests of a vendor or lessor under any conditional sale, Capital Lease or other title retention arrangement;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an operating lease be deemed to constitute a Lien.</w:t>
      </w:r>
    </w:p>
    <w:p>
      <w:pPr>
        <w:spacing w:after="0" w:line="172" w:lineRule="exact"/>
        <w:rPr>
          <w:sz w:val="20"/>
          <w:szCs w:val="20"/>
          <w:color w:val="auto"/>
        </w:rPr>
      </w:pPr>
    </w:p>
    <w:p>
      <w:pPr>
        <w:ind w:right="5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w:t>
      </w:r>
      <w:r>
        <w:rPr>
          <w:rFonts w:ascii="Times New Roman" w:cs="Times New Roman" w:eastAsia="Times New Roman" w:hAnsi="Times New Roman"/>
          <w:sz w:val="22"/>
          <w:szCs w:val="22"/>
          <w:color w:val="auto"/>
        </w:rPr>
        <w:t>” means any Revolving Loan, Term Loan, any loan issued under any Incremental Facility, any Extended Revolving Loan or Extended Term Loan, any loan issued pursuant to the final paragraph of Section 10.11(a) hereof or any Refinancing Term Loans or Loans under any Replacement Revolving Facility.</w:t>
      </w:r>
    </w:p>
    <w:p>
      <w:pPr>
        <w:spacing w:after="0" w:line="167" w:lineRule="exact"/>
        <w:rPr>
          <w:sz w:val="20"/>
          <w:szCs w:val="20"/>
          <w:color w:val="auto"/>
        </w:rPr>
      </w:pPr>
    </w:p>
    <w:p>
      <w:pPr>
        <w:ind w:right="16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Documents</w:t>
      </w:r>
      <w:r>
        <w:rPr>
          <w:rFonts w:ascii="Times New Roman" w:cs="Times New Roman" w:eastAsia="Times New Roman" w:hAnsi="Times New Roman"/>
          <w:sz w:val="22"/>
          <w:szCs w:val="22"/>
          <w:color w:val="auto"/>
        </w:rPr>
        <w:t>” means this Agreement, the Guaranty (solely during a Collateral and Guarantee Period (or if the Guaranty is otherwise in effect at the Borrower’s option)), the Collateral Documents (solely during a Collateral and Guarantee Period), the Intercreditor Agreement (solely during a Collateral and Guarantee Period (to the extent in effect)), any additional intercreditor agreements contemplated by Section 9.12(v) hereof and, other than for purposes of Section 10.11, the Notes (if any), the Letters of Credit, Amendment</w:t>
      </w:r>
    </w:p>
    <w:p>
      <w:pPr>
        <w:sectPr>
          <w:pgSz w:w="11900" w:h="16838" w:orient="portrait"/>
          <w:cols w:equalWidth="0" w:num="1">
            <w:col w:w="11400"/>
          </w:cols>
          <w:pgMar w:left="240" w:top="621" w:right="259" w:bottom="1440" w:gutter="0" w:footer="0" w:header="0"/>
        </w:sectPr>
      </w:pPr>
    </w:p>
    <w:bookmarkStart w:id="156" w:name="page157"/>
    <w:bookmarkEnd w:id="156"/>
    <w:p>
      <w:pPr>
        <w:ind w:right="60"/>
        <w:spacing w:after="0" w:line="257" w:lineRule="auto"/>
        <w:rPr>
          <w:sz w:val="20"/>
          <w:szCs w:val="20"/>
          <w:color w:val="auto"/>
        </w:rPr>
      </w:pPr>
      <w:r>
        <w:rPr>
          <w:rFonts w:ascii="Times New Roman" w:cs="Times New Roman" w:eastAsia="Times New Roman" w:hAnsi="Times New Roman"/>
          <w:sz w:val="22"/>
          <w:szCs w:val="22"/>
          <w:color w:val="auto"/>
        </w:rPr>
        <w:t>No. 1, Amendment No. 1 Joinder, Amendment No. 2, Amendment No. 2 Joinder, Amendment No. 3, Amendment No. 3 Joinder, Amendment No. 4, Amendment No. 4 Joinder, Amendment No. 5, Amendment No. 5 Joinder, Amendment No. 6, Amendment No. 7, Amendment No. 8 and Amendment No. 8 Joinder and Amendment No. 9.</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Parties</w:t>
      </w:r>
      <w:r>
        <w:rPr>
          <w:rFonts w:ascii="Times New Roman" w:cs="Times New Roman" w:eastAsia="Times New Roman" w:hAnsi="Times New Roman"/>
          <w:sz w:val="22"/>
          <w:szCs w:val="22"/>
          <w:color w:val="auto"/>
        </w:rPr>
        <w:t>” means the Borrower and each Guarantor.</w:t>
      </w:r>
    </w:p>
    <w:p>
      <w:pPr>
        <w:spacing w:after="0" w:line="220"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Effect</w:t>
      </w:r>
      <w:r>
        <w:rPr>
          <w:rFonts w:ascii="Times New Roman" w:cs="Times New Roman" w:eastAsia="Times New Roman" w:hAnsi="Times New Roman"/>
          <w:sz w:val="22"/>
          <w:szCs w:val="22"/>
          <w:color w:val="auto"/>
        </w:rPr>
        <w:t>” means (a) a material adverse effect upon the business, assets, financial condition or results of operations, in each case, of the Borrower and its Restricted Subsidiaries taken as a whole, or (b) a material adverse effect upon the rights and remedies, taken as a whole, of the Administrative Agent and the Lenders under any Loan Document.</w:t>
      </w:r>
    </w:p>
    <w:p>
      <w:pPr>
        <w:spacing w:after="0" w:line="167" w:lineRule="exact"/>
        <w:rPr>
          <w:sz w:val="20"/>
          <w:szCs w:val="20"/>
          <w:color w:val="auto"/>
        </w:rPr>
      </w:pPr>
    </w:p>
    <w:p>
      <w:pPr>
        <w:ind w:right="26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Indebtedness</w:t>
      </w:r>
      <w:r>
        <w:rPr>
          <w:rFonts w:ascii="Times New Roman" w:cs="Times New Roman" w:eastAsia="Times New Roman" w:hAnsi="Times New Roman"/>
          <w:sz w:val="22"/>
          <w:szCs w:val="22"/>
          <w:color w:val="auto"/>
        </w:rPr>
        <w:t>” means Indebtedness (other than the Obligations), of any one (1) or more of the Borrower and the Restricted Subsidiaries in an aggregate principal amount exceeding $350 million.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Plan</w:t>
      </w:r>
      <w:r>
        <w:rPr>
          <w:rFonts w:ascii="Times New Roman" w:cs="Times New Roman" w:eastAsia="Times New Roman" w:hAnsi="Times New Roman"/>
          <w:sz w:val="22"/>
          <w:szCs w:val="22"/>
          <w:color w:val="auto"/>
        </w:rPr>
        <w:t>” is defined in Section 7.1(h) hereof.</w:t>
      </w:r>
    </w:p>
    <w:p>
      <w:pPr>
        <w:spacing w:after="0" w:line="220" w:lineRule="exact"/>
        <w:rPr>
          <w:sz w:val="20"/>
          <w:szCs w:val="20"/>
          <w:color w:val="auto"/>
        </w:rPr>
      </w:pPr>
    </w:p>
    <w:p>
      <w:pPr>
        <w:ind w:right="80" w:firstLine="12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Subsidiary</w:t>
      </w:r>
      <w:r>
        <w:rPr>
          <w:rFonts w:ascii="Times New Roman" w:cs="Times New Roman" w:eastAsia="Times New Roman" w:hAnsi="Times New Roman"/>
          <w:sz w:val="21"/>
          <w:szCs w:val="21"/>
          <w:color w:val="auto"/>
        </w:rPr>
        <w:t>” means and includes (i) each Subsidiary that is a Restricted Subsidiary (other than an Excluded Subsidiary), except any Restricted Subsidiary that does not have (together with its Subsidiaries) (a) at any time, Consolidated Total Assets the book value of which constitutes more than 2.00% of the book value of the Consolidated Total Assets of the Borrower and its Restricted Subsidiaries at such time or (b) consolidated net income in accordance with GAAP for any four</w:t>
      </w:r>
    </w:p>
    <w:p>
      <w:pPr>
        <w:spacing w:after="0" w:line="4" w:lineRule="exact"/>
        <w:rPr>
          <w:sz w:val="20"/>
          <w:szCs w:val="20"/>
          <w:color w:val="auto"/>
        </w:rPr>
      </w:pPr>
    </w:p>
    <w:p>
      <w:pPr>
        <w:ind w:right="20" w:firstLine="8"/>
        <w:spacing w:after="0" w:line="255" w:lineRule="auto"/>
        <w:tabs>
          <w:tab w:leader="none" w:pos="30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consecutive fiscal quarters of the Borrower ending on or after July 3, 2015, that constitutes more than 2.00% of the consolidated net income in accordance with GAAP of the Borrower and its Restricted Subsidiaries during such period (any such Subsidiary, an “</w:t>
      </w:r>
      <w:r>
        <w:rPr>
          <w:rFonts w:ascii="Times New Roman" w:cs="Times New Roman" w:eastAsia="Times New Roman" w:hAnsi="Times New Roman"/>
          <w:sz w:val="21"/>
          <w:szCs w:val="21"/>
          <w:i w:val="1"/>
          <w:iCs w:val="1"/>
          <w:color w:val="auto"/>
        </w:rPr>
        <w:t>Immaterial Subsidiary</w:t>
      </w:r>
      <w:r>
        <w:rPr>
          <w:rFonts w:ascii="Times New Roman" w:cs="Times New Roman" w:eastAsia="Times New Roman" w:hAnsi="Times New Roman"/>
          <w:sz w:val="21"/>
          <w:szCs w:val="21"/>
          <w:color w:val="auto"/>
        </w:rPr>
        <w:t>” and all such Subsidiaries, the “</w:t>
      </w:r>
      <w:r>
        <w:rPr>
          <w:rFonts w:ascii="Times New Roman" w:cs="Times New Roman" w:eastAsia="Times New Roman" w:hAnsi="Times New Roman"/>
          <w:sz w:val="21"/>
          <w:szCs w:val="21"/>
          <w:i w:val="1"/>
          <w:iCs w:val="1"/>
          <w:color w:val="auto"/>
        </w:rPr>
        <w:t>Immaterial Subsidiaries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no time shall (A) the book value of the Consolidated Total Assets of all Immaterial Subsidiaries equal or exceed 5.00% of the book value of the Consolidated Total Assets of the Borrower and its Restricted Subsidiaries or (B) the consolidated net income in accordance with GAAP for any four</w:t>
      </w:r>
    </w:p>
    <w:p>
      <w:pPr>
        <w:ind w:firstLine="8"/>
        <w:spacing w:after="0" w:line="246" w:lineRule="auto"/>
        <w:tabs>
          <w:tab w:leader="none" w:pos="30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fiscal quarters of all Immaterial Subsidiaries ending on or after July 3, 2015 constitute more than 5.00% of the consolidated net income in accordance with GAAP of the Borrower and its Restricted Subsidiaries during such period) and (ii) each Restricted Subsidiary that the Borrower has designated to the Administrative Agent in writing as a Material Subsidiary.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Maximum Rate</w:t>
      </w:r>
      <w:r>
        <w:rPr>
          <w:rFonts w:ascii="Times New Roman" w:cs="Times New Roman" w:eastAsia="Times New Roman" w:hAnsi="Times New Roman"/>
          <w:sz w:val="22"/>
          <w:szCs w:val="22"/>
          <w:color w:val="auto"/>
        </w:rPr>
        <w:t>” is defined in Section 10.18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Merger Sub</w:t>
      </w:r>
      <w:r>
        <w:rPr>
          <w:rFonts w:ascii="Times New Roman" w:cs="Times New Roman" w:eastAsia="Times New Roman" w:hAnsi="Times New Roman"/>
          <w:sz w:val="22"/>
          <w:szCs w:val="22"/>
          <w:color w:val="auto"/>
        </w:rPr>
        <w:t>” is defined in the Preliminary Statements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is defined in Section 2.15(b) hereof.</w:t>
      </w:r>
    </w:p>
    <w:p>
      <w:pPr>
        <w:sectPr>
          <w:pgSz w:w="11900" w:h="16838" w:orient="portrait"/>
          <w:cols w:equalWidth="0" w:num="1">
            <w:col w:w="11420"/>
          </w:cols>
          <w:pgMar w:left="240" w:top="625" w:right="239" w:bottom="1440" w:gutter="0" w:footer="0" w:header="0"/>
        </w:sectPr>
      </w:pPr>
    </w:p>
    <w:bookmarkStart w:id="157" w:name="page158"/>
    <w:bookmarkEnd w:id="15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MOFCOM Restructuring</w:t>
      </w:r>
      <w:r>
        <w:rPr>
          <w:rFonts w:ascii="Times New Roman" w:cs="Times New Roman" w:eastAsia="Times New Roman" w:hAnsi="Times New Roman"/>
          <w:sz w:val="22"/>
          <w:szCs w:val="22"/>
          <w:color w:val="auto"/>
        </w:rPr>
        <w:t>” is defined in Section 6.16(r)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means Moody’s Investors Service, Inc.</w:t>
      </w:r>
    </w:p>
    <w:p>
      <w:pPr>
        <w:spacing w:after="0" w:line="220" w:lineRule="exact"/>
        <w:rPr>
          <w:sz w:val="20"/>
          <w:szCs w:val="20"/>
          <w:color w:val="auto"/>
        </w:rPr>
      </w:pPr>
    </w:p>
    <w:p>
      <w:pPr>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Mortgage</w:t>
      </w:r>
      <w:r>
        <w:rPr>
          <w:rFonts w:ascii="Times New Roman" w:cs="Times New Roman" w:eastAsia="Times New Roman" w:hAnsi="Times New Roman"/>
          <w:sz w:val="21"/>
          <w:szCs w:val="21"/>
          <w:color w:val="auto"/>
        </w:rPr>
        <w:t>” means a mortgage, deed of trust, trust deed or deed to secure debt in form and substance reasonably satisfactory to the Collateral Agent and its counsel and covering a Mortgaged Property, duly executed by the appropriate Loan Party.</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Mortgaged Property</w:t>
      </w:r>
      <w:r>
        <w:rPr>
          <w:rFonts w:ascii="Times New Roman" w:cs="Times New Roman" w:eastAsia="Times New Roman" w:hAnsi="Times New Roman"/>
          <w:sz w:val="22"/>
          <w:szCs w:val="22"/>
          <w:color w:val="auto"/>
        </w:rPr>
        <w:t>” means all fee-owned real property of any Grantor that is not an Excluded Property.</w:t>
      </w:r>
    </w:p>
    <w:p>
      <w:pPr>
        <w:spacing w:after="0" w:line="220" w:lineRule="exact"/>
        <w:rPr>
          <w:sz w:val="20"/>
          <w:szCs w:val="20"/>
          <w:color w:val="auto"/>
        </w:rPr>
      </w:pPr>
    </w:p>
    <w:p>
      <w:pPr>
        <w:ind w:right="14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Cash Proceeds</w:t>
      </w:r>
      <w:r>
        <w:rPr>
          <w:rFonts w:ascii="Times New Roman" w:cs="Times New Roman" w:eastAsia="Times New Roman" w:hAnsi="Times New Roman"/>
          <w:sz w:val="22"/>
          <w:szCs w:val="22"/>
          <w:color w:val="auto"/>
        </w:rPr>
        <w:t xml:space="preserve">” means, with respect to any mandatory prepayment event pursuant to Section 2.8(c), (a) the gross cash and cash equivalent proceeds (including payments from time to time in respect of installment obligations, if applicable) received by or on behalf of the Borrower or any of its Restricted Subsidiaries in respect of such prepayment event or issuance, as the case may be,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(b) the sum of:</w:t>
      </w:r>
    </w:p>
    <w:p>
      <w:pPr>
        <w:spacing w:after="0" w:line="176" w:lineRule="exact"/>
        <w:rPr>
          <w:sz w:val="20"/>
          <w:szCs w:val="20"/>
          <w:color w:val="auto"/>
        </w:rPr>
      </w:pPr>
    </w:p>
    <w:p>
      <w:pPr>
        <w:ind w:left="1940" w:hanging="392"/>
        <w:spacing w:after="0"/>
        <w:tabs>
          <w:tab w:leader="none" w:pos="19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good faith estimate of taxes paid or payable in connection with any such prepayment event,</w:t>
      </w:r>
    </w:p>
    <w:p>
      <w:pPr>
        <w:spacing w:after="0" w:line="233" w:lineRule="exact"/>
        <w:rPr>
          <w:rFonts w:ascii="Times New Roman" w:cs="Times New Roman" w:eastAsia="Times New Roman" w:hAnsi="Times New Roman"/>
          <w:sz w:val="22"/>
          <w:szCs w:val="22"/>
          <w:color w:val="auto"/>
        </w:rPr>
      </w:pPr>
    </w:p>
    <w:p>
      <w:pPr>
        <w:ind w:left="660" w:firstLine="888"/>
        <w:spacing w:after="0" w:line="248" w:lineRule="auto"/>
        <w:tabs>
          <w:tab w:leader="none" w:pos="199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reasonable reserve established in accordance with GAAP against any liabilities (other than any taxes deducted pursuant to clause (i) above) associated with the assets that are the subject of such prepayment event, and retained by the Borrower (or any of its members) or any of the Restricted Subsidiaries, including, with respect to Net Cash Proceeds from a Disposition, liabilities under any indemnification obligations or purchase price adjustment associated with such Disposition and other liabilities associated with the asset disposed of and retained by the Borrower or any of its Restricted Subsidiaries after such Disposition, including pension and other post-employment benefit liabilities and liabilities related to environmental matters;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any subsequent reduction of such reserve (other than in connection with a payment in respect of any such liability) shall be deemed to be Net Cash Proceeds of such a prepayment event occurring on the date of such reduction,</w:t>
      </w:r>
    </w:p>
    <w:p>
      <w:pPr>
        <w:spacing w:after="0" w:line="181" w:lineRule="exact"/>
        <w:rPr>
          <w:rFonts w:ascii="Times New Roman" w:cs="Times New Roman" w:eastAsia="Times New Roman" w:hAnsi="Times New Roman"/>
          <w:sz w:val="22"/>
          <w:szCs w:val="22"/>
          <w:color w:val="auto"/>
        </w:rPr>
      </w:pPr>
    </w:p>
    <w:p>
      <w:pPr>
        <w:ind w:left="660" w:right="160" w:firstLine="645"/>
        <w:spacing w:after="0" w:line="256" w:lineRule="auto"/>
        <w:tabs>
          <w:tab w:leader="none" w:pos="17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Disposition, (x) the amount of any Indebtedness (other than Indebtedness under this Agreement or Indebtedness that is secured by Collateral on a pari passu or junior basis with Indebtedness under this Agreement (other than Capitalized Lease Obligations)) secured by a Lien permitted hereunder on the assets that are the subject of such prepayment event that is repaid upon consummation of such prepayment event or otherwise subject to mandatory prepayment as a result of such event and (y) the pro rata portion of net cash proceeds thereof (calculated without regard to this clause (y)) attributable to minority interests and not available for distribution to or for the account of the Borrower or the Restricted Subsidiaries as a result thereof, and</w:t>
      </w:r>
    </w:p>
    <w:p>
      <w:pPr>
        <w:spacing w:after="0" w:line="187" w:lineRule="exact"/>
        <w:rPr>
          <w:rFonts w:ascii="Times New Roman" w:cs="Times New Roman" w:eastAsia="Times New Roman" w:hAnsi="Times New Roman"/>
          <w:sz w:val="18"/>
          <w:szCs w:val="18"/>
          <w:color w:val="auto"/>
        </w:rPr>
      </w:pPr>
    </w:p>
    <w:p>
      <w:pPr>
        <w:ind w:left="660" w:right="180" w:firstLine="645"/>
        <w:spacing w:after="0" w:line="282" w:lineRule="auto"/>
        <w:tabs>
          <w:tab w:leader="none" w:pos="17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fees, accountants’ fees, investment banking fees, survey costs, title insurance premiums, and related search and recording charges, transfer Taxes, deed or mortgage recording Taxes,</w:t>
      </w:r>
    </w:p>
    <w:p>
      <w:pPr>
        <w:sectPr>
          <w:pgSz w:w="11900" w:h="16838" w:orient="portrait"/>
          <w:cols w:equalWidth="0" w:num="1">
            <w:col w:w="11420"/>
          </w:cols>
          <w:pgMar w:left="240" w:top="621" w:right="23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18"/>
          <w:szCs w:val="18"/>
          <w:color w:val="auto"/>
        </w:rPr>
        <w:t>other customary expenses and brokerage, consultant and other customary costs and fees payable in connection therewith.</w:t>
      </w:r>
    </w:p>
    <w:p>
      <w:pPr>
        <w:spacing w:after="0" w:line="226" w:lineRule="exact"/>
        <w:rPr>
          <w:sz w:val="20"/>
          <w:szCs w:val="20"/>
          <w:color w:val="auto"/>
        </w:rPr>
      </w:pPr>
    </w:p>
    <w:p>
      <w:pPr>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Non-Cash Charges</w:t>
      </w:r>
      <w:r>
        <w:rPr>
          <w:rFonts w:ascii="Times New Roman" w:cs="Times New Roman" w:eastAsia="Times New Roman" w:hAnsi="Times New Roman"/>
          <w:sz w:val="22"/>
          <w:szCs w:val="22"/>
          <w:color w:val="auto"/>
        </w:rPr>
        <w:t>” means (a) any impairment charge or asset write-off or write-down related to intangible assets (including goodwill), long-lived assets, and investments in debt and equity securities pursuant to GAAP, (b) all non-cash losses from investments recorded using the equity method, (c) all Non-Cash Compensation Expenses, (d) the non-cash impact of purchase or recapitalization accounting and (e) all other non-cash charges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 if any non-cash charges represent an accrual or reserve for potential cash items in any future period, the cash payment in respect thereof in such future period shall be subtracted from Consolidated Adjusted EBITDA or Cash Flow to such extent, and excluding amortization of a prepaid cash item that was paid in a prior period).</w:t>
      </w:r>
    </w:p>
    <w:p>
      <w:pPr>
        <w:spacing w:after="0" w:line="182" w:lineRule="exact"/>
        <w:rPr>
          <w:sz w:val="20"/>
          <w:szCs w:val="20"/>
          <w:color w:val="auto"/>
        </w:rPr>
      </w:pPr>
    </w:p>
    <w:p>
      <w:pPr>
        <w:jc w:val="both"/>
        <w:ind w:right="16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Non-Cash Compensation Expense</w:t>
      </w:r>
      <w:r>
        <w:rPr>
          <w:rFonts w:ascii="Times New Roman" w:cs="Times New Roman" w:eastAsia="Times New Roman" w:hAnsi="Times New Roman"/>
          <w:sz w:val="22"/>
          <w:szCs w:val="22"/>
          <w:color w:val="auto"/>
        </w:rPr>
        <w:t>” means any non-cash expenses and costs that result from the issuance of stock-based awards, limited liability company or partnership interest-based awards and similar incentive-based compensation awards or arrangements.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Non-Consenting Lender</w:t>
      </w:r>
      <w:r>
        <w:rPr>
          <w:rFonts w:ascii="Times New Roman" w:cs="Times New Roman" w:eastAsia="Times New Roman" w:hAnsi="Times New Roman"/>
          <w:sz w:val="22"/>
          <w:szCs w:val="22"/>
          <w:color w:val="auto"/>
        </w:rPr>
        <w:t>” is defined in Section 8.5 hereof.</w:t>
      </w:r>
    </w:p>
    <w:p>
      <w:pPr>
        <w:spacing w:after="0" w:line="220" w:lineRule="exact"/>
        <w:rPr>
          <w:sz w:val="20"/>
          <w:szCs w:val="20"/>
          <w:color w:val="auto"/>
        </w:rPr>
      </w:pPr>
    </w:p>
    <w:p>
      <w:pPr>
        <w:ind w:right="2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Non-Exchanged Term A Loan</w:t>
      </w:r>
      <w:r>
        <w:rPr>
          <w:rFonts w:ascii="Times New Roman" w:cs="Times New Roman" w:eastAsia="Times New Roman" w:hAnsi="Times New Roman"/>
          <w:sz w:val="22"/>
          <w:szCs w:val="22"/>
          <w:color w:val="auto"/>
        </w:rPr>
        <w:t>” means each Term A Loan extended on the Closing Date (or portion thereof) other than an Exchanged Term A Loan.</w:t>
      </w:r>
    </w:p>
    <w:p>
      <w:pPr>
        <w:spacing w:after="0" w:line="150" w:lineRule="exact"/>
        <w:rPr>
          <w:sz w:val="20"/>
          <w:szCs w:val="20"/>
          <w:color w:val="auto"/>
        </w:rPr>
      </w:pPr>
    </w:p>
    <w:p>
      <w:pPr>
        <w:ind w:right="6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Non-Exchanged U.S. Term B Loan</w:t>
      </w:r>
      <w:r>
        <w:rPr>
          <w:rFonts w:ascii="Times New Roman" w:cs="Times New Roman" w:eastAsia="Times New Roman" w:hAnsi="Times New Roman"/>
          <w:sz w:val="22"/>
          <w:szCs w:val="22"/>
          <w:color w:val="auto"/>
        </w:rPr>
        <w:t>” means each U.S. Term B Loan extended on the Closing Date (or portion thereof) other than an Exchanged U.S. Term B Loan.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Non-Exchanged U.S. Term B-1 Loan</w:t>
      </w:r>
      <w:r>
        <w:rPr>
          <w:rFonts w:ascii="Times New Roman" w:cs="Times New Roman" w:eastAsia="Times New Roman" w:hAnsi="Times New Roman"/>
          <w:sz w:val="22"/>
          <w:szCs w:val="22"/>
          <w:color w:val="auto"/>
        </w:rPr>
        <w:t>” means each U.S. Term B-1 Loan extended on the Amendment No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(or portion thereof) other than an Exchanged U.S. Term B-1 Loan.</w:t>
      </w:r>
    </w:p>
    <w:p>
      <w:pPr>
        <w:spacing w:after="0" w:line="192" w:lineRule="exact"/>
        <w:rPr>
          <w:sz w:val="20"/>
          <w:szCs w:val="20"/>
          <w:color w:val="auto"/>
        </w:rPr>
      </w:pPr>
    </w:p>
    <w:p>
      <w:pPr>
        <w:ind w:right="7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Non-Exchanged U.S. Term B-2 Loan</w:t>
      </w:r>
      <w:r>
        <w:rPr>
          <w:rFonts w:ascii="Times New Roman" w:cs="Times New Roman" w:eastAsia="Times New Roman" w:hAnsi="Times New Roman"/>
          <w:sz w:val="22"/>
          <w:szCs w:val="22"/>
          <w:color w:val="auto"/>
        </w:rPr>
        <w:t>” means each U.S. Term B-2 Loan extended on the Amendment No. 3 Effective Date (or portion thereof) other than an Exchanged U.S. Term B-2 Loan.</w:t>
      </w:r>
    </w:p>
    <w:p>
      <w:pPr>
        <w:spacing w:after="0" w:line="150" w:lineRule="exact"/>
        <w:rPr>
          <w:sz w:val="20"/>
          <w:szCs w:val="20"/>
          <w:color w:val="auto"/>
        </w:rPr>
      </w:pPr>
    </w:p>
    <w:p>
      <w:pPr>
        <w:ind w:right="7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Non-Exchanged U.S. Term B-3 Loan</w:t>
      </w:r>
      <w:r>
        <w:rPr>
          <w:rFonts w:ascii="Times New Roman" w:cs="Times New Roman" w:eastAsia="Times New Roman" w:hAnsi="Times New Roman"/>
          <w:sz w:val="22"/>
          <w:szCs w:val="22"/>
          <w:color w:val="auto"/>
        </w:rPr>
        <w:t>” means each U.S. Term B-3 Loan extended on the Amendment No. 5 Effective Date (or portion thereof) other than an Exchanged U.S. Term B-3 Loan.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 is defined in Section 2.12(d)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NYFRB</w:t>
      </w:r>
      <w:r>
        <w:rPr>
          <w:rFonts w:ascii="Times New Roman" w:cs="Times New Roman" w:eastAsia="Times New Roman" w:hAnsi="Times New Roman"/>
          <w:sz w:val="22"/>
          <w:szCs w:val="22"/>
          <w:color w:val="auto"/>
        </w:rPr>
        <w:t>” means the Federal Reserve Bank of New York.</w:t>
      </w:r>
    </w:p>
    <w:p>
      <w:pPr>
        <w:spacing w:after="0" w:line="220" w:lineRule="exact"/>
        <w:rPr>
          <w:sz w:val="20"/>
          <w:szCs w:val="20"/>
          <w:color w:val="auto"/>
        </w:rPr>
      </w:pPr>
    </w:p>
    <w:p>
      <w:pPr>
        <w:jc w:val="both"/>
        <w:ind w:right="58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NYFRB Rate</w:t>
      </w:r>
      <w:r>
        <w:rPr>
          <w:rFonts w:ascii="Times New Roman" w:cs="Times New Roman" w:eastAsia="Times New Roman" w:hAnsi="Times New Roman"/>
          <w:sz w:val="22"/>
          <w:szCs w:val="22"/>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none of</w:t>
      </w:r>
    </w:p>
    <w:p>
      <w:pPr>
        <w:sectPr>
          <w:pgSz w:w="11900" w:h="16838" w:orient="portrait"/>
          <w:cols w:equalWidth="0" w:num="1">
            <w:col w:w="11400"/>
          </w:cols>
          <w:pgMar w:left="240" w:top="621" w:right="259" w:bottom="1440" w:gutter="0" w:footer="0" w:header="0"/>
        </w:sectPr>
      </w:pPr>
    </w:p>
    <w:bookmarkStart w:id="159" w:name="page160"/>
    <w:bookmarkEnd w:id="159"/>
    <w:p>
      <w:pPr>
        <w:spacing w:after="0" w:line="252" w:lineRule="auto"/>
        <w:rPr>
          <w:sz w:val="20"/>
          <w:szCs w:val="20"/>
          <w:color w:val="auto"/>
        </w:rPr>
      </w:pPr>
      <w:r>
        <w:rPr>
          <w:rFonts w:ascii="Times New Roman" w:cs="Times New Roman" w:eastAsia="Times New Roman" w:hAnsi="Times New Roman"/>
          <w:sz w:val="22"/>
          <w:szCs w:val="22"/>
          <w:color w:val="auto"/>
        </w:rPr>
        <w:t xml:space="preserve">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if any of the aforesaid rates shall be less than zero, such rate shall be deemed to be zero for purposes of this Agreement.</w:t>
      </w:r>
    </w:p>
    <w:p>
      <w:pPr>
        <w:spacing w:after="0" w:line="176" w:lineRule="exact"/>
        <w:rPr>
          <w:sz w:val="20"/>
          <w:szCs w:val="20"/>
          <w:color w:val="auto"/>
        </w:rPr>
      </w:pPr>
    </w:p>
    <w:p>
      <w:pPr>
        <w:ind w:right="200"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 xml:space="preserve">” means all obligations of the Borrower to pay principal and interest on the Loans, all Reimbursement Obligations owing under the Applications, all fees and charges payable hereunder, and all other payment obligations of the Borrower or any of its Restricted Subsidiaries arising under or in relation to any Loan Document, in each case whether now existing or hereafter arising, due or to become due, direct or indirect, absolute or contingent, and howsoever evidenced, held or acquired, including all interest, fees and other amounts which, but for the filing of any insolvency or bankruptcy proceeding with respect to any Loan Party, would have accrued on any Obligations, whether or not a claim is allowed against such Loan Party for such interest, fees or other amounts in such proceeding;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to the contrary, the Obligations shall exclude any Excluded Swap Obligation.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OID</w:t>
      </w:r>
      <w:r>
        <w:rPr>
          <w:rFonts w:ascii="Times New Roman" w:cs="Times New Roman" w:eastAsia="Times New Roman" w:hAnsi="Times New Roman"/>
          <w:sz w:val="22"/>
          <w:szCs w:val="22"/>
          <w:color w:val="auto"/>
        </w:rPr>
        <w:t>” is defined in Section 2.14(a)(H)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Original Loan Agreement</w:t>
      </w:r>
      <w:r>
        <w:rPr>
          <w:rFonts w:ascii="Times New Roman" w:cs="Times New Roman" w:eastAsia="Times New Roman" w:hAnsi="Times New Roman"/>
          <w:sz w:val="21"/>
          <w:szCs w:val="21"/>
          <w:color w:val="auto"/>
        </w:rPr>
        <w:t>” means this Agreement as in effect immediately prior to the Amendment No. 7 Effective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right="26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Revolving Credit Commitments</w:t>
      </w:r>
      <w:r>
        <w:rPr>
          <w:rFonts w:ascii="Times New Roman" w:cs="Times New Roman" w:eastAsia="Times New Roman" w:hAnsi="Times New Roman"/>
          <w:sz w:val="22"/>
          <w:szCs w:val="22"/>
          <w:color w:val="auto"/>
        </w:rPr>
        <w:t>” means, as to any Lender, the obligation of such Lender to make Revolving Loans and to participate in Letters of Credit as set forth in this Agreement immediately prior to the Amendment No. 7 Effective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Applicable Indebtedness</w:t>
      </w:r>
      <w:r>
        <w:rPr>
          <w:rFonts w:ascii="Times New Roman" w:cs="Times New Roman" w:eastAsia="Times New Roman" w:hAnsi="Times New Roman"/>
          <w:sz w:val="22"/>
          <w:szCs w:val="22"/>
          <w:color w:val="auto"/>
        </w:rPr>
        <w:t>” is defined in Section 2.8(c)(ii)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Taxes</w:t>
      </w:r>
      <w:r>
        <w:rPr>
          <w:rFonts w:ascii="Times New Roman" w:cs="Times New Roman" w:eastAsia="Times New Roman" w:hAnsi="Times New Roman"/>
          <w:sz w:val="22"/>
          <w:szCs w:val="22"/>
          <w:color w:val="auto"/>
        </w:rPr>
        <w:t>” is defined in Section 10.4 hereof.</w:t>
      </w:r>
    </w:p>
    <w:p>
      <w:pPr>
        <w:spacing w:after="0" w:line="220" w:lineRule="exact"/>
        <w:rPr>
          <w:sz w:val="20"/>
          <w:szCs w:val="20"/>
          <w:color w:val="auto"/>
        </w:rPr>
      </w:pPr>
    </w:p>
    <w:p>
      <w:pPr>
        <w:ind w:right="6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is defined in Section 10.10(d)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is defined in Section 10.10(d)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Participating Interest</w:t>
      </w:r>
      <w:r>
        <w:rPr>
          <w:rFonts w:ascii="Times New Roman" w:cs="Times New Roman" w:eastAsia="Times New Roman" w:hAnsi="Times New Roman"/>
          <w:sz w:val="22"/>
          <w:szCs w:val="22"/>
          <w:color w:val="auto"/>
        </w:rPr>
        <w:t>” is defined in Section 2.3(d) hereof.</w:t>
      </w:r>
    </w:p>
    <w:p>
      <w:pPr>
        <w:sectPr>
          <w:pgSz w:w="11900" w:h="16838" w:orient="portrait"/>
          <w:cols w:equalWidth="0" w:num="1">
            <w:col w:w="11420"/>
          </w:cols>
          <w:pgMar w:left="240" w:top="625" w:right="239" w:bottom="1440" w:gutter="0" w:footer="0" w:header="0"/>
        </w:sectPr>
      </w:pPr>
    </w:p>
    <w:bookmarkStart w:id="160" w:name="page161"/>
    <w:bookmarkEnd w:id="16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Participating Lender</w:t>
      </w:r>
      <w:r>
        <w:rPr>
          <w:rFonts w:ascii="Times New Roman" w:cs="Times New Roman" w:eastAsia="Times New Roman" w:hAnsi="Times New Roman"/>
          <w:sz w:val="22"/>
          <w:szCs w:val="22"/>
          <w:color w:val="auto"/>
        </w:rPr>
        <w:t>” is defined in Section 2.3(d)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is defined in Section 5.21(b)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PBGC</w:t>
      </w:r>
      <w:r>
        <w:rPr>
          <w:rFonts w:ascii="Times New Roman" w:cs="Times New Roman" w:eastAsia="Times New Roman" w:hAnsi="Times New Roman"/>
          <w:sz w:val="22"/>
          <w:szCs w:val="22"/>
          <w:color w:val="auto"/>
        </w:rPr>
        <w:t>” means the Pension Benefit Guaranty Corporation or any Person succeeding to any or all of its functions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 ERISA.</w:t>
      </w:r>
    </w:p>
    <w:p>
      <w:pPr>
        <w:spacing w:after="0" w:line="192" w:lineRule="exact"/>
        <w:rPr>
          <w:sz w:val="20"/>
          <w:szCs w:val="20"/>
          <w:color w:val="auto"/>
        </w:rPr>
      </w:pPr>
    </w:p>
    <w:p>
      <w:pPr>
        <w:ind w:right="60" w:firstLine="1297"/>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Percentage</w:t>
      </w:r>
      <w:r>
        <w:rPr>
          <w:rFonts w:ascii="Times New Roman" w:cs="Times New Roman" w:eastAsia="Times New Roman" w:hAnsi="Times New Roman"/>
          <w:sz w:val="21"/>
          <w:szCs w:val="21"/>
          <w:color w:val="auto"/>
        </w:rPr>
        <w:t>” means for any Lender its Revolver Percentage or Term Loan Percentage, as applicable; and where the term “Percentage” is applied on an aggregate basis, such aggregate percentage shall be calculated by aggregating the separate components of the Revolver Percentage and Term Loan Percentage, and expressing such components on a single percentage basis.</w:t>
      </w:r>
    </w:p>
    <w:p>
      <w:pPr>
        <w:spacing w:after="0" w:line="150" w:lineRule="exact"/>
        <w:rPr>
          <w:sz w:val="20"/>
          <w:szCs w:val="20"/>
          <w:color w:val="auto"/>
        </w:rPr>
      </w:pPr>
    </w:p>
    <w:p>
      <w:pPr>
        <w:ind w:right="1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Perfection Certificate</w:t>
      </w:r>
      <w:r>
        <w:rPr>
          <w:rFonts w:ascii="Times New Roman" w:cs="Times New Roman" w:eastAsia="Times New Roman" w:hAnsi="Times New Roman"/>
          <w:sz w:val="22"/>
          <w:szCs w:val="22"/>
          <w:color w:val="auto"/>
        </w:rPr>
        <w:t>” means the perfection certificate dated as of the Escrow Release Date executed by the Loan Parties, in form and substance reasonably satisfactory to the Collateral Agent.</w:t>
      </w:r>
    </w:p>
    <w:p>
      <w:pPr>
        <w:spacing w:after="0" w:line="150" w:lineRule="exact"/>
        <w:rPr>
          <w:sz w:val="20"/>
          <w:szCs w:val="20"/>
          <w:color w:val="auto"/>
        </w:rPr>
      </w:pPr>
    </w:p>
    <w:p>
      <w:pPr>
        <w:ind w:right="5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Acquisition</w:t>
      </w:r>
      <w:r>
        <w:rPr>
          <w:rFonts w:ascii="Times New Roman" w:cs="Times New Roman" w:eastAsia="Times New Roman" w:hAnsi="Times New Roman"/>
          <w:sz w:val="22"/>
          <w:szCs w:val="22"/>
          <w:color w:val="auto"/>
        </w:rPr>
        <w:t>” means any Acquisition by the Borrower or a Restricted Subsidiary that is a Domestic Subsidiary with respect to which all of the following conditions shall have been satisfied:</w:t>
      </w:r>
    </w:p>
    <w:p>
      <w:pPr>
        <w:spacing w:after="0" w:line="154" w:lineRule="exact"/>
        <w:rPr>
          <w:sz w:val="20"/>
          <w:szCs w:val="20"/>
          <w:color w:val="auto"/>
        </w:rPr>
      </w:pPr>
    </w:p>
    <w:p>
      <w:pPr>
        <w:ind w:left="1760" w:hanging="455"/>
        <w:spacing w:after="0"/>
        <w:tabs>
          <w:tab w:leader="none" w:pos="176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Acquisition, the Borrower is in compliance with Section 6.13 hereof;</w:t>
      </w:r>
    </w:p>
    <w:p>
      <w:pPr>
        <w:spacing w:after="0" w:line="219" w:lineRule="exact"/>
        <w:rPr>
          <w:rFonts w:ascii="Times New Roman" w:cs="Times New Roman" w:eastAsia="Times New Roman" w:hAnsi="Times New Roman"/>
          <w:sz w:val="22"/>
          <w:szCs w:val="22"/>
          <w:color w:val="auto"/>
        </w:rPr>
      </w:pPr>
    </w:p>
    <w:p>
      <w:pPr>
        <w:ind w:left="660" w:right="60" w:firstLine="645"/>
        <w:spacing w:after="0" w:line="262" w:lineRule="auto"/>
        <w:tabs>
          <w:tab w:leader="none" w:pos="1776"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during any Secured Covenants Period, the Total Consideration for any acquired business that does not become a Guarantor (or the assets of which are not acquired by the Borrower or a Guarantor), when taken together with the Total Consideration for all such acquired businesses acquired after the Escrow Release Date, does not exceed the sum of</w:t>
      </w:r>
    </w:p>
    <w:p>
      <w:pPr>
        <w:spacing w:after="0" w:line="2" w:lineRule="exact"/>
        <w:rPr>
          <w:rFonts w:ascii="Times New Roman" w:cs="Times New Roman" w:eastAsia="Times New Roman" w:hAnsi="Times New Roman"/>
          <w:sz w:val="21"/>
          <w:szCs w:val="21"/>
          <w:color w:val="auto"/>
        </w:rPr>
      </w:pPr>
    </w:p>
    <w:p>
      <w:pPr>
        <w:ind w:left="660" w:hanging="4"/>
        <w:spacing w:after="0" w:line="256" w:lineRule="auto"/>
        <w:tabs>
          <w:tab w:leader="none" w:pos="91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greater of $350 million and 1.25% of Consolidated Total Assets (measured as of the date of such Acquisition and calculated on a Pro Forma Basis as of the last day of the most recently ended period of four consecutive fiscal quarters for which financial statements have been or were required to be delivered pursuant to Section 6.1(a) or (b))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the Available Amount at such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(iii) amounts available under Section 6.17(f)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(iv) amounts available under Sections 6.17(d) and 6.17(e);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clause (b) shall not apply to the extent (x) the relevant Acquisition is made with proceeds of sales of, or contributions to, the common equity of the Borrower or (y) (1) the Person so acquired (or the Persons owning such assets so acquired) (A) has its primary headquarters in the United States, (B) is organized under the Applicable Laws of the United States, any state thereof, or the District of Columbia and (C) becomes a Guarantor even though such Person owns Equity Interests in Persons that are not otherwise required to become Guarantors and (2) the assets owned by subsidiaries of such Person that do not become Guarantors do not comprise more than</w:t>
      </w:r>
    </w:p>
    <w:p>
      <w:pPr>
        <w:sectPr>
          <w:pgSz w:w="11900" w:h="16838" w:orient="portrait"/>
          <w:cols w:equalWidth="0" w:num="1">
            <w:col w:w="11380"/>
          </w:cols>
          <w:pgMar w:left="240" w:top="621" w:right="279" w:bottom="1440" w:gutter="0" w:footer="0" w:header="0"/>
        </w:sectPr>
      </w:pPr>
    </w:p>
    <w:bookmarkStart w:id="161" w:name="page162"/>
    <w:bookmarkEnd w:id="161"/>
    <w:p>
      <w:pPr>
        <w:ind w:left="660"/>
        <w:spacing w:after="0"/>
        <w:rPr>
          <w:sz w:val="20"/>
          <w:szCs w:val="20"/>
          <w:color w:val="auto"/>
        </w:rPr>
      </w:pPr>
      <w:r>
        <w:rPr>
          <w:rFonts w:ascii="Times New Roman" w:cs="Times New Roman" w:eastAsia="Times New Roman" w:hAnsi="Times New Roman"/>
          <w:sz w:val="22"/>
          <w:szCs w:val="22"/>
          <w:color w:val="auto"/>
        </w:rPr>
        <w:t>40% of the assets of the consolidated target (determined by reference to the book value of such assets);</w:t>
      </w:r>
    </w:p>
    <w:p>
      <w:pPr>
        <w:spacing w:after="0" w:line="220" w:lineRule="exact"/>
        <w:rPr>
          <w:sz w:val="20"/>
          <w:szCs w:val="20"/>
          <w:color w:val="auto"/>
        </w:rPr>
      </w:pPr>
    </w:p>
    <w:p>
      <w:pPr>
        <w:jc w:val="both"/>
        <w:ind w:left="660" w:right="260" w:firstLine="645"/>
        <w:spacing w:after="0" w:line="257" w:lineRule="auto"/>
        <w:tabs>
          <w:tab w:leader="none" w:pos="176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new Subsidiary (other than an Excluded Subsidiary) is formed or acquired as a result of or in connection with the Acquisition, such new Subsidiary shall be a Domestic Subsidiary and the Borrower shall have complied with the requirements of Article 4 hereof in connection therewith (as and when required by Article 4); and</w:t>
      </w:r>
    </w:p>
    <w:p>
      <w:pPr>
        <w:spacing w:after="0" w:line="173" w:lineRule="exact"/>
        <w:rPr>
          <w:rFonts w:ascii="Times New Roman" w:cs="Times New Roman" w:eastAsia="Times New Roman" w:hAnsi="Times New Roman"/>
          <w:sz w:val="22"/>
          <w:szCs w:val="22"/>
          <w:color w:val="auto"/>
        </w:rPr>
      </w:pPr>
    </w:p>
    <w:p>
      <w:pPr>
        <w:ind w:left="660" w:firstLine="645"/>
        <w:spacing w:after="0" w:line="257" w:lineRule="auto"/>
        <w:tabs>
          <w:tab w:leader="none" w:pos="177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no Event of Default (or in the case of Permitted Acquisitions whose consummation is not conditioned on the availability of, or on obtaining, third party financing and for which third party financing is committed or otherwise obtained, no Event of Default under Section 7.1(a), (j) or (k)) shall exist and (ii) the Borrower and its Restricted Subsidiaries shall be in compliance, on a Pro Forma Basis, with the financial covenants set forth in Section 6.22, recomputed as of the last day of the most recently completed period for which financial statements have been or were required to be delivered pursuant to Section 6.1(a) or (b), in the case of each of clauses (i) and (ii), on the date the relevant Acquisition is consummated and after giving effect thereto, or, at the Borrower’s election, the date of the signing of the acquisition agreement with respect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Borrower has made such an election, in connection with the calculation of any ratio with respect to the incurrence of Indebtedness or Liens, or the making of investments, Distributions, Restricted Debt Payments, asset sales, fundamental changes or the designation of an Unrestricted Subsidiary on or following such date and until the earlier of the date on which such Acquisition is consummated or the definitive agreement for such Acquisition is terminated or expires, such ratio shall be calculated on a Pro Forma Basis assuming such Acquisition and any other Specified Transactions in connection therewith (including the incurrence of Indebtedness) have been consummated, except to the extent such calculation would result in a lower Leverage Ratio or Senior Secured Leverage Ratio or a higher ratio of Consolidated Adjusted EBITDA to Interest Expense than would apply if such calculation was made without giving Pro Forma Effect to such Acquisition, other Specified Transactions and Indebtedness.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Liens</w:t>
      </w:r>
      <w:r>
        <w:rPr>
          <w:rFonts w:ascii="Times New Roman" w:cs="Times New Roman" w:eastAsia="Times New Roman" w:hAnsi="Times New Roman"/>
          <w:sz w:val="22"/>
          <w:szCs w:val="22"/>
          <w:color w:val="auto"/>
        </w:rPr>
        <w:t>” is defined in Section 6.15 hereof.</w:t>
      </w:r>
    </w:p>
    <w:p>
      <w:pPr>
        <w:spacing w:after="0" w:line="220" w:lineRule="exact"/>
        <w:rPr>
          <w:sz w:val="20"/>
          <w:szCs w:val="20"/>
          <w:color w:val="auto"/>
        </w:rPr>
      </w:pPr>
    </w:p>
    <w:p>
      <w:pPr>
        <w:ind w:right="60"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Receivables Financing</w:t>
      </w:r>
      <w:r>
        <w:rPr>
          <w:rFonts w:ascii="Times New Roman" w:cs="Times New Roman" w:eastAsia="Times New Roman" w:hAnsi="Times New Roman"/>
          <w:sz w:val="22"/>
          <w:szCs w:val="22"/>
          <w:color w:val="auto"/>
        </w:rPr>
        <w:t>” means any transaction or series of transactions that may be entered into by the Borrower or any Restricted Subsidiary pursuant to which it sells, conveys or contributes to capital or otherwise transfers (which sale, conveyance, contribution to capital or transfer may include or be supported by the grant of a security interest in) Receivables or interests therein and all collateral securing such Receivables, all contracts and contract rights, purchase orders, security interests, financing statements or other documentation in respect of such Receivables, any guarantees, indemnities, warranties or other obligations in respect of such Receivables, any other assets that are customarily transferred or in respect of which security interests are customarily granted in connection with asset securitization</w:t>
      </w:r>
    </w:p>
    <w:p>
      <w:pPr>
        <w:sectPr>
          <w:pgSz w:w="11900" w:h="16838" w:orient="portrait"/>
          <w:cols w:equalWidth="0" w:num="1">
            <w:col w:w="11420"/>
          </w:cols>
          <w:pgMar w:left="240" w:top="625" w:right="239" w:bottom="1440" w:gutter="0" w:footer="0" w:header="0"/>
        </w:sectPr>
      </w:pPr>
    </w:p>
    <w:bookmarkStart w:id="162" w:name="page163"/>
    <w:bookmarkEnd w:id="162"/>
    <w:p>
      <w:pPr>
        <w:spacing w:after="0" w:line="257" w:lineRule="auto"/>
        <w:rPr>
          <w:sz w:val="20"/>
          <w:szCs w:val="20"/>
          <w:color w:val="auto"/>
        </w:rPr>
      </w:pPr>
      <w:r>
        <w:rPr>
          <w:rFonts w:ascii="Times New Roman" w:cs="Times New Roman" w:eastAsia="Times New Roman" w:hAnsi="Times New Roman"/>
          <w:sz w:val="21"/>
          <w:szCs w:val="21"/>
          <w:color w:val="auto"/>
        </w:rPr>
        <w:t>transactions involving receivables similar to such Receivables and any collections or proceeds of any of the foregoing (collectively, the “</w:t>
      </w:r>
      <w:r>
        <w:rPr>
          <w:rFonts w:ascii="Times New Roman" w:cs="Times New Roman" w:eastAsia="Times New Roman" w:hAnsi="Times New Roman"/>
          <w:sz w:val="21"/>
          <w:szCs w:val="21"/>
          <w:i w:val="1"/>
          <w:iCs w:val="1"/>
          <w:color w:val="auto"/>
        </w:rPr>
        <w:t>Related Assets</w:t>
      </w:r>
      <w:r>
        <w:rPr>
          <w:rFonts w:ascii="Times New Roman" w:cs="Times New Roman" w:eastAsia="Times New Roman" w:hAnsi="Times New Roman"/>
          <w:sz w:val="21"/>
          <w:szCs w:val="21"/>
          <w:color w:val="auto"/>
        </w:rPr>
        <w:t xml:space="preserve">”), all of which such sales, conveyances, contributions to capital or transfers shall be made by the transferor for fair value as reasonably determined by the Borrower (calculated in a manner typical for such transactions including a fair market discount from the face value of such Receivables) (a) to a trust, partnership, corporation or other Person (other than the Borrower or any Subsidiary other than any Receivables Financing Subsidiary), which transfer is funded in whole or in part, directly or indirectly, by the incurrence or issuance by the transferee or any successor transferee of Indebtedness, fractional undivided interests or other securities that are to receive payments from, or that represent interests in, the cash flow derived from such Receivables and Related Assets or interests in such Receivables and Related Assets, or (b) directly to one or more investors or other purchasers (other than the Borrower or any Subsidiary), it being understood that a Permitted Receivables Financing may involve (i) one or more sequential transfers or pledges of the same Receivables and Related Assets, or interests therein (such as a sale, conveyance or other transfer to any Receivables Financing Subsidiary followed by a pledge of the transferred Receivables and Related Assets to secure Indebtedness incurred by the Receivables Financing Subsidiary), and all such transfers, pledges and Indebtedness incurrences shall be part of and constitute a single Permitted Receivables Financing, and (ii) periodic transfers or pledges of Receivables and/or revolving transactions in which new Receivables and Related Assets, or interests therein, are transferred or pledged upon collection of previously transferred or pledged Receivables and Related Assets, or interests therein,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transactions shall provide for recourse to such Subsidiary (other than any Receivables Financing Subsidiary) or the Borrower (as applicable) only in respect of the cash flows in respect of such Receivables and Related Assets and to the extent of breaches of representations and warranties relating to the Receivables, dilution of the Receivables, customary indemnities and other customary securitization undertakings in the jurisdiction relevant to such transactions.</w:t>
      </w:r>
    </w:p>
    <w:p>
      <w:pPr>
        <w:spacing w:after="0" w:line="174" w:lineRule="exact"/>
        <w:rPr>
          <w:sz w:val="20"/>
          <w:szCs w:val="20"/>
          <w:color w:val="auto"/>
        </w:rPr>
      </w:pPr>
    </w:p>
    <w:p>
      <w:pPr>
        <w:ind w:right="14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Person</w:t>
      </w:r>
      <w:r>
        <w:rPr>
          <w:rFonts w:ascii="Times New Roman" w:cs="Times New Roman" w:eastAsia="Times New Roman" w:hAnsi="Times New Roman"/>
          <w:sz w:val="21"/>
          <w:szCs w:val="21"/>
          <w:color w:val="auto"/>
        </w:rPr>
        <w:t>” means any natural person, partnership, corporation, limited liability company, association, trust, unincorporated organization or any other entity or organization, including a government or agency or political subdivision thereof.</w:t>
      </w:r>
    </w:p>
    <w:p>
      <w:pPr>
        <w:spacing w:after="0" w:line="128" w:lineRule="exact"/>
        <w:rPr>
          <w:sz w:val="20"/>
          <w:szCs w:val="20"/>
          <w:color w:val="auto"/>
        </w:rPr>
      </w:pPr>
    </w:p>
    <w:p>
      <w:pPr>
        <w:ind w:right="60"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means any “employee pension benefit plan” covered by Title IV of ERISA or subject to the minimum funding standards under Section 412 of the Code that either (a) is maintained by a member of the Controlled Group (including the Borrower) for current or former employees of a member of the Controlled Group (including the Borrower) or (b) is maintained pursuant to a collective bargaining agreement or any other arrangement under which more than one (1) employer makes contributions and to which a member of the Controlled Group (including the Borrower) is then making or accruing an obligation to make contributions or has within the preceding five (5) plan years made contributions or, in either case, under which a member of the Controlled Group (including the Borrower) is reasonably expected to incur liability.</w:t>
      </w:r>
    </w:p>
    <w:p>
      <w:pPr>
        <w:sectPr>
          <w:pgSz w:w="11900" w:h="16838" w:orient="portrait"/>
          <w:cols w:equalWidth="0" w:num="1">
            <w:col w:w="11420"/>
          </w:cols>
          <w:pgMar w:left="240" w:top="625" w:right="239" w:bottom="1440" w:gutter="0" w:footer="0" w:header="0"/>
        </w:sectPr>
      </w:pPr>
    </w:p>
    <w:bookmarkStart w:id="163" w:name="page164"/>
    <w:bookmarkEnd w:id="16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Planned Expenditures</w:t>
      </w:r>
      <w:r>
        <w:rPr>
          <w:rFonts w:ascii="Times New Roman" w:cs="Times New Roman" w:eastAsia="Times New Roman" w:hAnsi="Times New Roman"/>
          <w:sz w:val="22"/>
          <w:szCs w:val="22"/>
          <w:color w:val="auto"/>
        </w:rPr>
        <w:t>” shall have the meaning assigned to such term in the definition of the term “Excess Cash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Flow.”</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Platform</w:t>
      </w:r>
      <w:r>
        <w:rPr>
          <w:rFonts w:ascii="Times New Roman" w:cs="Times New Roman" w:eastAsia="Times New Roman" w:hAnsi="Times New Roman"/>
          <w:sz w:val="22"/>
          <w:szCs w:val="22"/>
          <w:color w:val="auto"/>
        </w:rPr>
        <w:t>” has the meaning assigned to such term in Section 10.25.</w:t>
      </w:r>
    </w:p>
    <w:p>
      <w:pPr>
        <w:spacing w:after="0" w:line="220" w:lineRule="exact"/>
        <w:rPr>
          <w:sz w:val="20"/>
          <w:szCs w:val="20"/>
          <w:color w:val="auto"/>
        </w:rPr>
      </w:pPr>
    </w:p>
    <w:p>
      <w:pPr>
        <w:ind w:right="16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Post-Transaction Period</w:t>
      </w:r>
      <w:r>
        <w:rPr>
          <w:rFonts w:ascii="Times New Roman" w:cs="Times New Roman" w:eastAsia="Times New Roman" w:hAnsi="Times New Roman"/>
          <w:sz w:val="22"/>
          <w:szCs w:val="22"/>
          <w:color w:val="auto"/>
        </w:rPr>
        <w:t>” means, with respect to any Specified Transaction, the period beginning on the date such Specified Transaction is consummated and ending on the last day of the fourth full consecutive fiscal quarter immediately following the date on which such Specified Transaction is consummated.</w:t>
      </w:r>
    </w:p>
    <w:p>
      <w:pPr>
        <w:spacing w:after="0" w:line="167" w:lineRule="exact"/>
        <w:rPr>
          <w:sz w:val="20"/>
          <w:szCs w:val="20"/>
          <w:color w:val="auto"/>
        </w:rPr>
      </w:pPr>
    </w:p>
    <w:p>
      <w:pPr>
        <w:ind w:right="1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Prime Rate</w:t>
      </w:r>
      <w:r>
        <w:rPr>
          <w:rFonts w:ascii="Times New Roman" w:cs="Times New Roman" w:eastAsia="Times New Roman" w:hAnsi="Times New Roman"/>
          <w:sz w:val="22"/>
          <w:szCs w:val="22"/>
          <w:color w:val="auto"/>
        </w:rPr>
        <w:t>” means the rate of interest per annum determined by JPMorgan Chase Bank, N.A. as its prime rate in effect at its principal office in New York City and notified to the Borrower (the Prime Rate not being intended to be the lowest rate of interest charged by JPMorgan Chase Bank, N.A. in connection with extensions of credit to debtors).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Priority Debt</w:t>
      </w:r>
      <w:r>
        <w:rPr>
          <w:rFonts w:ascii="Times New Roman" w:cs="Times New Roman" w:eastAsia="Times New Roman" w:hAnsi="Times New Roman"/>
          <w:sz w:val="22"/>
          <w:szCs w:val="22"/>
          <w:color w:val="auto"/>
        </w:rPr>
        <w:t>” has the meaning assigned to such term in Section 6.14(II)(x).</w:t>
      </w:r>
    </w:p>
    <w:p>
      <w:pPr>
        <w:spacing w:after="0" w:line="220" w:lineRule="exact"/>
        <w:rPr>
          <w:sz w:val="20"/>
          <w:szCs w:val="20"/>
          <w:color w:val="auto"/>
        </w:rPr>
      </w:pPr>
    </w:p>
    <w:p>
      <w:pPr>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 Forma Adjustment</w:t>
      </w:r>
      <w:r>
        <w:rPr>
          <w:rFonts w:ascii="Times New Roman" w:cs="Times New Roman" w:eastAsia="Times New Roman" w:hAnsi="Times New Roman"/>
          <w:sz w:val="22"/>
          <w:szCs w:val="22"/>
          <w:color w:val="auto"/>
        </w:rPr>
        <w:t xml:space="preserve">” means, for any period that includes all or any part of a fiscal quarter included in any Post-Transaction Period, the pro forma increase or decrease in Consolidated Adjusted EBITDA projected by the Borrower in good faith based on the Borrower’s reasonable assumptions (as set forth in a Pro Forma Adjustment Certificate, if applicable) as a result of (a) actions taken, prior to or during such Post-Transaction Period, for the purposes of realizing reasonably identifiable and factually supportable cost savings within 18 months of the date thereof, or (b) any additional costs incurred prior to or during such Post-Transaction Period to effect operating expense reductions and other operating improvements or synergies reasonably expected to result from a Specified Transaction;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Consolidated Adjusted EBITDA, that such cost savings will be realizable during the entirety of such period, or such additional costs will be incurred during the entirety of such period, and (B) any such pro forma increase or decrease to Consolidated Adjusted EBITDA shall be without duplication for cost savings or additional costs already included in Consolidated Adjusted EBITDA for such period. Notwithstanding the foregoing, any Pro Forma Adjustment to Consolidated Adjusted EBITDA for any period, together with any amounts added back pursuant to clauses (a)(viii) and (a)(xii) of the definition of “Consolidated Adjusted EBITDA” for such period, shall not exceed the greater of $500 million and 15% of Consolidated Adjusted EBITDA for such period (calculated prior to such add-back).</w:t>
      </w:r>
    </w:p>
    <w:p>
      <w:pPr>
        <w:spacing w:after="0" w:line="191" w:lineRule="exact"/>
        <w:rPr>
          <w:sz w:val="20"/>
          <w:szCs w:val="20"/>
          <w:color w:val="auto"/>
        </w:rPr>
      </w:pPr>
    </w:p>
    <w:p>
      <w:pPr>
        <w:ind w:right="8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Pro Forma Adjustment Certificate</w:t>
      </w:r>
      <w:r>
        <w:rPr>
          <w:rFonts w:ascii="Times New Roman" w:cs="Times New Roman" w:eastAsia="Times New Roman" w:hAnsi="Times New Roman"/>
          <w:sz w:val="21"/>
          <w:szCs w:val="21"/>
          <w:color w:val="auto"/>
        </w:rPr>
        <w:t>” means any certificate by the chief financial officer or treasurer of the Borrower or any other officer of the Borrower reasonably acceptable to the Administrative Agent delivered pursuant to Section 6.1(h).</w:t>
      </w:r>
    </w:p>
    <w:p>
      <w:pPr>
        <w:sectPr>
          <w:pgSz w:w="11900" w:h="16838" w:orient="portrait"/>
          <w:cols w:equalWidth="0" w:num="1">
            <w:col w:w="11420"/>
          </w:cols>
          <w:pgMar w:left="240" w:top="622" w:right="239" w:bottom="1440" w:gutter="0" w:footer="0" w:header="0"/>
        </w:sectPr>
      </w:pPr>
    </w:p>
    <w:bookmarkStart w:id="164" w:name="page165"/>
    <w:bookmarkEnd w:id="164"/>
    <w:p>
      <w:pPr>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 Forma Basis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Pro Forma Compliance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Pro Forma Effect</w:t>
      </w:r>
      <w:r>
        <w:rPr>
          <w:rFonts w:ascii="Times New Roman" w:cs="Times New Roman" w:eastAsia="Times New Roman" w:hAnsi="Times New Roman"/>
          <w:sz w:val="22"/>
          <w:szCs w:val="22"/>
          <w:color w:val="auto"/>
        </w:rPr>
        <w:t xml:space="preserve">” means, with respect to compliance with any test or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sale, transfer or other disposition of all or substantially all capital stock in any Subsidiary of the Borrower or any division or product line of the Borrower or any of its Subsidiaries, shall be excluded, and (ii) in the case of a Permitted Acquisition or investment described in the definition of the term “Specified Transaction,” shall be included, (b) any retirement or repayment of Indebtedness, (c) any Indebtedness incurred by the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at the relevant date of determination and (d) the acquisition of any Consolidated Total Assets, whether pursuant to any Specified Transaction or any Person becoming a Subsidiary or merging, amalgamating or consolidating with or into the Borrower or any of its Subsidiaries or the Borrower or any of its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without limiting the application of the Pro Forma Adjustment pursuant to clause (A) above (but without duplication thereof or in addition thereto), the foregoing pro forma adjustments described in clause (a) above may be applied to any such test or covenant solely to the extent that such adjustments are consistent with the definition of “Consolidated Adjusted EBITDA” and give effect to events (including operating expense reductions) that are (i) (x) directly attributable to such transaction, (y) expected to have a continuing impact on the Borrower and its Subsidiaries and (z) factually supportable or (ii) otherwise consistent with the definition of the term “Pro Forma Adjustment.”</w:t>
      </w:r>
    </w:p>
    <w:p>
      <w:pPr>
        <w:spacing w:after="0" w:line="185" w:lineRule="exact"/>
        <w:rPr>
          <w:sz w:val="20"/>
          <w:szCs w:val="20"/>
          <w:color w:val="auto"/>
        </w:rPr>
      </w:pPr>
    </w:p>
    <w:p>
      <w:pPr>
        <w:ind w:right="40" w:firstLine="1297"/>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Prohibited Lender</w:t>
      </w:r>
      <w:r>
        <w:rPr>
          <w:rFonts w:ascii="Times New Roman" w:cs="Times New Roman" w:eastAsia="Times New Roman" w:hAnsi="Times New Roman"/>
          <w:sz w:val="21"/>
          <w:szCs w:val="21"/>
          <w:color w:val="auto"/>
        </w:rPr>
        <w:t>” means (a) any Person identified in writing upon two (2) Business Days’ notice by the Borrower to the Administrative Agent that is at the time a competitor of the Borrower or any of its Subsidiaries or (b) any Affiliate of any Person described in clause (a) to the extent such Affiliate is clearly identifiable solely on the basis of the similarity of such Affiliate’s name to any Person described in clause (a) (but excluding any Affiliate of such Person that is a bona fide debt fund or investment vehicle that is primarily engaged, or that advises funds or other investment vehicles that are engaged in, making, purchasing, holding or otherwise investing in commercial loans, bonds and similar extensions of credit or securities in the ordinary course and with respect to which such Person does not, directly or indirectly, possess the power to direct or cause the direction of the investment policies of such entity), in each case, solely to the extent the list of Prohibited Lenders described in clause (a) is made available to all Lenders (either by the Borrower or by the Administrative Agent with the Borrower’s express authorization) on the Platform); it being understood that to the extent the Borrower provides such list (or any supplement thereto) to the Administrative Agent, the Administrative Agent is authorized to and shall post such list (and any such supplement thereto))</w:t>
      </w:r>
    </w:p>
    <w:p>
      <w:pPr>
        <w:sectPr>
          <w:pgSz w:w="11900" w:h="16838" w:orient="portrait"/>
          <w:cols w:equalWidth="0" w:num="1">
            <w:col w:w="11420"/>
          </w:cols>
          <w:pgMar w:left="240" w:top="621" w:right="239" w:bottom="1440" w:gutter="0" w:footer="0" w:header="0"/>
        </w:sectPr>
      </w:pPr>
    </w:p>
    <w:bookmarkStart w:id="165" w:name="page166"/>
    <w:bookmarkEnd w:id="165"/>
    <w:p>
      <w:pPr>
        <w:ind w:right="320"/>
        <w:spacing w:after="0" w:line="275" w:lineRule="auto"/>
        <w:rPr>
          <w:sz w:val="20"/>
          <w:szCs w:val="20"/>
          <w:color w:val="auto"/>
        </w:rPr>
      </w:pPr>
      <w:r>
        <w:rPr>
          <w:rFonts w:ascii="Times New Roman" w:cs="Times New Roman" w:eastAsia="Times New Roman" w:hAnsi="Times New Roman"/>
          <w:sz w:val="22"/>
          <w:szCs w:val="22"/>
          <w:color w:val="auto"/>
        </w:rPr>
        <w:t xml:space="preserve">on the Platform;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supplement to the list of Prohibited Lenders described in clause (a) shall apply retroactively to disqualify any Persons that have previously acquired an assignment or participation interest in the Loans.</w:t>
      </w:r>
    </w:p>
    <w:p>
      <w:pPr>
        <w:spacing w:after="0" w:line="150"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Property</w:t>
      </w:r>
      <w:r>
        <w:rPr>
          <w:rFonts w:ascii="Times New Roman" w:cs="Times New Roman" w:eastAsia="Times New Roman" w:hAnsi="Times New Roman"/>
          <w:sz w:val="22"/>
          <w:szCs w:val="22"/>
          <w:color w:val="auto"/>
        </w:rPr>
        <w:t>” means, as to any Person, all types of real, personal, tangible, intangible or mixed property owned by such Person whether or not included in the most recent balance sheet of such Person and its Subsidiaries under GAAP.</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Public Lender</w:t>
      </w:r>
      <w:r>
        <w:rPr>
          <w:rFonts w:ascii="Times New Roman" w:cs="Times New Roman" w:eastAsia="Times New Roman" w:hAnsi="Times New Roman"/>
          <w:sz w:val="22"/>
          <w:szCs w:val="22"/>
          <w:color w:val="auto"/>
        </w:rPr>
        <w:t>” has the meaning assigned to such term in Section 10.25(a).</w:t>
      </w:r>
    </w:p>
    <w:p>
      <w:pPr>
        <w:spacing w:after="0" w:line="220" w:lineRule="exact"/>
        <w:rPr>
          <w:sz w:val="20"/>
          <w:szCs w:val="20"/>
          <w:color w:val="auto"/>
        </w:rPr>
      </w:pPr>
    </w:p>
    <w:p>
      <w:pPr>
        <w:ind w:right="20"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Acquisition</w:t>
      </w:r>
      <w:r>
        <w:rPr>
          <w:rFonts w:ascii="Times New Roman" w:cs="Times New Roman" w:eastAsia="Times New Roman" w:hAnsi="Times New Roman"/>
          <w:sz w:val="22"/>
          <w:szCs w:val="22"/>
          <w:color w:val="auto"/>
        </w:rPr>
        <w:t xml:space="preserve">” means an Acquisition (a) of (i) assets comprising all or substantially all or any significant portion of a business or an operating unit or division of a business or (ii) at least a majority (in number of votes) of the capital stock or other Equity Interests of a Person, (b) the aggregate cash consideration for which equals or exceeds $200 million, (c) the Leverage Ratio after giving Pro Forma Effect to such Qualified Acquisition is greater than the Leverage Ratio immediately prior to such Qualified Acquisition and (d) that the Borrower notifies the Administrative Agent in writing at least five (5)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Borrower setting forth a calculation of (x) the Leverage Ratio immediately prior to such Qualified Acquisition and (y) the Leverage Ratio after giving Pro Forma Effect to such Qualified Acquisition for any Formula Based Increase;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Borrower publicly announces such Acquisition later than five (5) Business Days prior to consummation of the Acquisition, the Borrower shall deliver such notice (and certificate, if applicable) on the date of announcement.</w:t>
      </w:r>
    </w:p>
    <w:p>
      <w:pPr>
        <w:spacing w:after="0" w:line="184" w:lineRule="exact"/>
        <w:rPr>
          <w:sz w:val="20"/>
          <w:szCs w:val="20"/>
          <w:color w:val="auto"/>
        </w:rPr>
      </w:pPr>
    </w:p>
    <w:p>
      <w:pPr>
        <w:ind w:right="14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Public Offering</w:t>
      </w:r>
      <w:r>
        <w:rPr>
          <w:rFonts w:ascii="Times New Roman" w:cs="Times New Roman" w:eastAsia="Times New Roman" w:hAnsi="Times New Roman"/>
          <w:sz w:val="22"/>
          <w:szCs w:val="22"/>
          <w:color w:val="auto"/>
        </w:rPr>
        <w:t>” means the issuance by the Borrower of its common Equity Interests in an underwritten primary public offering (other than a public offering pursuant to a registration statement on Form S-8) pursuant to an effective registration statement filed with the U.S. Securities and Exchange Commission in accordance with the Securities Act of 1933, as amended.</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Ratio-Based Incremental Amount</w:t>
      </w:r>
      <w:r>
        <w:rPr>
          <w:rFonts w:ascii="Times New Roman" w:cs="Times New Roman" w:eastAsia="Times New Roman" w:hAnsi="Times New Roman"/>
          <w:sz w:val="22"/>
          <w:szCs w:val="22"/>
          <w:color w:val="auto"/>
        </w:rPr>
        <w:t>” is defined in Section 2.14(b) herein.</w:t>
      </w:r>
    </w:p>
    <w:p>
      <w:pPr>
        <w:spacing w:after="0" w:line="220" w:lineRule="exact"/>
        <w:rPr>
          <w:sz w:val="20"/>
          <w:szCs w:val="20"/>
          <w:color w:val="auto"/>
        </w:rPr>
      </w:pPr>
    </w:p>
    <w:p>
      <w:pPr>
        <w:ind w:right="6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RCRA</w:t>
      </w:r>
      <w:r>
        <w:rPr>
          <w:rFonts w:ascii="Times New Roman" w:cs="Times New Roman" w:eastAsia="Times New Roman" w:hAnsi="Times New Roman"/>
          <w:sz w:val="22"/>
          <w:szCs w:val="22"/>
          <w:color w:val="auto"/>
        </w:rPr>
        <w:t xml:space="preserve">” means the Solid Waste Disposal Act, as amended by the Resource Conservation and Recovery Act of 1976 and Hazardous and Solid Waste Amendments of 1984, 42 U.S.C. §§ 6901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any future amendments.</w:t>
      </w:r>
    </w:p>
    <w:p>
      <w:pPr>
        <w:spacing w:after="0" w:line="150" w:lineRule="exact"/>
        <w:rPr>
          <w:sz w:val="20"/>
          <w:szCs w:val="20"/>
          <w:color w:val="auto"/>
        </w:rPr>
      </w:pPr>
    </w:p>
    <w:p>
      <w:pPr>
        <w:ind w:right="5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w:t>
      </w:r>
      <w:r>
        <w:rPr>
          <w:rFonts w:ascii="Times New Roman" w:cs="Times New Roman" w:eastAsia="Times New Roman" w:hAnsi="Times New Roman"/>
          <w:sz w:val="22"/>
          <w:szCs w:val="22"/>
          <w:color w:val="auto"/>
        </w:rPr>
        <w:t>” means accounts receivable (including all rights to payment created by or arising from the sale of goods, leases of goods or the rendition of services, no matter how evidenced (including in the form of a chattel paper)).</w:t>
      </w:r>
    </w:p>
    <w:p>
      <w:pPr>
        <w:sectPr>
          <w:pgSz w:w="11900" w:h="16838" w:orient="portrait"/>
          <w:cols w:equalWidth="0" w:num="1">
            <w:col w:w="11400"/>
          </w:cols>
          <w:pgMar w:left="240" w:top="621" w:right="259" w:bottom="1440" w:gutter="0" w:footer="0" w:header="0"/>
        </w:sectPr>
      </w:pPr>
    </w:p>
    <w:bookmarkStart w:id="166" w:name="page167"/>
    <w:bookmarkEnd w:id="166"/>
    <w:p>
      <w:pPr>
        <w:ind w:right="3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 Financing Subsidiary</w:t>
      </w:r>
      <w:r>
        <w:rPr>
          <w:rFonts w:ascii="Times New Roman" w:cs="Times New Roman" w:eastAsia="Times New Roman" w:hAnsi="Times New Roman"/>
          <w:sz w:val="22"/>
          <w:szCs w:val="22"/>
          <w:color w:val="auto"/>
        </w:rPr>
        <w:t>” means any Wholly-owned Subsidiary of the Borrower formed solely for the purpose of, and that engages only in, one or more Permitted Receivables Financings.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Refinancing Amendment</w:t>
      </w:r>
      <w:r>
        <w:rPr>
          <w:rFonts w:ascii="Times New Roman" w:cs="Times New Roman" w:eastAsia="Times New Roman" w:hAnsi="Times New Roman"/>
          <w:sz w:val="22"/>
          <w:szCs w:val="22"/>
          <w:color w:val="auto"/>
        </w:rPr>
        <w:t>” is defined in Section 2.16(f) hereof.</w:t>
      </w:r>
    </w:p>
    <w:p>
      <w:pPr>
        <w:spacing w:after="0" w:line="220" w:lineRule="exact"/>
        <w:rPr>
          <w:sz w:val="20"/>
          <w:szCs w:val="20"/>
          <w:color w:val="auto"/>
        </w:rPr>
      </w:pPr>
    </w:p>
    <w:p>
      <w:pPr>
        <w:ind w:right="26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Refinancing Indebtedness</w:t>
      </w:r>
      <w:r>
        <w:rPr>
          <w:rFonts w:ascii="Times New Roman" w:cs="Times New Roman" w:eastAsia="Times New Roman" w:hAnsi="Times New Roman"/>
          <w:sz w:val="22"/>
          <w:szCs w:val="22"/>
          <w:color w:val="auto"/>
        </w:rPr>
        <w:t>” means any incurrence by the Borrower or any Restricted Subsidiary of Indebtedness which serves to refund or refinance other Indebtedness or any Indebtedness issued to so refund, replace or refinance (herein, “</w:t>
      </w:r>
      <w:r>
        <w:rPr>
          <w:rFonts w:ascii="Times New Roman" w:cs="Times New Roman" w:eastAsia="Times New Roman" w:hAnsi="Times New Roman"/>
          <w:sz w:val="22"/>
          <w:szCs w:val="22"/>
          <w:i w:val="1"/>
          <w:iCs w:val="1"/>
          <w:color w:val="auto"/>
        </w:rPr>
        <w:t>refinance</w:t>
      </w:r>
      <w:r>
        <w:rPr>
          <w:rFonts w:ascii="Times New Roman" w:cs="Times New Roman" w:eastAsia="Times New Roman" w:hAnsi="Times New Roman"/>
          <w:sz w:val="22"/>
          <w:szCs w:val="22"/>
          <w:color w:val="auto"/>
        </w:rPr>
        <w:t xml:space="preserve">”) such Indebtedness, including, in each case, additional Indebtedness incurred to pay accrued but unpaid interest, premiums (including tender premiums), defeasance costs and fees and expenses in connection therewith;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Refinancing Indebtedness:</w:t>
      </w:r>
    </w:p>
    <w:p>
      <w:pPr>
        <w:spacing w:after="0" w:line="180" w:lineRule="exact"/>
        <w:rPr>
          <w:sz w:val="20"/>
          <w:szCs w:val="20"/>
          <w:color w:val="auto"/>
        </w:rPr>
      </w:pPr>
    </w:p>
    <w:p>
      <w:pPr>
        <w:ind w:left="660" w:right="100" w:hanging="4"/>
        <w:spacing w:after="0" w:line="271" w:lineRule="auto"/>
        <w:tabs>
          <w:tab w:leader="none" w:pos="117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Weighted Average Life to Maturity at the time such Refinancing Indebtedness is incurred which is not less than the remaining Weighted Average Life to Maturity of the Indebtedness being refunded or refinanced;</w:t>
      </w:r>
    </w:p>
    <w:p>
      <w:pPr>
        <w:spacing w:after="0" w:line="153" w:lineRule="exact"/>
        <w:rPr>
          <w:rFonts w:ascii="Times New Roman" w:cs="Times New Roman" w:eastAsia="Times New Roman" w:hAnsi="Times New Roman"/>
          <w:sz w:val="22"/>
          <w:szCs w:val="22"/>
          <w:color w:val="auto"/>
        </w:rPr>
      </w:pPr>
    </w:p>
    <w:p>
      <w:pPr>
        <w:ind w:left="660" w:right="300" w:hanging="4"/>
        <w:spacing w:after="0" w:line="248" w:lineRule="auto"/>
        <w:tabs>
          <w:tab w:leader="none" w:pos="116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such Refinancing Indebtedness refinances Indebtedness that was originally (1) subordinated or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to the Obligations (other than Indebtedness incurred under clause (w) of Section 6.14(I)), such Refinancing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Indebtedness is subordinated or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to the Obligations at least to the same extent as the Indebtedness being refinanced or refunded, (2) secured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or junior basis, such Refinancing Indebtedness is secured only by the Collateral and only to the extent as the Indebtedness being refinanced or refunded (but, for the avoidance of doubt, may be unsecured), (3) secured by assets other than the Collateral, such Refinancing Indebtedness is secured only by assets other than the Collateral or (4) unsecured, such Refinancing Indebtedness is unsecured; and</w:t>
      </w:r>
    </w:p>
    <w:p>
      <w:pPr>
        <w:spacing w:after="0" w:line="186"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include Indebtedness of a non-Loan Party that refinances Indebtedness of a Loan Party.</w:t>
      </w:r>
    </w:p>
    <w:p>
      <w:pPr>
        <w:spacing w:after="0" w:line="216"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Refinancing Notes</w:t>
      </w:r>
      <w:r>
        <w:rPr>
          <w:rFonts w:ascii="Times New Roman" w:cs="Times New Roman" w:eastAsia="Times New Roman" w:hAnsi="Times New Roman"/>
          <w:sz w:val="21"/>
          <w:szCs w:val="21"/>
          <w:color w:val="auto"/>
        </w:rPr>
        <w:t xml:space="preserve">” means any secured or unsecured notes issued by the Borrower or any Guarantor (whether under an indenture or otherwise) and the Indebtedness represented thereby;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100% of the Net Cash Proceeds of such Refinancing Notes are used to permanently reduce Loans and/or replace Commitments no later than three (3) Business Days after the date on which such Refinancing Notes are issued; (b) the principal amount (or accreted value, if applicable) of such Refinancing Notes does not exceed the principal amount (or accreted value, if applicable) of the aggregate portion of the Loans so reduced and/or Commitments so replaced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unpaid accrued interest and premium (including tender premiums) thereon and underwriting discounts, defeasance costs, fees, commissions and expenses); (c) the final maturity date of such Refinancing Notes is on or after the termination date of the Term Loans so reduced or the Revolving Credit Commitments so replaced; (d) the</w:t>
      </w:r>
    </w:p>
    <w:p>
      <w:pPr>
        <w:sectPr>
          <w:pgSz w:w="11900" w:h="16838" w:orient="portrait"/>
          <w:cols w:equalWidth="0" w:num="1">
            <w:col w:w="11400"/>
          </w:cols>
          <w:pgMar w:left="240" w:top="621" w:right="259" w:bottom="1440" w:gutter="0" w:footer="0" w:header="0"/>
        </w:sectPr>
      </w:pPr>
    </w:p>
    <w:bookmarkStart w:id="167" w:name="page168"/>
    <w:bookmarkEnd w:id="167"/>
    <w:p>
      <w:pPr>
        <w:spacing w:after="0" w:line="256" w:lineRule="auto"/>
        <w:rPr>
          <w:sz w:val="20"/>
          <w:szCs w:val="20"/>
          <w:color w:val="auto"/>
        </w:rPr>
      </w:pPr>
      <w:r>
        <w:rPr>
          <w:rFonts w:ascii="Times New Roman" w:cs="Times New Roman" w:eastAsia="Times New Roman" w:hAnsi="Times New Roman"/>
          <w:sz w:val="21"/>
          <w:szCs w:val="21"/>
          <w:color w:val="auto"/>
        </w:rPr>
        <w:t xml:space="preserve">Weighted Average Life to Maturity of such Refinancing Notes is greater than or equal to the Weighted Average Life to Maturity of the Term Loans so repaid or the Revolving Credit Commitments so replaced; (e) the terms of such Refinancing Notes do not provide for any scheduled repayment, mandatory redemption or sinking fund obligations prior to the termination date of the Term Loans so reduced or the Revolving Credit Commitments so replaced, as applicable (other than (x) in the case of notes, customary offers to repurchase or mandatory prepayment provisions upon a change of control, asset sale or event of loss and customary acceleration rights after an event of default and (y) in the case of loans, customary amortization and mandatory and voluntary prepayment provisions which are, when taken as a whole, consistent in all material respects with, or not materially more restrictive to the Borrower and its Subsidiaries than (as reasonably determined by the Borrower), those applicable to the Term Loans and/or Revolving Credit Commitments, as the case may be, with such Indebtedness to provide that any such mandatory prepayments as a result of asset sales, events of loss, or excess cash flow, shall be allocated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or a less than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(but not a greater than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with the Term Loans outstanding pursuant to this Agreement); (f) there shall be no obligor with respect thereto that is not a Loan Party; (g) if such Refinancing Notes are secured, the security agreements relating to such assets shall not extend to any assets not constituting Collateral and shall be no more favorable to the secured party or parties, taken as a whole (as reasonably determined by the Borrower) than the Collateral Documents (with such differences as are reasonably satisfactory to the Administrative Agent); (h) if such Refinancing Notes are secured, such Refinancing Notes shall be secured by all or a portion of the Collateral, but shall not be secured by any assets of the Borrower or its subsidiaries other than the Collateral; (i) Refinancing Notes that are secured by Collateral shall be subject to the provisions of a customary intercreditor agreement and (j) all other terms applicable to such Refinancing Notes (other than provisions relating to original issue discount, upfront fees, interest rates and any other pricing terms (which original issue discount, upfront fees, interest rates and other pricing terms shall not be subject to the provisions set forth in this clause (j))), when taken as a whole, shall (as reasonably determined by the Borrower) be substantially similar to, or not materially less favorable to the Borrower and its Subsidiaries than, the terms applicable to the Term Loans so reduced or the Revolving Credit Commitments so replaced (except to the extent such covenants and other terms apply solely to any period after the latest maturity date applicable to such Term Loans or Revolving Credit Commitments or are added for the benefit of the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certificate of a Responsible Officer of the Borrower delivered to the Administrative Agent for posting to the Lenders at least five (5) Business Days prior to the issuance of such Refinancing Notes, together with a reasonably detailed description of the material terms and conditions of such Refinancing Notes or drafts of the documentation relating thereto, stating that the Borrower has determined in good faith that such terms and conditions satisfy the foregoing requirement in clause (j) shall be conclusive evidence that such terms and conditions satisfy the foregoing requirement unless the Required Lenders through the Administrative Agent notify the Borrower within such five (5) Business Day period that they</w:t>
      </w:r>
    </w:p>
    <w:p>
      <w:pPr>
        <w:sectPr>
          <w:pgSz w:w="11900" w:h="16838" w:orient="portrait"/>
          <w:cols w:equalWidth="0" w:num="1">
            <w:col w:w="11380"/>
          </w:cols>
          <w:pgMar w:left="240" w:top="626" w:right="2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disagree with such determination (including a reasonable description of the basis upon which they disagree).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Refinancing Term Loans</w:t>
      </w:r>
      <w:r>
        <w:rPr>
          <w:rFonts w:ascii="Times New Roman" w:cs="Times New Roman" w:eastAsia="Times New Roman" w:hAnsi="Times New Roman"/>
          <w:sz w:val="22"/>
          <w:szCs w:val="22"/>
          <w:color w:val="auto"/>
        </w:rPr>
        <w:t>” is defined in Section 2.16(a)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is defined in Section 10.10(c)(i)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Reimbursement Obligations</w:t>
      </w:r>
      <w:r>
        <w:rPr>
          <w:rFonts w:ascii="Times New Roman" w:cs="Times New Roman" w:eastAsia="Times New Roman" w:hAnsi="Times New Roman"/>
          <w:sz w:val="22"/>
          <w:szCs w:val="22"/>
          <w:color w:val="auto"/>
        </w:rPr>
        <w:t>” is defined in Section 2.3(c)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Rejecting Lender</w:t>
      </w:r>
      <w:r>
        <w:rPr>
          <w:rFonts w:ascii="Times New Roman" w:cs="Times New Roman" w:eastAsia="Times New Roman" w:hAnsi="Times New Roman"/>
          <w:sz w:val="22"/>
          <w:szCs w:val="22"/>
          <w:color w:val="auto"/>
        </w:rPr>
        <w:t>” is defined in Section 2.8(c)(vii) hereof.</w:t>
      </w:r>
    </w:p>
    <w:p>
      <w:pPr>
        <w:spacing w:after="0" w:line="220" w:lineRule="exact"/>
        <w:rPr>
          <w:sz w:val="20"/>
          <w:szCs w:val="20"/>
          <w:color w:val="auto"/>
        </w:rPr>
      </w:pPr>
    </w:p>
    <w:p>
      <w:pPr>
        <w:ind w:right="2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trustees, officers, administrators, employees and agents of such Person and of such Person’s Affiliates.</w:t>
      </w:r>
    </w:p>
    <w:p>
      <w:pPr>
        <w:spacing w:after="0" w:line="150" w:lineRule="exact"/>
        <w:rPr>
          <w:sz w:val="20"/>
          <w:szCs w:val="20"/>
          <w:color w:val="auto"/>
        </w:rPr>
      </w:pPr>
    </w:p>
    <w:p>
      <w:pPr>
        <w:ind w:right="4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means any spilling, leaking, pumping, pouring, emitting, emptying, discharging, injecting, escaping, leaching, dumping, disposing or migration on, at, under, into or through the Environment.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Existing Facility</w:t>
      </w:r>
      <w:r>
        <w:rPr>
          <w:rFonts w:ascii="Times New Roman" w:cs="Times New Roman" w:eastAsia="Times New Roman" w:hAnsi="Times New Roman"/>
          <w:sz w:val="22"/>
          <w:szCs w:val="22"/>
          <w:color w:val="auto"/>
        </w:rPr>
        <w:t>” is defined in Section 2.14(a)(H)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Revolving Credit Commitments</w:t>
      </w:r>
      <w:r>
        <w:rPr>
          <w:rFonts w:ascii="Times New Roman" w:cs="Times New Roman" w:eastAsia="Times New Roman" w:hAnsi="Times New Roman"/>
          <w:sz w:val="22"/>
          <w:szCs w:val="22"/>
          <w:color w:val="auto"/>
        </w:rPr>
        <w:t>” is defined in Section 2.16(c)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Revolving Facility</w:t>
      </w:r>
      <w:r>
        <w:rPr>
          <w:rFonts w:ascii="Times New Roman" w:cs="Times New Roman" w:eastAsia="Times New Roman" w:hAnsi="Times New Roman"/>
          <w:sz w:val="22"/>
          <w:szCs w:val="22"/>
          <w:color w:val="auto"/>
        </w:rPr>
        <w:t>” is defined in Section 2.16(c)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Revolving Facility Effective Date</w:t>
      </w:r>
      <w:r>
        <w:rPr>
          <w:rFonts w:ascii="Times New Roman" w:cs="Times New Roman" w:eastAsia="Times New Roman" w:hAnsi="Times New Roman"/>
          <w:sz w:val="22"/>
          <w:szCs w:val="22"/>
          <w:color w:val="auto"/>
        </w:rPr>
        <w:t>” is defined in Section 2.16(c)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Revolving Loans</w:t>
      </w:r>
      <w:r>
        <w:rPr>
          <w:rFonts w:ascii="Times New Roman" w:cs="Times New Roman" w:eastAsia="Times New Roman" w:hAnsi="Times New Roman"/>
          <w:sz w:val="22"/>
          <w:szCs w:val="22"/>
          <w:color w:val="auto"/>
        </w:rPr>
        <w:t>” is defined in Section 2.16(c) hereof.</w:t>
      </w:r>
    </w:p>
    <w:p>
      <w:pPr>
        <w:spacing w:after="0" w:line="220" w:lineRule="exact"/>
        <w:rPr>
          <w:sz w:val="20"/>
          <w:szCs w:val="20"/>
          <w:color w:val="auto"/>
        </w:rPr>
      </w:pPr>
    </w:p>
    <w:p>
      <w:pPr>
        <w:ind w:right="12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Reportable Event</w:t>
      </w:r>
      <w:r>
        <w:rPr>
          <w:rFonts w:ascii="Times New Roman" w:cs="Times New Roman" w:eastAsia="Times New Roman" w:hAnsi="Times New Roman"/>
          <w:sz w:val="21"/>
          <w:szCs w:val="21"/>
          <w:color w:val="auto"/>
        </w:rPr>
        <w:t>” means any of the events set forth in Section 4043(c) of ERISA, other than those events as to which the thirty day notice period is waived under subsections 27, 28, 29, 30, 31, 32, 34 or 35 of PBGC Regulation Section 4043.</w:t>
      </w:r>
    </w:p>
    <w:p>
      <w:pPr>
        <w:spacing w:after="0" w:line="128" w:lineRule="exact"/>
        <w:rPr>
          <w:sz w:val="20"/>
          <w:szCs w:val="20"/>
          <w:color w:val="auto"/>
        </w:rPr>
      </w:pPr>
    </w:p>
    <w:p>
      <w:pPr>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Repricing Transaction</w:t>
      </w:r>
      <w:r>
        <w:rPr>
          <w:rFonts w:ascii="Times New Roman" w:cs="Times New Roman" w:eastAsia="Times New Roman" w:hAnsi="Times New Roman"/>
          <w:sz w:val="22"/>
          <w:szCs w:val="22"/>
          <w:color w:val="auto"/>
        </w:rPr>
        <w:t>” means each of (a) the prepayment, repayment, refinancing, substitution or replacement of all or a portion of the U.S. Term B-4 Loans with the proceeds of any secured term loans incurred or guaranteed by the Borrower or any Guarantor incurred for the primary purpose of reducing the effective yield (with the comparative determinations to be made by the Administrative Agent in a manner consistent with generally accepted financial practices, and in any event consistent with Section 2.14(a)(H)) to less than the effective yield (as determined by the Administrative Agent on the same basis) applicable to such Term B Loans so prepaid, repaid, refinanced, substituted or replaced and (b) any amendment, waiver or other modification to, or consent under, this Agreement incurred for the primary</w:t>
      </w:r>
    </w:p>
    <w:p>
      <w:pPr>
        <w:sectPr>
          <w:pgSz w:w="11900" w:h="16838" w:orient="portrait"/>
          <w:cols w:equalWidth="0" w:num="1">
            <w:col w:w="11340"/>
          </w:cols>
          <w:pgMar w:left="240" w:top="625" w:right="319" w:bottom="1440" w:gutter="0" w:footer="0" w:header="0"/>
        </w:sectPr>
      </w:pPr>
    </w:p>
    <w:bookmarkStart w:id="169" w:name="page170"/>
    <w:bookmarkEnd w:id="169"/>
    <w:p>
      <w:pPr>
        <w:ind w:right="60"/>
        <w:spacing w:after="0" w:line="249" w:lineRule="auto"/>
        <w:rPr>
          <w:sz w:val="20"/>
          <w:szCs w:val="20"/>
          <w:color w:val="auto"/>
        </w:rPr>
      </w:pPr>
      <w:r>
        <w:rPr>
          <w:rFonts w:ascii="Times New Roman" w:cs="Times New Roman" w:eastAsia="Times New Roman" w:hAnsi="Times New Roman"/>
          <w:sz w:val="22"/>
          <w:szCs w:val="22"/>
          <w:color w:val="auto"/>
        </w:rPr>
        <w:t xml:space="preserve">purpose of reducing the effective yield (to be determined by the Administrative Agent on the same basis as set forth in preceding clause (a)) of the U.S. Term B-4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any such prepayment, repayment, refinancing, substitution, replacement, amendment, waiver, modification or consent in connection with a Change of Control, constitute a Repricing Transaction. Any determination by the Administrative Agent of any effective interest rate as contemplated by preceding clauses (a) and (b) shall be conclusive and binding on all Lenders, and the Administrative Agent shall have no liability to any Person with respect to such determination.</w:t>
      </w:r>
    </w:p>
    <w:p>
      <w:pPr>
        <w:spacing w:after="0" w:line="177" w:lineRule="exact"/>
        <w:rPr>
          <w:sz w:val="20"/>
          <w:szCs w:val="20"/>
          <w:color w:val="auto"/>
        </w:rPr>
      </w:pPr>
    </w:p>
    <w:p>
      <w:pPr>
        <w:ind w:right="12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Lenders</w:t>
      </w:r>
      <w:r>
        <w:rPr>
          <w:rFonts w:ascii="Times New Roman" w:cs="Times New Roman" w:eastAsia="Times New Roman" w:hAnsi="Times New Roman"/>
          <w:sz w:val="22"/>
          <w:szCs w:val="22"/>
          <w:color w:val="auto"/>
        </w:rPr>
        <w:t xml:space="preserve">” means, as of the date of determination thereof, Lenders whose outstanding Loans and interests in Letters of Credit and Unused Revolving Credit Commitments constitute more than 50.00% of the sum of the total outstanding Loans, interests in Letters of Credit and Unused Revolving Credit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Revolving Credit Commitment of, and the portion of the outstanding Loans, interests in Letters of Credit and Unused Revolving Credit Commitments held or deemed held by, any Defaulting Lender (so long as such Lender is a Defaulting Lender) or the Borrower or any of the Borrower’s Affiliates shall be excluded for purposes of making a determination of Required Lenders.</w:t>
      </w:r>
    </w:p>
    <w:p>
      <w:pPr>
        <w:spacing w:after="0" w:line="181" w:lineRule="exact"/>
        <w:rPr>
          <w:sz w:val="20"/>
          <w:szCs w:val="20"/>
          <w:color w:val="auto"/>
        </w:rPr>
      </w:pPr>
    </w:p>
    <w:p>
      <w:pPr>
        <w:ind w:right="2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RC/TLA Lenders</w:t>
      </w:r>
      <w:r>
        <w:rPr>
          <w:rFonts w:ascii="Times New Roman" w:cs="Times New Roman" w:eastAsia="Times New Roman" w:hAnsi="Times New Roman"/>
          <w:sz w:val="22"/>
          <w:szCs w:val="22"/>
          <w:color w:val="auto"/>
        </w:rPr>
        <w:t xml:space="preserve">” means, at any time, Lenders having Revolving Exposures, Term A-1 Loans and unused Commitments in respect of the foregoing representing more than 50% of the sum of the total Revolving Exposures, outstanding Term A-1 Loans and unused Commitments in respect of the foregoing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Revolving Exposures, Term A-1 Loans and unused Commitments in respect of the foregoing held or deemed held by any Defaulting Lender (so long as such Lender is a Defaulting Lender) or the Borrower or any of the Borrower’s Affiliates shall be excluded for purposes of making a determination of Required RC/TLA Lenders.</w:t>
      </w:r>
    </w:p>
    <w:p>
      <w:pPr>
        <w:spacing w:after="0" w:line="181" w:lineRule="exact"/>
        <w:rPr>
          <w:sz w:val="20"/>
          <w:szCs w:val="20"/>
          <w:color w:val="auto"/>
        </w:rPr>
      </w:pPr>
    </w:p>
    <w:p>
      <w:pPr>
        <w:ind w:right="8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RC Lenders</w:t>
      </w:r>
      <w:r>
        <w:rPr>
          <w:rFonts w:ascii="Times New Roman" w:cs="Times New Roman" w:eastAsia="Times New Roman" w:hAnsi="Times New Roman"/>
          <w:sz w:val="22"/>
          <w:szCs w:val="22"/>
          <w:color w:val="auto"/>
        </w:rPr>
        <w:t xml:space="preserve">” means, at any time, Lenders having Revolving Exposures and unused Revolving Credit Commitments representing more than 50% of the sum of the total Revolving Exposures and unused Revolving Credit Commitments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Revolving Exposures and unused Revolving Credit Commitments held or deemed held by any Defaulting Lender (so long as such Lender is a Defaulting Lender) or the Borrower or any of the Borrower’s Affiliates shall be excluded for purposes of making a determination of Required RC Lenders.</w:t>
      </w:r>
    </w:p>
    <w:p>
      <w:pPr>
        <w:spacing w:after="0" w:line="176"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U.S. Term B-4 Lenders</w:t>
      </w:r>
      <w:r>
        <w:rPr>
          <w:rFonts w:ascii="Times New Roman" w:cs="Times New Roman" w:eastAsia="Times New Roman" w:hAnsi="Times New Roman"/>
          <w:sz w:val="22"/>
          <w:szCs w:val="22"/>
          <w:color w:val="auto"/>
        </w:rPr>
        <w:t xml:space="preserve">” means, at any time, Lenders having U.S. Term B-4 Loans representing more than 50% of the sum of the total outstanding U.S. Term B-4 Loans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U.S. Term B-4 Loans held or deemed held by any Defaulting Lender (so long as such Lender is a Defaulting Lender) or the Borrower or any of the Borrower’s Affiliates shall be excluded for purposes of making a determination of Required U.S. Term B-4 Lenders.</w:t>
      </w:r>
    </w:p>
    <w:p>
      <w:pPr>
        <w:sectPr>
          <w:pgSz w:w="11900" w:h="16838" w:orient="portrait"/>
          <w:cols w:equalWidth="0" w:num="1">
            <w:col w:w="11400"/>
          </w:cols>
          <w:pgMar w:left="240" w:top="625" w:right="259" w:bottom="1440" w:gutter="0" w:footer="0" w:header="0"/>
        </w:sectPr>
      </w:pPr>
    </w:p>
    <w:bookmarkStart w:id="170" w:name="page171"/>
    <w:bookmarkEnd w:id="170"/>
    <w:p>
      <w:pPr>
        <w:ind w:right="20" w:firstLine="1297"/>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Reserve Percentage</w:t>
      </w:r>
      <w:r>
        <w:rPr>
          <w:rFonts w:ascii="Times New Roman" w:cs="Times New Roman" w:eastAsia="Times New Roman" w:hAnsi="Times New Roman"/>
          <w:sz w:val="21"/>
          <w:szCs w:val="21"/>
          <w:color w:val="auto"/>
        </w:rPr>
        <w:t>” means, for any Borrowing of Eurodollar Loans denominated in Dollars, the daily average for the applicable Interest Period of the maximum rate, expressed as a decimal, at which reserves (including, without limitation, any supplemental, marginal, and emergency reserves) are imposed during such Interest Period by the Board of Governors of the Federal Reserve System (or any successor thereof) on “Eurocurrency liabilities,” as defined in such Board’s Regulation D (or in respect of any other category of liabilities that includes deposits by reference to which the interest rate on Eurodollar Loans is determined or any category of extensions of credit or other assets that include loans by non-United States offices of any Lender to United States residents), subject to any amendments of such reserve requirement by such Board or its successor, taking into account any transitional adjustments thereto. For purposes of this definition, the Eurodollar Loans shall be deemed to be “Eurocurrency liabilities” as defined in Regulation D without benefit or credit for any prorations, exemptions or offsets under Regulation D. The Reserve Percentage shall be adjusted automatically on and as of the effective date of any change in any reserve percentage.</w:t>
      </w:r>
    </w:p>
    <w:p>
      <w:pPr>
        <w:spacing w:after="0" w:line="176" w:lineRule="exact"/>
        <w:rPr>
          <w:sz w:val="20"/>
          <w:szCs w:val="20"/>
          <w:color w:val="auto"/>
        </w:rPr>
      </w:pPr>
    </w:p>
    <w:p>
      <w:pPr>
        <w:ind w:right="60"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Responsible Officer</w:t>
      </w:r>
      <w:r>
        <w:rPr>
          <w:rFonts w:ascii="Times New Roman" w:cs="Times New Roman" w:eastAsia="Times New Roman" w:hAnsi="Times New Roman"/>
          <w:sz w:val="22"/>
          <w:szCs w:val="22"/>
          <w:color w:val="auto"/>
        </w:rPr>
        <w:t>” of any person means any executive officer (including, without limitation, the chief executive officer, president, chief financial officer, treasurer, assistant treasurer, director, controller, any vice president, secretary and assistant secretary), any authorized person or financial officer of such person, any other officer or similar official or authorized person thereof with responsibility for the administration of the obligations of such person in respect of this Agreement and with respect to any Loan Party that is a limited liability company, any manager thereof appointed pursuant to the organizational documents of such Loan Party.</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Asset Sale Amount</w:t>
      </w:r>
      <w:r>
        <w:rPr>
          <w:rFonts w:ascii="Times New Roman" w:cs="Times New Roman" w:eastAsia="Times New Roman" w:hAnsi="Times New Roman"/>
          <w:sz w:val="22"/>
          <w:szCs w:val="22"/>
          <w:color w:val="auto"/>
        </w:rPr>
        <w:t>” is defined in Section 2.8(c)(vi)(I)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Debt Payment</w:t>
      </w:r>
      <w:r>
        <w:rPr>
          <w:rFonts w:ascii="Times New Roman" w:cs="Times New Roman" w:eastAsia="Times New Roman" w:hAnsi="Times New Roman"/>
          <w:sz w:val="22"/>
          <w:szCs w:val="22"/>
          <w:color w:val="auto"/>
        </w:rPr>
        <w:t>” is defined in Section 6.20(a)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ECF Amount</w:t>
      </w:r>
      <w:r>
        <w:rPr>
          <w:rFonts w:ascii="Times New Roman" w:cs="Times New Roman" w:eastAsia="Times New Roman" w:hAnsi="Times New Roman"/>
          <w:sz w:val="22"/>
          <w:szCs w:val="22"/>
          <w:color w:val="auto"/>
        </w:rPr>
        <w:t>” is defined in Section 2.8(c)(vi)(II) hereof.</w:t>
      </w:r>
    </w:p>
    <w:p>
      <w:pPr>
        <w:spacing w:after="0" w:line="220"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Subsidiary</w:t>
      </w:r>
      <w:r>
        <w:rPr>
          <w:rFonts w:ascii="Times New Roman" w:cs="Times New Roman" w:eastAsia="Times New Roman" w:hAnsi="Times New Roman"/>
          <w:sz w:val="22"/>
          <w:szCs w:val="22"/>
          <w:color w:val="auto"/>
        </w:rPr>
        <w:t>” means any Subsidiary other than an Unrestricted Subsidiary. As of the Escrow Release Date, all of the Subsidiaries of the Borrower will be Restricted Subsidiaries.</w:t>
      </w:r>
    </w:p>
    <w:p>
      <w:pPr>
        <w:spacing w:after="0" w:line="150" w:lineRule="exact"/>
        <w:rPr>
          <w:sz w:val="20"/>
          <w:szCs w:val="20"/>
          <w:color w:val="auto"/>
        </w:rPr>
      </w:pPr>
    </w:p>
    <w:p>
      <w:pPr>
        <w:ind w:right="200" w:firstLine="1297"/>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Revolver Percentage</w:t>
      </w:r>
      <w:r>
        <w:rPr>
          <w:rFonts w:ascii="Times New Roman" w:cs="Times New Roman" w:eastAsia="Times New Roman" w:hAnsi="Times New Roman"/>
          <w:sz w:val="21"/>
          <w:szCs w:val="21"/>
          <w:color w:val="auto"/>
        </w:rPr>
        <w:t>” means, for each Revolving Lender, the percentage of the aggregate Revolving Credit Commitments represented by such Revolving Lender’s Revolving Credit Commitment or, if the Revolving Credit Commitments have been terminated, the percentage held by such Revolving Lender (including through participation interests in Reimbursement Obligations) of the aggregate principal amount of all Revolving Loans and L/C Obligations then outstanding.</w:t>
      </w:r>
    </w:p>
    <w:p>
      <w:pPr>
        <w:sectPr>
          <w:pgSz w:w="11900" w:h="16838" w:orient="portrait"/>
          <w:cols w:equalWidth="0" w:num="1">
            <w:col w:w="11420"/>
          </w:cols>
          <w:pgMar w:left="240" w:top="621" w:right="239" w:bottom="1440" w:gutter="0" w:footer="0" w:header="0"/>
        </w:sectPr>
      </w:pPr>
    </w:p>
    <w:bookmarkStart w:id="171" w:name="page172"/>
    <w:bookmarkEnd w:id="171"/>
    <w:p>
      <w:pPr>
        <w:ind w:right="28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Revolving Credit Commitment</w:t>
      </w:r>
      <w:r>
        <w:rPr>
          <w:rFonts w:ascii="Times New Roman" w:cs="Times New Roman" w:eastAsia="Times New Roman" w:hAnsi="Times New Roman"/>
          <w:sz w:val="21"/>
          <w:szCs w:val="21"/>
          <w:color w:val="auto"/>
        </w:rPr>
        <w:t>” means, (i) prior to the Amendment No. 7 Effective Date, the Original Revolving Credit Commitments, and (ii) on or after the Amendment No. 7 Effective Date, the 2018 Revolving Credit Commitments.</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Credit Commitment Increase</w:t>
      </w:r>
      <w:r>
        <w:rPr>
          <w:rFonts w:ascii="Times New Roman" w:cs="Times New Roman" w:eastAsia="Times New Roman" w:hAnsi="Times New Roman"/>
          <w:sz w:val="22"/>
          <w:szCs w:val="22"/>
          <w:color w:val="auto"/>
        </w:rPr>
        <w:t>” is defined in Section 2.14(a) hereof.</w:t>
      </w:r>
    </w:p>
    <w:p>
      <w:pPr>
        <w:spacing w:after="0" w:line="220" w:lineRule="exact"/>
        <w:rPr>
          <w:sz w:val="20"/>
          <w:szCs w:val="20"/>
          <w:color w:val="auto"/>
        </w:rPr>
      </w:pPr>
    </w:p>
    <w:p>
      <w:pPr>
        <w:ind w:right="8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Credit Termination Date</w:t>
      </w:r>
      <w:r>
        <w:rPr>
          <w:rFonts w:ascii="Times New Roman" w:cs="Times New Roman" w:eastAsia="Times New Roman" w:hAnsi="Times New Roman"/>
          <w:sz w:val="22"/>
          <w:szCs w:val="22"/>
          <w:color w:val="auto"/>
        </w:rPr>
        <w:t>” means the earliest of (a) February 27, 2023, (b) such earlier date on which the Revolving Credit Commitments are terminated in whole pursuant to Section 2.10, 7.2 or 7.3 hereof and (c) with respect to any Revolving Lender that has extended its Revolving Credit Commitment pursuant to an Extension consummated under Section 2.15 and with respect to any L/C Issuer that has consented to such extension, the extended maturity date of such Revolving Lender’s Revolving Credit Commitment.</w:t>
      </w:r>
    </w:p>
    <w:p>
      <w:pPr>
        <w:spacing w:after="0" w:line="176" w:lineRule="exact"/>
        <w:rPr>
          <w:sz w:val="20"/>
          <w:szCs w:val="20"/>
          <w:color w:val="auto"/>
        </w:rPr>
      </w:pPr>
    </w:p>
    <w:p>
      <w:pPr>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Exposure</w:t>
      </w:r>
      <w:r>
        <w:rPr>
          <w:rFonts w:ascii="Times New Roman" w:cs="Times New Roman" w:eastAsia="Times New Roman" w:hAnsi="Times New Roman"/>
          <w:sz w:val="22"/>
          <w:szCs w:val="22"/>
          <w:color w:val="auto"/>
        </w:rPr>
        <w:t>” means, with respect to any Lender as of any date of determination, (i) prior to the termination of the Revolving Credit Commitments, that Lender’s Revolving Credit Commitment; and (ii) after the termination of the Revolving Credit Commitments, the sum of (a) the aggregate outstanding principal amount of the Revolving Loans of that Lender, (b) in the case of an L/C Issuer, the aggregate Letter of Credit Usage in respect of all Letters of Credit issued by that Lender (net of any participations by Lenders in such Letters of Credit) and (c) the aggregate amount of all participations by that Lender in any outstanding Letters of Credit or any unreimbursed drawing under any Letter of Credit.</w:t>
      </w:r>
    </w:p>
    <w:p>
      <w:pPr>
        <w:spacing w:after="0" w:line="181" w:lineRule="exact"/>
        <w:rPr>
          <w:sz w:val="20"/>
          <w:szCs w:val="20"/>
          <w:color w:val="auto"/>
        </w:rPr>
      </w:pPr>
    </w:p>
    <w:p>
      <w:pPr>
        <w:ind w:right="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w:t>
      </w:r>
      <w:r>
        <w:rPr>
          <w:rFonts w:ascii="Times New Roman" w:cs="Times New Roman" w:eastAsia="Times New Roman" w:hAnsi="Times New Roman"/>
          <w:sz w:val="22"/>
          <w:szCs w:val="22"/>
          <w:color w:val="auto"/>
        </w:rPr>
        <w:t>” means the credit facility for making Revolving Loans and issuing Letters of Credit described in Sections 2.2 and 2.3 hereof.</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Lender</w:t>
      </w:r>
      <w:r>
        <w:rPr>
          <w:rFonts w:ascii="Times New Roman" w:cs="Times New Roman" w:eastAsia="Times New Roman" w:hAnsi="Times New Roman"/>
          <w:sz w:val="22"/>
          <w:szCs w:val="22"/>
          <w:color w:val="auto"/>
        </w:rPr>
        <w:t>” means any Lender holding all or a portion of the Revolving Facility.</w:t>
      </w:r>
    </w:p>
    <w:p>
      <w:pPr>
        <w:spacing w:after="0" w:line="220" w:lineRule="exact"/>
        <w:rPr>
          <w:sz w:val="20"/>
          <w:szCs w:val="20"/>
          <w:color w:val="auto"/>
        </w:rPr>
      </w:pPr>
    </w:p>
    <w:p>
      <w:pPr>
        <w:ind w:right="4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Loan</w:t>
      </w:r>
      <w:r>
        <w:rPr>
          <w:rFonts w:ascii="Times New Roman" w:cs="Times New Roman" w:eastAsia="Times New Roman" w:hAnsi="Times New Roman"/>
          <w:sz w:val="22"/>
          <w:szCs w:val="22"/>
          <w:color w:val="auto"/>
        </w:rPr>
        <w:t>” is defined in Section 2.2 hereof and, as so defined, includes a Base Rate Loan or a Eurodollar Loan, each of which is a “type” of Revolving Loan hereunder.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Note</w:t>
      </w:r>
      <w:r>
        <w:rPr>
          <w:rFonts w:ascii="Times New Roman" w:cs="Times New Roman" w:eastAsia="Times New Roman" w:hAnsi="Times New Roman"/>
          <w:sz w:val="22"/>
          <w:szCs w:val="22"/>
          <w:color w:val="auto"/>
        </w:rPr>
        <w:t>” is defined in Section 2.12(d) hereof.</w:t>
      </w:r>
    </w:p>
    <w:p>
      <w:pPr>
        <w:spacing w:after="0" w:line="220" w:lineRule="exact"/>
        <w:rPr>
          <w:sz w:val="20"/>
          <w:szCs w:val="20"/>
          <w:color w:val="auto"/>
        </w:rPr>
      </w:pPr>
    </w:p>
    <w:p>
      <w:pPr>
        <w:ind w:right="2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Rollover Term A Lender</w:t>
      </w:r>
      <w:r>
        <w:rPr>
          <w:rFonts w:ascii="Times New Roman" w:cs="Times New Roman" w:eastAsia="Times New Roman" w:hAnsi="Times New Roman"/>
          <w:sz w:val="22"/>
          <w:szCs w:val="22"/>
          <w:color w:val="auto"/>
        </w:rPr>
        <w:t>” means each Term A Lender with a Term A Loan extended on the Closing Date that has consented to exchange such Term A Loan into a Term A-1 Loan, and that has been allocated such Term A-1 Loan by the Administrative Agent.</w:t>
      </w:r>
    </w:p>
    <w:p>
      <w:pPr>
        <w:spacing w:after="0" w:line="167" w:lineRule="exact"/>
        <w:rPr>
          <w:sz w:val="20"/>
          <w:szCs w:val="20"/>
          <w:color w:val="auto"/>
        </w:rPr>
      </w:pPr>
    </w:p>
    <w:p>
      <w:pPr>
        <w:ind w:right="1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Rollover U.S. Term B Lender</w:t>
      </w:r>
      <w:r>
        <w:rPr>
          <w:rFonts w:ascii="Times New Roman" w:cs="Times New Roman" w:eastAsia="Times New Roman" w:hAnsi="Times New Roman"/>
          <w:sz w:val="22"/>
          <w:szCs w:val="22"/>
          <w:color w:val="auto"/>
        </w:rPr>
        <w:t>” means each U.S. Term B Lender with a U.S. Term B Loan extended on the Closing Date that has consented to exchange such U.S. Term B Loan into a U.S. Term B-1 Loan, and that has been allocated such U.S. Term B-1 Loan by the Administrative Agent.</w:t>
      </w:r>
    </w:p>
    <w:p>
      <w:pPr>
        <w:sectPr>
          <w:pgSz w:w="11900" w:h="16838" w:orient="portrait"/>
          <w:cols w:equalWidth="0" w:num="1">
            <w:col w:w="11400"/>
          </w:cols>
          <w:pgMar w:left="240" w:top="621" w:right="259" w:bottom="1440" w:gutter="0" w:footer="0" w:header="0"/>
        </w:sectPr>
      </w:pPr>
    </w:p>
    <w:bookmarkStart w:id="172" w:name="page173"/>
    <w:bookmarkEnd w:id="172"/>
    <w:p>
      <w:pPr>
        <w:ind w:right="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Rollover U.S. Term B-1 Lender</w:t>
      </w:r>
      <w:r>
        <w:rPr>
          <w:rFonts w:ascii="Times New Roman" w:cs="Times New Roman" w:eastAsia="Times New Roman" w:hAnsi="Times New Roman"/>
          <w:sz w:val="22"/>
          <w:szCs w:val="22"/>
          <w:color w:val="auto"/>
        </w:rPr>
        <w:t>” means each U.S. Term B-1 Lender with a U.S. Term B-1 Loan extended on the Closing Date that has consented to exchange such U.S. Term B-1 Loan into a U.S. Term B-2 Loan, and that has been allocated such U.S. Term B-2 Loan by the Administrative Agent.</w:t>
      </w:r>
    </w:p>
    <w:p>
      <w:pPr>
        <w:spacing w:after="0" w:line="167" w:lineRule="exact"/>
        <w:rPr>
          <w:sz w:val="20"/>
          <w:szCs w:val="20"/>
          <w:color w:val="auto"/>
        </w:rPr>
      </w:pPr>
    </w:p>
    <w:p>
      <w:pPr>
        <w:ind w:right="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Rollover U.S. Term B-2 Lender</w:t>
      </w:r>
      <w:r>
        <w:rPr>
          <w:rFonts w:ascii="Times New Roman" w:cs="Times New Roman" w:eastAsia="Times New Roman" w:hAnsi="Times New Roman"/>
          <w:sz w:val="22"/>
          <w:szCs w:val="22"/>
          <w:color w:val="auto"/>
        </w:rPr>
        <w:t>” means each U.S. Term B-2 Lender with a U.S. Term B-2 Loan extended on the Closing Date that has consented to exchange such U.S. Term B-2 Loan into a U.S. Term B-3 Loan, and that has been allocated such U.S. Term B-3 Loan by the Administrative Agent.</w:t>
      </w:r>
    </w:p>
    <w:p>
      <w:pPr>
        <w:spacing w:after="0" w:line="167"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Rollover U.S. Term B-3 Lender</w:t>
      </w:r>
      <w:r>
        <w:rPr>
          <w:rFonts w:ascii="Times New Roman" w:cs="Times New Roman" w:eastAsia="Times New Roman" w:hAnsi="Times New Roman"/>
          <w:sz w:val="22"/>
          <w:szCs w:val="22"/>
          <w:color w:val="auto"/>
        </w:rPr>
        <w:t>” means each U.S. Term B-3 Lender with a U.S. Term B-3 Loan extended on the Amendment No. 5 Effective Date that has consented to exchange such U.S. Term B-3 Loan into a U.S. Term B-4 Loan, and that has been allocated such U.S. Term B-4 Loan by the Administrative Agent.</w:t>
      </w:r>
    </w:p>
    <w:p>
      <w:pPr>
        <w:spacing w:after="0" w:line="167" w:lineRule="exact"/>
        <w:rPr>
          <w:sz w:val="20"/>
          <w:szCs w:val="20"/>
          <w:color w:val="auto"/>
        </w:rPr>
      </w:pPr>
    </w:p>
    <w:p>
      <w:pPr>
        <w:ind w:right="24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Sanctioned Country</w:t>
      </w:r>
      <w:r>
        <w:rPr>
          <w:rFonts w:ascii="Times New Roman" w:cs="Times New Roman" w:eastAsia="Times New Roman" w:hAnsi="Times New Roman"/>
          <w:sz w:val="22"/>
          <w:szCs w:val="22"/>
          <w:color w:val="auto"/>
        </w:rPr>
        <w:t>” means, at any time, any country or territory that is, or whose government is, the subject or target of any Sanctions that broadly restrict or prohibit trade and investment or other dealings with that country, territory or government. As of the Closing Date, the following countries or territories are “Sanctioned Countries”: Crimea, Cuba, Iran, North Korea, Sudan and Syria.</w:t>
      </w:r>
    </w:p>
    <w:p>
      <w:pPr>
        <w:spacing w:after="0" w:line="172" w:lineRule="exact"/>
        <w:rPr>
          <w:sz w:val="20"/>
          <w:szCs w:val="20"/>
          <w:color w:val="auto"/>
        </w:rPr>
      </w:pPr>
    </w:p>
    <w:p>
      <w:pPr>
        <w:ind w:right="180"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Sanctioned Person</w:t>
      </w:r>
      <w:r>
        <w:rPr>
          <w:rFonts w:ascii="Times New Roman" w:cs="Times New Roman" w:eastAsia="Times New Roman" w:hAnsi="Times New Roman"/>
          <w:sz w:val="22"/>
          <w:szCs w:val="22"/>
          <w:color w:val="auto"/>
        </w:rPr>
        <w:t>” means, at any time, any Person with whom dealings are restricted or prohibited under Sanctions, including, without limitation, (a) any Person listed in any applicable Sanctions-related list of designated Persons maintained and published by the Office of Foreign Assets Control of the U.S. Department of the Treasury, the U.S. Department of State, the U.S. Department of Commerce, the United Nations Security Council, the European Union or Her Majesty’s Treasury of the United Kingdom, (b) any Person located, organized or resident in, or any Governmental Authority or governmental instrumentality of, a Sanctioned Country or (c) any Person controlled by, or acting for the benefit of or on behalf of, any such Person.</w:t>
      </w:r>
    </w:p>
    <w:p>
      <w:pPr>
        <w:spacing w:after="0" w:line="182" w:lineRule="exact"/>
        <w:rPr>
          <w:sz w:val="20"/>
          <w:szCs w:val="20"/>
          <w:color w:val="auto"/>
        </w:rPr>
      </w:pPr>
    </w:p>
    <w:p>
      <w:pPr>
        <w:ind w:right="14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Sanctions</w:t>
      </w:r>
      <w:r>
        <w:rPr>
          <w:rFonts w:ascii="Times New Roman" w:cs="Times New Roman" w:eastAsia="Times New Roman" w:hAnsi="Times New Roman"/>
          <w:sz w:val="22"/>
          <w:szCs w:val="22"/>
          <w:color w:val="auto"/>
        </w:rPr>
        <w:t>” means any applicable economic or trade sanctions enacted, imposed, administered or enforced by the U.S. government (including the Office of Foreign Assets Control of the U.S. Department of the Treasury, the U.S. Department of State or the U.S. Department of Commerce), the United Nations Security Council, the European Union, Her Majesty’s Treasury of the United Kingdom.</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Schrader Acquisition</w:t>
      </w:r>
      <w:r>
        <w:rPr>
          <w:rFonts w:ascii="Times New Roman" w:cs="Times New Roman" w:eastAsia="Times New Roman" w:hAnsi="Times New Roman"/>
          <w:sz w:val="22"/>
          <w:szCs w:val="22"/>
          <w:color w:val="auto"/>
        </w:rPr>
        <w:t>” is defined in the Preliminary Statements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w:t>
      </w:r>
      <w:r>
        <w:rPr>
          <w:rFonts w:ascii="Times New Roman" w:cs="Times New Roman" w:eastAsia="Times New Roman" w:hAnsi="Times New Roman"/>
          <w:sz w:val="22"/>
          <w:szCs w:val="22"/>
          <w:color w:val="auto"/>
        </w:rPr>
        <w:t>” means Standard &amp; Poor’s Ratings Services, a Standard &amp; Poor’s Financial Services LLC business.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SD Guarantor</w:t>
      </w:r>
      <w:r>
        <w:rPr>
          <w:rFonts w:ascii="Times New Roman" w:cs="Times New Roman" w:eastAsia="Times New Roman" w:hAnsi="Times New Roman"/>
          <w:sz w:val="22"/>
          <w:szCs w:val="22"/>
          <w:color w:val="auto"/>
        </w:rPr>
        <w:t>” means SanDisk Technologies, Inc.</w:t>
      </w:r>
    </w:p>
    <w:p>
      <w:pPr>
        <w:sectPr>
          <w:pgSz w:w="11900" w:h="16838" w:orient="portrait"/>
          <w:cols w:equalWidth="0" w:num="1">
            <w:col w:w="11420"/>
          </w:cols>
          <w:pgMar w:left="240" w:top="622" w:right="239" w:bottom="1440" w:gutter="0" w:footer="0" w:header="0"/>
        </w:sectPr>
      </w:pPr>
    </w:p>
    <w:bookmarkStart w:id="173" w:name="page174"/>
    <w:bookmarkEnd w:id="173"/>
    <w:p>
      <w:pPr>
        <w:ind w:right="6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Seagate Arbitration</w:t>
      </w:r>
      <w:r>
        <w:rPr>
          <w:rFonts w:ascii="Times New Roman" w:cs="Times New Roman" w:eastAsia="Times New Roman" w:hAnsi="Times New Roman"/>
          <w:sz w:val="22"/>
          <w:szCs w:val="22"/>
          <w:color w:val="auto"/>
        </w:rPr>
        <w:t>” means the arbitration between the Borrower and Seagate Technology, LLC and related matters based on the actions initially filed by Seagate Technology, LLC on October 4, 2006</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 Documents</w:t>
      </w:r>
      <w:r>
        <w:rPr>
          <w:rFonts w:ascii="Times New Roman" w:cs="Times New Roman" w:eastAsia="Times New Roman" w:hAnsi="Times New Roman"/>
          <w:sz w:val="22"/>
          <w:szCs w:val="22"/>
          <w:color w:val="auto"/>
        </w:rPr>
        <w:t>” means the Borrower SEC Documents and the Target SEC Documents.</w:t>
      </w:r>
    </w:p>
    <w:p>
      <w:pPr>
        <w:spacing w:after="0" w:line="220" w:lineRule="exact"/>
        <w:rPr>
          <w:sz w:val="20"/>
          <w:szCs w:val="20"/>
          <w:color w:val="auto"/>
        </w:rPr>
      </w:pPr>
    </w:p>
    <w:p>
      <w:pPr>
        <w:ind w:right="6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Secured Covenant Package</w:t>
      </w:r>
      <w:r>
        <w:rPr>
          <w:rFonts w:ascii="Times New Roman" w:cs="Times New Roman" w:eastAsia="Times New Roman" w:hAnsi="Times New Roman"/>
          <w:sz w:val="21"/>
          <w:szCs w:val="21"/>
          <w:color w:val="auto"/>
        </w:rPr>
        <w:t>” means the provisions, requirements, exceptions or baskets described in Section 2.8(c), Section 2.14 and Article 6, other than those that specifically state that they only apply during an Unsecured Covenants Period.</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Secured Covenants Period</w:t>
      </w:r>
      <w:r>
        <w:rPr>
          <w:rFonts w:ascii="Times New Roman" w:cs="Times New Roman" w:eastAsia="Times New Roman" w:hAnsi="Times New Roman"/>
          <w:sz w:val="22"/>
          <w:szCs w:val="22"/>
          <w:color w:val="auto"/>
        </w:rPr>
        <w:t>” is defined in Section 9.12 hereof.</w:t>
      </w:r>
    </w:p>
    <w:p>
      <w:pPr>
        <w:spacing w:after="0" w:line="220" w:lineRule="exact"/>
        <w:rPr>
          <w:sz w:val="20"/>
          <w:szCs w:val="20"/>
          <w:color w:val="auto"/>
        </w:rPr>
      </w:pPr>
    </w:p>
    <w:p>
      <w:pPr>
        <w:ind w:firstLine="1297"/>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Secured Covenant Reinstatement Event</w:t>
      </w:r>
      <w:r>
        <w:rPr>
          <w:rFonts w:ascii="Times New Roman" w:cs="Times New Roman" w:eastAsia="Times New Roman" w:hAnsi="Times New Roman"/>
          <w:sz w:val="21"/>
          <w:szCs w:val="21"/>
          <w:color w:val="auto"/>
        </w:rPr>
        <w:t>” means any day following a Collateral and Guarantee Suspension Date on which (i) the Borrower’s corporate family rating shall be less than the following from at least two of the following three ratings agencies: (x) Ba2 from Moody’s, (y) BB from S&amp;P and (z) BB from Fitch, in each case, with a stable or better outlook or (ii) the Borrower notifies the Administrative Agent in writing that it has elected to terminate a Collateral and Guarantee Suspension Period.</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Secured Parties</w:t>
      </w:r>
      <w:r>
        <w:rPr>
          <w:rFonts w:ascii="Times New Roman" w:cs="Times New Roman" w:eastAsia="Times New Roman" w:hAnsi="Times New Roman"/>
          <w:sz w:val="22"/>
          <w:szCs w:val="22"/>
          <w:color w:val="auto"/>
        </w:rPr>
        <w:t>” has the meaning assigned to that term in the Security Agreement.</w:t>
      </w:r>
    </w:p>
    <w:p>
      <w:pPr>
        <w:spacing w:after="0" w:line="220" w:lineRule="exact"/>
        <w:rPr>
          <w:sz w:val="20"/>
          <w:szCs w:val="20"/>
          <w:color w:val="auto"/>
        </w:rPr>
      </w:pPr>
    </w:p>
    <w:p>
      <w:pPr>
        <w:ind w:right="2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Security Agreement</w:t>
      </w:r>
      <w:r>
        <w:rPr>
          <w:rFonts w:ascii="Times New Roman" w:cs="Times New Roman" w:eastAsia="Times New Roman" w:hAnsi="Times New Roman"/>
          <w:sz w:val="22"/>
          <w:szCs w:val="22"/>
          <w:color w:val="auto"/>
        </w:rPr>
        <w:t xml:space="preserve">” means that certain Security Agreement, substantially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dated as of the Escrow Release Date by and between the Loan Parties party thereto and the Collateral Agent.</w:t>
      </w:r>
    </w:p>
    <w:p>
      <w:pPr>
        <w:spacing w:after="0" w:line="150" w:lineRule="exact"/>
        <w:rPr>
          <w:sz w:val="20"/>
          <w:szCs w:val="20"/>
          <w:color w:val="auto"/>
        </w:rPr>
      </w:pPr>
    </w:p>
    <w:p>
      <w:pPr>
        <w:ind w:right="2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Security Agreement Supplement</w:t>
      </w:r>
      <w:r>
        <w:rPr>
          <w:rFonts w:ascii="Times New Roman" w:cs="Times New Roman" w:eastAsia="Times New Roman" w:hAnsi="Times New Roman"/>
          <w:sz w:val="22"/>
          <w:szCs w:val="22"/>
          <w:color w:val="auto"/>
        </w:rPr>
        <w:t xml:space="preserve">” means an Assumption and Supplemental Security Agreement in the form attached to the Security Agreement as </w:t>
      </w:r>
      <w:r>
        <w:rPr>
          <w:rFonts w:ascii="Times New Roman" w:cs="Times New Roman" w:eastAsia="Times New Roman" w:hAnsi="Times New Roman"/>
          <w:sz w:val="22"/>
          <w:szCs w:val="22"/>
          <w:u w:val="single" w:color="auto"/>
          <w:color w:val="auto"/>
        </w:rPr>
        <w:t>Schedule F</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Managing Agents</w:t>
      </w:r>
      <w:r>
        <w:rPr>
          <w:rFonts w:ascii="Times New Roman" w:cs="Times New Roman" w:eastAsia="Times New Roman" w:hAnsi="Times New Roman"/>
          <w:sz w:val="22"/>
          <w:szCs w:val="22"/>
          <w:color w:val="auto"/>
        </w:rPr>
        <w:t>” means, collectively, DBS Bank Ltd., U.S. Bank N.A. and Fifth Third Bank.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Notes</w:t>
      </w:r>
      <w:r>
        <w:rPr>
          <w:rFonts w:ascii="Times New Roman" w:cs="Times New Roman" w:eastAsia="Times New Roman" w:hAnsi="Times New Roman"/>
          <w:sz w:val="22"/>
          <w:szCs w:val="22"/>
          <w:color w:val="auto"/>
        </w:rPr>
        <w:t>” means, collectively, the Senior Secured Notes and the Senior Unsecured Notes.</w:t>
      </w:r>
    </w:p>
    <w:p>
      <w:pPr>
        <w:spacing w:after="0" w:line="220" w:lineRule="exact"/>
        <w:rPr>
          <w:sz w:val="20"/>
          <w:szCs w:val="20"/>
          <w:color w:val="auto"/>
        </w:rPr>
      </w:pPr>
    </w:p>
    <w:p>
      <w:pPr>
        <w:ind w:right="46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Notes Documents</w:t>
      </w:r>
      <w:r>
        <w:rPr>
          <w:rFonts w:ascii="Times New Roman" w:cs="Times New Roman" w:eastAsia="Times New Roman" w:hAnsi="Times New Roman"/>
          <w:sz w:val="22"/>
          <w:szCs w:val="22"/>
          <w:color w:val="auto"/>
        </w:rPr>
        <w:t>” means, collectively, the Senior Secured Notes Documents and the Senior Unsecured Notes Documents.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Notes Escrow Accounts</w:t>
      </w:r>
      <w:r>
        <w:rPr>
          <w:rFonts w:ascii="Times New Roman" w:cs="Times New Roman" w:eastAsia="Times New Roman" w:hAnsi="Times New Roman"/>
          <w:sz w:val="22"/>
          <w:szCs w:val="22"/>
          <w:color w:val="auto"/>
        </w:rPr>
        <w:t>” means the escrow accounts established pursuant to the Senior Notes Escrow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Agreements.</w:t>
      </w:r>
    </w:p>
    <w:p>
      <w:pPr>
        <w:sectPr>
          <w:pgSz w:w="11900" w:h="16838" w:orient="portrait"/>
          <w:cols w:equalWidth="0" w:num="1">
            <w:col w:w="11420"/>
          </w:cols>
          <w:pgMar w:left="240" w:top="621" w:right="239" w:bottom="1440" w:gutter="0" w:footer="0" w:header="0"/>
        </w:sectPr>
      </w:pPr>
    </w:p>
    <w:bookmarkStart w:id="174" w:name="page175"/>
    <w:bookmarkEnd w:id="174"/>
    <w:p>
      <w:pPr>
        <w:ind w:right="1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Notes Escrow Agreements</w:t>
      </w:r>
      <w:r>
        <w:rPr>
          <w:rFonts w:ascii="Times New Roman" w:cs="Times New Roman" w:eastAsia="Times New Roman" w:hAnsi="Times New Roman"/>
          <w:sz w:val="22"/>
          <w:szCs w:val="22"/>
          <w:color w:val="auto"/>
        </w:rPr>
        <w:t>” means the Senior Secured Notes Escrow Agreement and the Senior Unsecured Notes Escrow Agreement.</w:t>
      </w:r>
    </w:p>
    <w:p>
      <w:pPr>
        <w:spacing w:after="0" w:line="150" w:lineRule="exact"/>
        <w:rPr>
          <w:sz w:val="20"/>
          <w:szCs w:val="20"/>
          <w:color w:val="auto"/>
        </w:rPr>
      </w:pPr>
    </w:p>
    <w:p>
      <w:pPr>
        <w:ind w:right="1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Notes Offering Memorandum</w:t>
      </w:r>
      <w:r>
        <w:rPr>
          <w:rFonts w:ascii="Times New Roman" w:cs="Times New Roman" w:eastAsia="Times New Roman" w:hAnsi="Times New Roman"/>
          <w:sz w:val="22"/>
          <w:szCs w:val="22"/>
          <w:color w:val="auto"/>
        </w:rPr>
        <w:t>” means the Offering Memorandum dated as of March 30, 2016 related to the offer and sale of the Senior Notes.</w:t>
      </w:r>
    </w:p>
    <w:p>
      <w:pPr>
        <w:spacing w:after="0" w:line="150" w:lineRule="exact"/>
        <w:rPr>
          <w:sz w:val="20"/>
          <w:szCs w:val="20"/>
          <w:color w:val="auto"/>
        </w:rPr>
      </w:pPr>
    </w:p>
    <w:p>
      <w:pPr>
        <w:ind w:right="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Secured Leverage Ratio</w:t>
      </w:r>
      <w:r>
        <w:rPr>
          <w:rFonts w:ascii="Times New Roman" w:cs="Times New Roman" w:eastAsia="Times New Roman" w:hAnsi="Times New Roman"/>
          <w:sz w:val="22"/>
          <w:szCs w:val="22"/>
          <w:color w:val="auto"/>
        </w:rPr>
        <w:t>” means, as of the date of determination thereof, the ratio of (a) Consolidated Senior Secured Debt as of such date to (b) Consolidated Adjusted EBITDA for the period of four (4) fiscal quarters then most recently ended.</w:t>
      </w:r>
    </w:p>
    <w:p>
      <w:pPr>
        <w:spacing w:after="0" w:line="167" w:lineRule="exact"/>
        <w:rPr>
          <w:sz w:val="20"/>
          <w:szCs w:val="20"/>
          <w:color w:val="auto"/>
        </w:rPr>
      </w:pPr>
    </w:p>
    <w:p>
      <w:pPr>
        <w:ind w:right="1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Secured Notes</w:t>
      </w:r>
      <w:r>
        <w:rPr>
          <w:rFonts w:ascii="Times New Roman" w:cs="Times New Roman" w:eastAsia="Times New Roman" w:hAnsi="Times New Roman"/>
          <w:sz w:val="22"/>
          <w:szCs w:val="22"/>
          <w:color w:val="auto"/>
        </w:rPr>
        <w:t>” means the $1,875 million aggregate principal amount of 7.375% Senior Secured Notes due 2023 of the Borrower including, as the same may be amended, supplemented, waived or otherwise modified from time to time, including any senior secured exchange notes issued in lieu thereof.</w:t>
      </w:r>
    </w:p>
    <w:p>
      <w:pPr>
        <w:spacing w:after="0" w:line="167"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Secured Notes Documents</w:t>
      </w:r>
      <w:r>
        <w:rPr>
          <w:rFonts w:ascii="Times New Roman" w:cs="Times New Roman" w:eastAsia="Times New Roman" w:hAnsi="Times New Roman"/>
          <w:sz w:val="22"/>
          <w:szCs w:val="22"/>
          <w:color w:val="auto"/>
        </w:rPr>
        <w:t>” means the Senior Secured Notes Indenture and all other instruments, agreements and other documents evidencing or governing the Senior Secured Notes or providing for any guarantee, obligation, security or other right in respect thereof.</w:t>
      </w:r>
    </w:p>
    <w:p>
      <w:pPr>
        <w:spacing w:after="0" w:line="167" w:lineRule="exact"/>
        <w:rPr>
          <w:sz w:val="20"/>
          <w:szCs w:val="20"/>
          <w:color w:val="auto"/>
        </w:rPr>
      </w:pPr>
    </w:p>
    <w:p>
      <w:pPr>
        <w:jc w:val="both"/>
        <w:ind w:right="8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Secured Notes Escrow Agreement</w:t>
      </w:r>
      <w:r>
        <w:rPr>
          <w:rFonts w:ascii="Times New Roman" w:cs="Times New Roman" w:eastAsia="Times New Roman" w:hAnsi="Times New Roman"/>
          <w:sz w:val="22"/>
          <w:szCs w:val="22"/>
          <w:color w:val="auto"/>
        </w:rPr>
        <w:t>” means the Escrow Agreement dated as of April 13, 2016, by and among Parent, the Trustee under the Senior Secured Notes, SunTrust Bank, as escrow agent and SunTrust Bank as securities intermediary, as such agreement is amended, modified, supplemented or restated from time to time.</w:t>
      </w:r>
    </w:p>
    <w:p>
      <w:pPr>
        <w:spacing w:after="0" w:line="167" w:lineRule="exact"/>
        <w:rPr>
          <w:sz w:val="20"/>
          <w:szCs w:val="20"/>
          <w:color w:val="auto"/>
        </w:rPr>
      </w:pPr>
    </w:p>
    <w:p>
      <w:pPr>
        <w:ind w:right="1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Secured Notes Indenture</w:t>
      </w:r>
      <w:r>
        <w:rPr>
          <w:rFonts w:ascii="Times New Roman" w:cs="Times New Roman" w:eastAsia="Times New Roman" w:hAnsi="Times New Roman"/>
          <w:sz w:val="22"/>
          <w:szCs w:val="22"/>
          <w:color w:val="auto"/>
        </w:rPr>
        <w:t>” means the Indenture dated as of April 13, 2016, under which the Senior Secured Notes are issued, as the same may be amended, supplemented, waived or otherwise modified from time to time.</w:t>
      </w:r>
    </w:p>
    <w:p>
      <w:pPr>
        <w:spacing w:after="0" w:line="150" w:lineRule="exact"/>
        <w:rPr>
          <w:sz w:val="20"/>
          <w:szCs w:val="20"/>
          <w:color w:val="auto"/>
        </w:rPr>
      </w:pPr>
    </w:p>
    <w:p>
      <w:pPr>
        <w:ind w:right="36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Unsecured Notes</w:t>
      </w:r>
      <w:r>
        <w:rPr>
          <w:rFonts w:ascii="Times New Roman" w:cs="Times New Roman" w:eastAsia="Times New Roman" w:hAnsi="Times New Roman"/>
          <w:sz w:val="22"/>
          <w:szCs w:val="22"/>
          <w:color w:val="auto"/>
        </w:rPr>
        <w:t>” means the $3,350 million aggregate principal amount of 10.500% Senior Unsecured Notes due 2024 of the Borrower, as the same may be amended, supplemented, waived or otherwise modified from time to time, including any senior unsecured exchange notes issued in lieu thereof.</w:t>
      </w:r>
    </w:p>
    <w:p>
      <w:pPr>
        <w:spacing w:after="0" w:line="167" w:lineRule="exact"/>
        <w:rPr>
          <w:sz w:val="20"/>
          <w:szCs w:val="20"/>
          <w:color w:val="auto"/>
        </w:rPr>
      </w:pPr>
    </w:p>
    <w:p>
      <w:pPr>
        <w:ind w:right="18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Unsecured Notes Documents</w:t>
      </w:r>
      <w:r>
        <w:rPr>
          <w:rFonts w:ascii="Times New Roman" w:cs="Times New Roman" w:eastAsia="Times New Roman" w:hAnsi="Times New Roman"/>
          <w:sz w:val="22"/>
          <w:szCs w:val="22"/>
          <w:color w:val="auto"/>
        </w:rPr>
        <w:t>” means the Senior Unsecured Notes Indenture and all other instruments, agreements and other documents evidencing or governing the Senior Unsecured Notes or providing for any guarantee, obligation, security or other right in respect thereof.</w:t>
      </w:r>
    </w:p>
    <w:p>
      <w:pPr>
        <w:spacing w:after="0" w:line="167" w:lineRule="exact"/>
        <w:rPr>
          <w:sz w:val="20"/>
          <w:szCs w:val="20"/>
          <w:color w:val="auto"/>
        </w:rPr>
      </w:pPr>
    </w:p>
    <w:p>
      <w:pPr>
        <w:jc w:val="both"/>
        <w:ind w:right="4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Unsecured Notes Escrow Agreement</w:t>
      </w:r>
      <w:r>
        <w:rPr>
          <w:rFonts w:ascii="Times New Roman" w:cs="Times New Roman" w:eastAsia="Times New Roman" w:hAnsi="Times New Roman"/>
          <w:sz w:val="22"/>
          <w:szCs w:val="22"/>
          <w:color w:val="auto"/>
        </w:rPr>
        <w:t>” means the Escrow Agreement dated as of April 13, 2016, by and among Parent, the Trustee under the Senior Unsecured Notes, SunTrust Bank, as escrow agent and SunTrust Bank as securities intermediary, as such agreement is amended, modified, supplemented or restated from time to time.</w:t>
      </w:r>
    </w:p>
    <w:p>
      <w:pPr>
        <w:sectPr>
          <w:pgSz w:w="11900" w:h="16838" w:orient="portrait"/>
          <w:cols w:equalWidth="0" w:num="1">
            <w:col w:w="11400"/>
          </w:cols>
          <w:pgMar w:left="240" w:top="622" w:right="259" w:bottom="1440" w:gutter="0" w:footer="0" w:header="0"/>
        </w:sectPr>
      </w:pPr>
    </w:p>
    <w:bookmarkStart w:id="175" w:name="page176"/>
    <w:bookmarkEnd w:id="175"/>
    <w:p>
      <w:pPr>
        <w:jc w:val="both"/>
        <w:ind w:right="68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Senior Unsecured Notes Indenture</w:t>
      </w:r>
      <w:r>
        <w:rPr>
          <w:rFonts w:ascii="Times New Roman" w:cs="Times New Roman" w:eastAsia="Times New Roman" w:hAnsi="Times New Roman"/>
          <w:sz w:val="21"/>
          <w:szCs w:val="21"/>
          <w:color w:val="auto"/>
        </w:rPr>
        <w:t>” means the Indenture dated as of April 13, 2016, under which the Senior Unsecured Notes are issued, as the same may be amended, supplemented, waived or otherwise modified from time to time.</w:t>
      </w:r>
    </w:p>
    <w:p>
      <w:pPr>
        <w:spacing w:after="0" w:line="128" w:lineRule="exact"/>
        <w:rPr>
          <w:sz w:val="20"/>
          <w:szCs w:val="20"/>
          <w:color w:val="auto"/>
        </w:rPr>
      </w:pPr>
    </w:p>
    <w:p>
      <w:pPr>
        <w:ind w:right="140"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Significant Subsidiary</w:t>
      </w:r>
      <w:r>
        <w:rPr>
          <w:rFonts w:ascii="Times New Roman" w:cs="Times New Roman" w:eastAsia="Times New Roman" w:hAnsi="Times New Roman"/>
          <w:sz w:val="22"/>
          <w:szCs w:val="22"/>
          <w:color w:val="auto"/>
        </w:rPr>
        <w:t xml:space="preserve">” means and includes each Subsidiary that is a Restricted Subsidiary except any Restricted Subsidiary that does not have (together with its Subsidiaries) (a) at any time, Consolidated Total Assets the book value of which constitutes more than 2.50% of the book value of the Consolidated Total Assets of the Borrower and its Restricted Subsidiaries at such time or (b) consolidated net income in accordance with GAAP for any four (4) consecutive fiscal quarters of the Borrower ending on or after July 3, 2015, that constitutes more than 2.50% of the consolidated net income in accordance with GAAP of the Borrower and its Restricted Subsidiaries during such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no time shall (A) the book value of the Consolidated Total Assets of all Subsidiaries that are not Significant Subsidiaries equal or exceed 10.00% of the book value of the Consolidated Total Assets of the Borrower and its Restricted Subsidiaries or (B) the consolidated net income in accordance with GAAP for any four (4) consecutive fiscal quarters of all such Subsidiaries that are not Significant Subsidiaries ending on or after July 3, 2015 constitute more than 10.00% of the consolidated net income in accordance with GAAP of the Borrower and its Restricted Subsidiaries during such period.</w:t>
      </w:r>
    </w:p>
    <w:p>
      <w:pPr>
        <w:spacing w:after="0" w:line="186" w:lineRule="exact"/>
        <w:rPr>
          <w:sz w:val="20"/>
          <w:szCs w:val="20"/>
          <w:color w:val="auto"/>
        </w:rPr>
      </w:pPr>
    </w:p>
    <w:p>
      <w:pPr>
        <w:ind w:right="14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Solvency Certificate</w:t>
      </w:r>
      <w:r>
        <w:rPr>
          <w:rFonts w:ascii="Times New Roman" w:cs="Times New Roman" w:eastAsia="Times New Roman" w:hAnsi="Times New Roman"/>
          <w:sz w:val="22"/>
          <w:szCs w:val="22"/>
          <w:color w:val="auto"/>
        </w:rPr>
        <w:t xml:space="preserve">” means the Solvency Certificate delivered pursuant to Section 3.3(a)(vi) hereof,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to this Agreement.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Acquisition Agreement Representations</w:t>
      </w:r>
      <w:r>
        <w:rPr>
          <w:rFonts w:ascii="Times New Roman" w:cs="Times New Roman" w:eastAsia="Times New Roman" w:hAnsi="Times New Roman"/>
          <w:sz w:val="22"/>
          <w:szCs w:val="22"/>
          <w:color w:val="auto"/>
        </w:rPr>
        <w:t>” is defined in Section 3.3(f)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date</w:t>
      </w:r>
      <w:r>
        <w:rPr>
          <w:rFonts w:ascii="Times New Roman" w:cs="Times New Roman" w:eastAsia="Times New Roman" w:hAnsi="Times New Roman"/>
          <w:sz w:val="22"/>
          <w:szCs w:val="22"/>
          <w:color w:val="auto"/>
        </w:rPr>
        <w:t>” has the meaning assigned to such term in the definition of the term “Fiscal Quarter End Date.”</w:t>
      </w:r>
    </w:p>
    <w:p>
      <w:pPr>
        <w:spacing w:after="0" w:line="220"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Representations</w:t>
      </w:r>
      <w:r>
        <w:rPr>
          <w:rFonts w:ascii="Times New Roman" w:cs="Times New Roman" w:eastAsia="Times New Roman" w:hAnsi="Times New Roman"/>
          <w:sz w:val="22"/>
          <w:szCs w:val="22"/>
          <w:color w:val="auto"/>
        </w:rPr>
        <w:t>” means the representations and warranties of the Loan Parties set forth in the following sections of this Agreement: Section 5.2(i) (solely with respect to organizational existence of the Loan Parties), Section 5.3 (solely as it relates to (x) organizational power and authority of the Loan Parties to duly authorize, execute, deliver and perform the Loan Documents, (y) the due authorization, execution, delivery and enforceability of the Loan Documents and (z) no conflicts of the Loan Documents (with respect to the execution and delivery by the Borrower and the Guarantors of this Agreement, the incurrence of indebtedness hereunder and the granting of the guarantees and security interests hereunder) with the organizational documents of the Loan Parties), Section 5.7, Section 5.13, Section 5.20, Section 5.21(c) and (x) for purposes of Section 3.2(b), the first sentence of Section 5.22(a) of the Original Loan Agreement and (y) for purposes of Section 3.3(b), Section 5.22 of the Original Loan Agreement (other than the first sentence of Section 5.22(a)).</w:t>
      </w:r>
    </w:p>
    <w:p>
      <w:pPr>
        <w:sectPr>
          <w:pgSz w:w="11900" w:h="16838" w:orient="portrait"/>
          <w:cols w:equalWidth="0" w:num="1">
            <w:col w:w="11400"/>
          </w:cols>
          <w:pgMar w:left="240" w:top="621" w:right="259" w:bottom="1440" w:gutter="0" w:footer="0" w:header="0"/>
        </w:sectPr>
      </w:pPr>
    </w:p>
    <w:bookmarkStart w:id="176" w:name="page177"/>
    <w:bookmarkEnd w:id="176"/>
    <w:p>
      <w:pPr>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Transaction</w:t>
      </w:r>
      <w:r>
        <w:rPr>
          <w:rFonts w:ascii="Times New Roman" w:cs="Times New Roman" w:eastAsia="Times New Roman" w:hAnsi="Times New Roman"/>
          <w:sz w:val="22"/>
          <w:szCs w:val="22"/>
          <w:color w:val="auto"/>
        </w:rPr>
        <w:t>” means, with respect to any period, (a) the Transactions, (b) any Permitted Acquisition or the making of other investments pursuant to which all or substantially all of the assets or stock of a Person (or any line of business or division thereof) are acquired, (c) the disposition of all or substantially all of the assets or stock of a Subsidiary (or any line of business or division thereof), (d) any retirement or repayment of Indebtedness or (e) any other event that by the terms of the Loan Documents requires Pro Forma Compliance with a test or covenant hereunder or requires such test or covenant to be calculated on a Pro Forma Basis or after giving Pro Forma Effect thereto.</w:t>
      </w:r>
    </w:p>
    <w:p>
      <w:pPr>
        <w:spacing w:after="0" w:line="181" w:lineRule="exact"/>
        <w:rPr>
          <w:sz w:val="20"/>
          <w:szCs w:val="20"/>
          <w:color w:val="auto"/>
        </w:rPr>
      </w:pPr>
    </w:p>
    <w:p>
      <w:pPr>
        <w:ind w:right="18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means, as to any particular parent corporation or organization, any other corporation or organization more than 50.00% of the outstanding Voting Stock of which is at the time directly or indirectly owned by such parent corporation or organization or by any one (1) or more other entities which are themselves subsidiaries of such parent corporation or organization. Unless otherwise expressly noted herein, the term “Subsidiary” means a Subsidiary of the Borrower or of any of its direct or indirect Subsidiaries.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Swap Obligation</w:t>
      </w:r>
      <w:r>
        <w:rPr>
          <w:rFonts w:ascii="Times New Roman" w:cs="Times New Roman" w:eastAsia="Times New Roman" w:hAnsi="Times New Roman"/>
          <w:sz w:val="22"/>
          <w:szCs w:val="22"/>
          <w:color w:val="auto"/>
        </w:rPr>
        <w:t>” has the meaning assigned to that term in the definition of “Excluded Swap Obligation.”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Target</w:t>
      </w:r>
      <w:r>
        <w:rPr>
          <w:rFonts w:ascii="Times New Roman" w:cs="Times New Roman" w:eastAsia="Times New Roman" w:hAnsi="Times New Roman"/>
          <w:sz w:val="22"/>
          <w:szCs w:val="22"/>
          <w:color w:val="auto"/>
        </w:rPr>
        <w:t>” means the Target Company and its Subsidiaries.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Target Company</w:t>
      </w:r>
      <w:r>
        <w:rPr>
          <w:rFonts w:ascii="Times New Roman" w:cs="Times New Roman" w:eastAsia="Times New Roman" w:hAnsi="Times New Roman"/>
          <w:sz w:val="22"/>
          <w:szCs w:val="22"/>
          <w:color w:val="auto"/>
        </w:rPr>
        <w:t>” is defined in the Preliminary Statements hereto.</w:t>
      </w:r>
    </w:p>
    <w:p>
      <w:pPr>
        <w:spacing w:after="0" w:line="220" w:lineRule="exact"/>
        <w:rPr>
          <w:sz w:val="20"/>
          <w:szCs w:val="20"/>
          <w:color w:val="auto"/>
        </w:rPr>
      </w:pPr>
    </w:p>
    <w:p>
      <w:pPr>
        <w:ind w:right="6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Target SEC Documents</w:t>
      </w:r>
      <w:r>
        <w:rPr>
          <w:rFonts w:ascii="Times New Roman" w:cs="Times New Roman" w:eastAsia="Times New Roman" w:hAnsi="Times New Roman"/>
          <w:sz w:val="22"/>
          <w:szCs w:val="22"/>
          <w:color w:val="auto"/>
        </w:rPr>
        <w:t>” means all reports, schedules, forms, proxy statements, prospectuses (including prospectus supplements), registration statements and other information filed by the Target Company with the U.S. Securities and Exchange Commission or furnished by Target Company to the U.S. Securities and Exchange Commission pursuant to the Securities Exchange Act of 1934.</w:t>
      </w:r>
    </w:p>
    <w:p>
      <w:pPr>
        <w:spacing w:after="0" w:line="172" w:lineRule="exact"/>
        <w:rPr>
          <w:sz w:val="20"/>
          <w:szCs w:val="20"/>
          <w:color w:val="auto"/>
        </w:rPr>
      </w:pPr>
    </w:p>
    <w:p>
      <w:pPr>
        <w:ind w:right="18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means all present or future taxes, levies, imposts, duties, deduction, withholdings (including backup withholding), value added taxes, sales and use taxes, assessments, fees or other charges imposed by any Governmental Authority, including any interest, additions to tax or penalties applicable thereto.</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 Facility</w:t>
      </w:r>
      <w:r>
        <w:rPr>
          <w:rFonts w:ascii="Times New Roman" w:cs="Times New Roman" w:eastAsia="Times New Roman" w:hAnsi="Times New Roman"/>
          <w:sz w:val="22"/>
          <w:szCs w:val="22"/>
          <w:color w:val="auto"/>
        </w:rPr>
        <w:t>” means the credit facility for the Term A Loans described in Section 2.1(a)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 Lender</w:t>
      </w:r>
      <w:r>
        <w:rPr>
          <w:rFonts w:ascii="Times New Roman" w:cs="Times New Roman" w:eastAsia="Times New Roman" w:hAnsi="Times New Roman"/>
          <w:sz w:val="22"/>
          <w:szCs w:val="22"/>
          <w:color w:val="auto"/>
        </w:rPr>
        <w:t>” means any Lender holding all or a portion of the Term A Facility.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 Loan</w:t>
      </w:r>
      <w:r>
        <w:rPr>
          <w:rFonts w:ascii="Times New Roman" w:cs="Times New Roman" w:eastAsia="Times New Roman" w:hAnsi="Times New Roman"/>
          <w:sz w:val="22"/>
          <w:szCs w:val="22"/>
          <w:color w:val="auto"/>
        </w:rPr>
        <w:t>” is defined in Section 2.1(a) hereof.</w:t>
      </w:r>
    </w:p>
    <w:p>
      <w:pPr>
        <w:sectPr>
          <w:pgSz w:w="11900" w:h="16838" w:orient="portrait"/>
          <w:cols w:equalWidth="0" w:num="1">
            <w:col w:w="11380"/>
          </w:cols>
          <w:pgMar w:left="240" w:top="621" w:right="279" w:bottom="1440" w:gutter="0" w:footer="0" w:header="0"/>
        </w:sectPr>
      </w:pPr>
    </w:p>
    <w:bookmarkStart w:id="177" w:name="page178"/>
    <w:bookmarkEnd w:id="177"/>
    <w:p>
      <w:pPr>
        <w:ind w:right="100"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 Loan Commitment</w:t>
      </w:r>
      <w:r>
        <w:rPr>
          <w:rFonts w:ascii="Times New Roman" w:cs="Times New Roman" w:eastAsia="Times New Roman" w:hAnsi="Times New Roman"/>
          <w:sz w:val="22"/>
          <w:szCs w:val="22"/>
          <w:color w:val="auto"/>
        </w:rPr>
        <w:t>” means, as to any Lender, the obligation of such Lender to make Term A Loans on the Escrow Release Date pursuant to Section 2.1(a) hereof, in an aggregate principal amount not to exceed the amount set forth opposite such Lender’s name on Schedule 1 attached hereto and made a part hereof, as the same may be reduced pursuant to Section 2.10. The Borrower and the Term A Lenders acknowledged and agreed that the Term A Loan Commitments of the Term A Lenders aggregated $4,125.0 million as of the Closing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A-1 Facility</w:t>
      </w:r>
      <w:r>
        <w:rPr>
          <w:rFonts w:ascii="Times New Roman" w:cs="Times New Roman" w:eastAsia="Times New Roman" w:hAnsi="Times New Roman"/>
          <w:sz w:val="22"/>
          <w:szCs w:val="22"/>
          <w:color w:val="auto"/>
        </w:rPr>
        <w:t>” means the credit facility for the Term A-1 Loans described in Section 2.1(i) hereof.</w:t>
      </w:r>
    </w:p>
    <w:p>
      <w:pPr>
        <w:spacing w:after="0" w:line="220" w:lineRule="exact"/>
        <w:rPr>
          <w:sz w:val="20"/>
          <w:szCs w:val="20"/>
          <w:color w:val="auto"/>
        </w:rPr>
      </w:pPr>
    </w:p>
    <w:p>
      <w:pPr>
        <w:ind w:right="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A-1 Loan Commitment</w:t>
      </w:r>
      <w:r>
        <w:rPr>
          <w:rFonts w:ascii="Times New Roman" w:cs="Times New Roman" w:eastAsia="Times New Roman" w:hAnsi="Times New Roman"/>
          <w:sz w:val="22"/>
          <w:szCs w:val="22"/>
          <w:color w:val="auto"/>
        </w:rPr>
        <w:t>” means, with respect to a Lender, the agreement of such Lender to exchange the entire principal amount of its Term A Loans (or such lesser amount allocated to it by the Administrative Agent) for an equal principal amount of Term A-1 Loans on the Amendment No. 7 Effective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A-1 Lender</w:t>
      </w:r>
      <w:r>
        <w:rPr>
          <w:rFonts w:ascii="Times New Roman" w:cs="Times New Roman" w:eastAsia="Times New Roman" w:hAnsi="Times New Roman"/>
          <w:sz w:val="22"/>
          <w:szCs w:val="22"/>
          <w:color w:val="auto"/>
        </w:rPr>
        <w:t>” means a Lender with an outstanding Term A-1 Loan Commitment or an outstanding Term A-1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192"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A-1 Loan</w:t>
      </w:r>
      <w:r>
        <w:rPr>
          <w:rFonts w:ascii="Times New Roman" w:cs="Times New Roman" w:eastAsia="Times New Roman" w:hAnsi="Times New Roman"/>
          <w:sz w:val="22"/>
          <w:szCs w:val="22"/>
          <w:color w:val="auto"/>
        </w:rPr>
        <w:t>” means an Additional Term A-1 Loan, a Loan that is deemed made pursuant to Section 2.1(i) hereof or an Incremental Term A-1 Loan.</w:t>
      </w:r>
    </w:p>
    <w:p>
      <w:pPr>
        <w:spacing w:after="0" w:line="150" w:lineRule="exact"/>
        <w:rPr>
          <w:sz w:val="20"/>
          <w:szCs w:val="20"/>
          <w:color w:val="auto"/>
        </w:rPr>
      </w:pPr>
    </w:p>
    <w:p>
      <w:pPr>
        <w:ind w:right="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A-1 Loan Percentage</w:t>
      </w:r>
      <w:r>
        <w:rPr>
          <w:rFonts w:ascii="Times New Roman" w:cs="Times New Roman" w:eastAsia="Times New Roman" w:hAnsi="Times New Roman"/>
          <w:sz w:val="22"/>
          <w:szCs w:val="22"/>
          <w:color w:val="auto"/>
        </w:rPr>
        <w:t>” means, for any Term A-1 Lender, the percentage held by such Term A-1 Lender of the aggregate principal amount of all Term A-1 Loans then outstanding.</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A-1 Note</w:t>
      </w:r>
      <w:r>
        <w:rPr>
          <w:rFonts w:ascii="Times New Roman" w:cs="Times New Roman" w:eastAsia="Times New Roman" w:hAnsi="Times New Roman"/>
          <w:sz w:val="22"/>
          <w:szCs w:val="22"/>
          <w:color w:val="auto"/>
        </w:rPr>
        <w:t>” is defined in Section 2.12(d)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A-1 Termination Date</w:t>
      </w:r>
      <w:r>
        <w:rPr>
          <w:rFonts w:ascii="Times New Roman" w:cs="Times New Roman" w:eastAsia="Times New Roman" w:hAnsi="Times New Roman"/>
          <w:sz w:val="22"/>
          <w:szCs w:val="22"/>
          <w:color w:val="auto"/>
        </w:rPr>
        <w:t>” is defined in Section 2.7(a)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B Facility</w:t>
      </w:r>
      <w:r>
        <w:rPr>
          <w:rFonts w:ascii="Times New Roman" w:cs="Times New Roman" w:eastAsia="Times New Roman" w:hAnsi="Times New Roman"/>
          <w:sz w:val="22"/>
          <w:szCs w:val="22"/>
          <w:color w:val="auto"/>
        </w:rPr>
        <w:t>” means the U.S. Term B-4 Facility.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B Lender</w:t>
      </w:r>
      <w:r>
        <w:rPr>
          <w:rFonts w:ascii="Times New Roman" w:cs="Times New Roman" w:eastAsia="Times New Roman" w:hAnsi="Times New Roman"/>
          <w:sz w:val="22"/>
          <w:szCs w:val="22"/>
          <w:color w:val="auto"/>
        </w:rPr>
        <w:t>” means any Lender holding all or a portion of the Term B Facility.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B Loan</w:t>
      </w:r>
      <w:r>
        <w:rPr>
          <w:rFonts w:ascii="Times New Roman" w:cs="Times New Roman" w:eastAsia="Times New Roman" w:hAnsi="Times New Roman"/>
          <w:sz w:val="22"/>
          <w:szCs w:val="22"/>
          <w:color w:val="auto"/>
        </w:rPr>
        <w:t>” means the U.S. Term B-4 Loans.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B Loan Commitment</w:t>
      </w:r>
      <w:r>
        <w:rPr>
          <w:rFonts w:ascii="Times New Roman" w:cs="Times New Roman" w:eastAsia="Times New Roman" w:hAnsi="Times New Roman"/>
          <w:sz w:val="22"/>
          <w:szCs w:val="22"/>
          <w:color w:val="auto"/>
        </w:rPr>
        <w:t>” means the U.S. Term B-4 Commitments.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B Note</w:t>
      </w:r>
      <w:r>
        <w:rPr>
          <w:rFonts w:ascii="Times New Roman" w:cs="Times New Roman" w:eastAsia="Times New Roman" w:hAnsi="Times New Roman"/>
          <w:sz w:val="22"/>
          <w:szCs w:val="22"/>
          <w:color w:val="auto"/>
        </w:rPr>
        <w:t>” means the U.S. Term B-4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B Termination Date</w:t>
      </w:r>
      <w:r>
        <w:rPr>
          <w:rFonts w:ascii="Times New Roman" w:cs="Times New Roman" w:eastAsia="Times New Roman" w:hAnsi="Times New Roman"/>
          <w:sz w:val="22"/>
          <w:szCs w:val="22"/>
          <w:color w:val="auto"/>
        </w:rPr>
        <w:t>” means, as of any date, the U.S. Term B-4 Termination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Commitment Increase</w:t>
      </w:r>
      <w:r>
        <w:rPr>
          <w:rFonts w:ascii="Times New Roman" w:cs="Times New Roman" w:eastAsia="Times New Roman" w:hAnsi="Times New Roman"/>
          <w:sz w:val="22"/>
          <w:szCs w:val="22"/>
          <w:color w:val="auto"/>
        </w:rPr>
        <w:t>” is defined in Section 2.14(a) hereof.</w:t>
      </w:r>
    </w:p>
    <w:p>
      <w:pPr>
        <w:sectPr>
          <w:pgSz w:w="11900" w:h="16838" w:orient="portrait"/>
          <w:cols w:equalWidth="0" w:num="1">
            <w:col w:w="11420"/>
          </w:cols>
          <w:pgMar w:left="240" w:top="622" w:right="239" w:bottom="1440" w:gutter="0" w:footer="0" w:header="0"/>
        </w:sectPr>
      </w:pPr>
    </w:p>
    <w:bookmarkStart w:id="178" w:name="page179"/>
    <w:bookmarkEnd w:id="17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Facilities</w:t>
      </w:r>
      <w:r>
        <w:rPr>
          <w:rFonts w:ascii="Times New Roman" w:cs="Times New Roman" w:eastAsia="Times New Roman" w:hAnsi="Times New Roman"/>
          <w:sz w:val="22"/>
          <w:szCs w:val="22"/>
          <w:color w:val="auto"/>
        </w:rPr>
        <w:t>” means, collectively, the Term A-1 Facility and the Term B Facility.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Commitments</w:t>
      </w:r>
      <w:r>
        <w:rPr>
          <w:rFonts w:ascii="Times New Roman" w:cs="Times New Roman" w:eastAsia="Times New Roman" w:hAnsi="Times New Roman"/>
          <w:sz w:val="22"/>
          <w:szCs w:val="22"/>
          <w:color w:val="auto"/>
        </w:rPr>
        <w:t>” means, collectively, the Term A-1 Loan Commitments and the Term B Loan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Commitments.</w:t>
      </w:r>
    </w:p>
    <w:p>
      <w:pPr>
        <w:spacing w:after="0" w:line="192" w:lineRule="exact"/>
        <w:rPr>
          <w:sz w:val="20"/>
          <w:szCs w:val="20"/>
          <w:color w:val="auto"/>
        </w:rPr>
      </w:pPr>
    </w:p>
    <w:p>
      <w:pPr>
        <w:ind w:right="10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Percentage</w:t>
      </w:r>
      <w:r>
        <w:rPr>
          <w:rFonts w:ascii="Times New Roman" w:cs="Times New Roman" w:eastAsia="Times New Roman" w:hAnsi="Times New Roman"/>
          <w:sz w:val="22"/>
          <w:szCs w:val="22"/>
          <w:color w:val="auto"/>
        </w:rPr>
        <w:t>” means any or all of the Term A-1 Loan Percentage and the U.S. Term B-4 Loan Percentage, as the context requires.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Loans</w:t>
      </w:r>
      <w:r>
        <w:rPr>
          <w:rFonts w:ascii="Times New Roman" w:cs="Times New Roman" w:eastAsia="Times New Roman" w:hAnsi="Times New Roman"/>
          <w:sz w:val="22"/>
          <w:szCs w:val="22"/>
          <w:color w:val="auto"/>
        </w:rPr>
        <w:t>” means, collectively, the Term A-1 Loans and the Term B Loans.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Termination Date</w:t>
      </w:r>
      <w:r>
        <w:rPr>
          <w:rFonts w:ascii="Times New Roman" w:cs="Times New Roman" w:eastAsia="Times New Roman" w:hAnsi="Times New Roman"/>
          <w:sz w:val="22"/>
          <w:szCs w:val="22"/>
          <w:color w:val="auto"/>
        </w:rPr>
        <w:t>” is defined in the lead-in to Article 6 hereof.</w:t>
      </w:r>
    </w:p>
    <w:p>
      <w:pPr>
        <w:spacing w:after="0" w:line="220" w:lineRule="exact"/>
        <w:rPr>
          <w:sz w:val="20"/>
          <w:szCs w:val="20"/>
          <w:color w:val="auto"/>
        </w:rPr>
      </w:pPr>
    </w:p>
    <w:p>
      <w:pPr>
        <w:ind w:right="20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Consideration</w:t>
      </w:r>
      <w:r>
        <w:rPr>
          <w:rFonts w:ascii="Times New Roman" w:cs="Times New Roman" w:eastAsia="Times New Roman" w:hAnsi="Times New Roman"/>
          <w:sz w:val="22"/>
          <w:szCs w:val="22"/>
          <w:color w:val="auto"/>
        </w:rPr>
        <w:t xml:space="preserve">” means the total amount (but without duplication) of (a) cash paid in connection with any Acquisition,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Indebtedness for borrowed money payable to the seller in connection with such Acquisition,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(c) the fair market value of any equity securities, including any warrants or options therefor, delivered to the seller in connection with any Acquisition,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(d) the amount of Indebtedness assumed in connection with any Acquisition.</w:t>
      </w:r>
    </w:p>
    <w:p>
      <w:pPr>
        <w:spacing w:after="0" w:line="172" w:lineRule="exact"/>
        <w:rPr>
          <w:sz w:val="20"/>
          <w:szCs w:val="20"/>
          <w:color w:val="auto"/>
        </w:rPr>
      </w:pPr>
    </w:p>
    <w:p>
      <w:pPr>
        <w:ind w:right="42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Funded Debt</w:t>
      </w:r>
      <w:r>
        <w:rPr>
          <w:rFonts w:ascii="Times New Roman" w:cs="Times New Roman" w:eastAsia="Times New Roman" w:hAnsi="Times New Roman"/>
          <w:sz w:val="22"/>
          <w:szCs w:val="22"/>
          <w:color w:val="auto"/>
        </w:rPr>
        <w:t>” means, at any time the same is to be determined, the aggregate amount of all Indebtedness under clauses (a), (c), (d) and (e) of such definition (to the extent, in the case of clause (e), that such obligations are funded obligations that have not been reimbursed within two (2) Business Days following the funding thereof) of the Borrower and its Restricted Subsidiaries, as determined on a consolidated basis in accordance with GAAP.</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w:t>
      </w:r>
      <w:r>
        <w:rPr>
          <w:rFonts w:ascii="Times New Roman" w:cs="Times New Roman" w:eastAsia="Times New Roman" w:hAnsi="Times New Roman"/>
          <w:sz w:val="22"/>
          <w:szCs w:val="22"/>
          <w:color w:val="auto"/>
        </w:rPr>
        <w:t>” is defined in Section 2.15(a) hereof.</w:t>
      </w:r>
    </w:p>
    <w:p>
      <w:pPr>
        <w:spacing w:after="0" w:line="220" w:lineRule="exact"/>
        <w:rPr>
          <w:sz w:val="20"/>
          <w:szCs w:val="20"/>
          <w:color w:val="auto"/>
        </w:rPr>
      </w:pPr>
    </w:p>
    <w:p>
      <w:pPr>
        <w:ind w:right="10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 Expenses</w:t>
      </w:r>
      <w:r>
        <w:rPr>
          <w:rFonts w:ascii="Times New Roman" w:cs="Times New Roman" w:eastAsia="Times New Roman" w:hAnsi="Times New Roman"/>
          <w:sz w:val="22"/>
          <w:szCs w:val="22"/>
          <w:color w:val="auto"/>
        </w:rPr>
        <w:t>” means any fees, costs or expenses incurred or paid by the Borrower or any of its Restricted Subsidiaries in connection with the Transactions (including OID).</w:t>
      </w:r>
    </w:p>
    <w:p>
      <w:pPr>
        <w:spacing w:after="0" w:line="150"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Transactions</w:t>
      </w:r>
      <w:r>
        <w:rPr>
          <w:rFonts w:ascii="Times New Roman" w:cs="Times New Roman" w:eastAsia="Times New Roman" w:hAnsi="Times New Roman"/>
          <w:sz w:val="21"/>
          <w:szCs w:val="21"/>
          <w:color w:val="auto"/>
        </w:rPr>
        <w:t>” means, collectively, (a) the transactions contemplated by this Agreement and the other Loan Documents (including the entering into of the Escrow Agreement, the funding of the Escrow Account and the release of funds therefrom), (b) the Escrow Release Date Refinancing and the repurchase of the Convertible Notes in connection with the Schrader Acquisition, (c) the Schrader Acquisition and the other transactions to occur pursuant to or in connection with the Acquisition Agreement, (d) the entry into the Senior Notes Documents and the offering and issuance of the Senior Notes (including the entering into of the Senior Notes Escrow Agreement, the funding of the Senior Notes Escrow Account and the release of funds therefrom),</w:t>
      </w:r>
    </w:p>
    <w:p>
      <w:pPr>
        <w:spacing w:after="0" w:line="4" w:lineRule="exact"/>
        <w:rPr>
          <w:sz w:val="20"/>
          <w:szCs w:val="20"/>
          <w:color w:val="auto"/>
        </w:rPr>
      </w:pPr>
    </w:p>
    <w:p>
      <w:pPr>
        <w:ind w:right="200" w:firstLine="8"/>
        <w:spacing w:after="0" w:line="248" w:lineRule="auto"/>
        <w:tabs>
          <w:tab w:leader="none" w:pos="29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into the Additional Bridge Facility and the incurrence of Indebtedness thereunder, (f) the payment of the Transaction Expenses and (g) the Intercompany Transactions and related transactions.</w:t>
      </w:r>
    </w:p>
    <w:p>
      <w:pPr>
        <w:sectPr>
          <w:pgSz w:w="11900" w:h="16838" w:orient="portrait"/>
          <w:cols w:equalWidth="0" w:num="1">
            <w:col w:w="11400"/>
          </w:cols>
          <w:pgMar w:left="240" w:top="621" w:right="259" w:bottom="1440" w:gutter="0" w:footer="0" w:header="0"/>
        </w:sectPr>
      </w:pPr>
    </w:p>
    <w:bookmarkStart w:id="179" w:name="page180"/>
    <w:bookmarkEnd w:id="179"/>
    <w:p>
      <w:pPr>
        <w:ind w:right="580"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Treasury Regulations</w:t>
      </w:r>
      <w:r>
        <w:rPr>
          <w:rFonts w:ascii="Times New Roman" w:cs="Times New Roman" w:eastAsia="Times New Roman" w:hAnsi="Times New Roman"/>
          <w:sz w:val="22"/>
          <w:szCs w:val="22"/>
          <w:color w:val="auto"/>
        </w:rPr>
        <w:t>” means the regulations issued by the Internal Revenue Service under the Code, as such regulations may be amended from time to time.</w:t>
      </w:r>
    </w:p>
    <w:p>
      <w:pPr>
        <w:spacing w:after="0" w:line="150" w:lineRule="exact"/>
        <w:rPr>
          <w:sz w:val="20"/>
          <w:szCs w:val="20"/>
          <w:color w:val="auto"/>
        </w:rPr>
      </w:pPr>
    </w:p>
    <w:p>
      <w:pPr>
        <w:ind w:right="22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UCC</w:t>
      </w:r>
      <w:r>
        <w:rPr>
          <w:rFonts w:ascii="Times New Roman" w:cs="Times New Roman" w:eastAsia="Times New Roman" w:hAnsi="Times New Roman"/>
          <w:sz w:val="22"/>
          <w:szCs w:val="22"/>
          <w:color w:val="auto"/>
        </w:rPr>
        <w:t>” means the Uniform Commercial Code or any successor provision thereof as in effect from time to time (except as otherwise specified) in the State of New York or the Uniform Commercial Code or any successor provision thereof (or similar code or statute) of another jurisdiction, to the extent it may be required to apply to any item or items of Collateral.</w:t>
      </w:r>
    </w:p>
    <w:p>
      <w:pPr>
        <w:spacing w:after="0" w:line="167" w:lineRule="exact"/>
        <w:rPr>
          <w:sz w:val="20"/>
          <w:szCs w:val="20"/>
          <w:color w:val="auto"/>
        </w:rPr>
      </w:pPr>
    </w:p>
    <w:p>
      <w:pPr>
        <w:ind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Unfunded Vested Liabilities</w:t>
      </w:r>
      <w:r>
        <w:rPr>
          <w:rFonts w:ascii="Times New Roman" w:cs="Times New Roman" w:eastAsia="Times New Roman" w:hAnsi="Times New Roman"/>
          <w:sz w:val="22"/>
          <w:szCs w:val="22"/>
          <w:color w:val="auto"/>
        </w:rPr>
        <w:t>” means, for any Plan at any time, the amount (if any) by which the 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172" w:lineRule="exact"/>
        <w:rPr>
          <w:sz w:val="20"/>
          <w:szCs w:val="20"/>
          <w:color w:val="auto"/>
        </w:rPr>
      </w:pPr>
    </w:p>
    <w:p>
      <w:pPr>
        <w:ind w:right="56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Unrestricted Subsidiary</w:t>
      </w:r>
      <w:r>
        <w:rPr>
          <w:rFonts w:ascii="Times New Roman" w:cs="Times New Roman" w:eastAsia="Times New Roman" w:hAnsi="Times New Roman"/>
          <w:sz w:val="21"/>
          <w:szCs w:val="21"/>
          <w:color w:val="auto"/>
        </w:rPr>
        <w:t>” means (a) any Subsidiary designated by the Borrower as an Unrestricted Subsidiary pursuant to Section 6.9 subsequent to the Escrow Release Date and (b) any Subsidiary of an Unrestricted Subsidiary.</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Unsecured Covenant Package</w:t>
      </w:r>
      <w:r>
        <w:rPr>
          <w:rFonts w:ascii="Times New Roman" w:cs="Times New Roman" w:eastAsia="Times New Roman" w:hAnsi="Times New Roman"/>
          <w:sz w:val="22"/>
          <w:szCs w:val="22"/>
          <w:color w:val="auto"/>
        </w:rPr>
        <w:t>” means the provisions, requirements, exceptions or baskets described in 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2.8(c), Section 2.14 and Article 6, other than those that specifically state that they only apply during an Secured Covenants Period.</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Unsecured Covenants Period</w:t>
      </w:r>
      <w:r>
        <w:rPr>
          <w:rFonts w:ascii="Times New Roman" w:cs="Times New Roman" w:eastAsia="Times New Roman" w:hAnsi="Times New Roman"/>
          <w:sz w:val="22"/>
          <w:szCs w:val="22"/>
          <w:color w:val="auto"/>
        </w:rPr>
        <w:t>” is defined in Section 9.12 hereof.</w:t>
      </w:r>
    </w:p>
    <w:p>
      <w:pPr>
        <w:spacing w:after="0" w:line="220" w:lineRule="exact"/>
        <w:rPr>
          <w:sz w:val="20"/>
          <w:szCs w:val="20"/>
          <w:color w:val="auto"/>
        </w:rPr>
      </w:pPr>
    </w:p>
    <w:p>
      <w:pPr>
        <w:ind w:right="880" w:firstLine="129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Unused Revolving Credit Commitments</w:t>
      </w:r>
      <w:r>
        <w:rPr>
          <w:rFonts w:ascii="Times New Roman" w:cs="Times New Roman" w:eastAsia="Times New Roman" w:hAnsi="Times New Roman"/>
          <w:sz w:val="21"/>
          <w:szCs w:val="21"/>
          <w:color w:val="auto"/>
        </w:rPr>
        <w:t>” means, at any time, the difference between the Revolving Credit Commitments then in effect and the aggregate outstanding principal amount of Revolving Loans and L/C Obligations.</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is defined in Section 10.1(c)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 Facility</w:t>
      </w:r>
      <w:r>
        <w:rPr>
          <w:rFonts w:ascii="Times New Roman" w:cs="Times New Roman" w:eastAsia="Times New Roman" w:hAnsi="Times New Roman"/>
          <w:sz w:val="22"/>
          <w:szCs w:val="22"/>
          <w:color w:val="auto"/>
        </w:rPr>
        <w:t>” means the credit facility for the U.S. Term B Loans described in Section 2.1(b)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 Lender</w:t>
      </w:r>
      <w:r>
        <w:rPr>
          <w:rFonts w:ascii="Times New Roman" w:cs="Times New Roman" w:eastAsia="Times New Roman" w:hAnsi="Times New Roman"/>
          <w:sz w:val="22"/>
          <w:szCs w:val="22"/>
          <w:color w:val="auto"/>
        </w:rPr>
        <w:t>” means any Lender holding all or a portion of the U.S. Term B Facility.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 Loan</w:t>
      </w:r>
      <w:r>
        <w:rPr>
          <w:rFonts w:ascii="Times New Roman" w:cs="Times New Roman" w:eastAsia="Times New Roman" w:hAnsi="Times New Roman"/>
          <w:sz w:val="22"/>
          <w:szCs w:val="22"/>
          <w:color w:val="auto"/>
        </w:rPr>
        <w:t>” is defined in Section 2.1(b) hereof.</w:t>
      </w:r>
    </w:p>
    <w:p>
      <w:pPr>
        <w:spacing w:after="0" w:line="220" w:lineRule="exact"/>
        <w:rPr>
          <w:sz w:val="20"/>
          <w:szCs w:val="20"/>
          <w:color w:val="auto"/>
        </w:rPr>
      </w:pPr>
    </w:p>
    <w:p>
      <w:pPr>
        <w:ind w:right="200" w:firstLine="1297"/>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Term B Loan Commitment</w:t>
      </w:r>
      <w:r>
        <w:rPr>
          <w:rFonts w:ascii="Times New Roman" w:cs="Times New Roman" w:eastAsia="Times New Roman" w:hAnsi="Times New Roman"/>
          <w:sz w:val="21"/>
          <w:szCs w:val="21"/>
          <w:color w:val="auto"/>
        </w:rPr>
        <w:t xml:space="preserve">” means, as to any Lender, the obligation of such Lender to make U.S. Term B Loans hereunder in an aggregate principal amount not to exceed the amount set forth opposite such Lender’s name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attached hereto and made a part hereof, as the same may be reduced pursuant to Section 2.10. The Borrower and the U.S. Term</w:t>
      </w:r>
    </w:p>
    <w:p>
      <w:pPr>
        <w:sectPr>
          <w:pgSz w:w="11900" w:h="16838" w:orient="portrait"/>
          <w:cols w:equalWidth="0" w:num="1">
            <w:col w:w="11400"/>
          </w:cols>
          <w:pgMar w:left="240" w:top="621" w:right="259" w:bottom="1440" w:gutter="0" w:footer="0" w:header="0"/>
        </w:sectPr>
      </w:pPr>
    </w:p>
    <w:bookmarkStart w:id="180" w:name="page181"/>
    <w:bookmarkEnd w:id="180"/>
    <w:p>
      <w:pPr>
        <w:ind w:right="320"/>
        <w:spacing w:after="0" w:line="271" w:lineRule="auto"/>
        <w:rPr>
          <w:sz w:val="20"/>
          <w:szCs w:val="20"/>
          <w:color w:val="auto"/>
        </w:rPr>
      </w:pPr>
      <w:r>
        <w:rPr>
          <w:rFonts w:ascii="Times New Roman" w:cs="Times New Roman" w:eastAsia="Times New Roman" w:hAnsi="Times New Roman"/>
          <w:sz w:val="22"/>
          <w:szCs w:val="22"/>
          <w:color w:val="auto"/>
        </w:rPr>
        <w:t>B Lenders acknowledged and agreed that the U.S. Term B Loan Commitments of the U.S. Term B Lenders aggregated $3,750.0 million as of the Closing Date.</w:t>
      </w:r>
    </w:p>
    <w:p>
      <w:pPr>
        <w:spacing w:after="0" w:line="154" w:lineRule="exact"/>
        <w:rPr>
          <w:sz w:val="20"/>
          <w:szCs w:val="20"/>
          <w:color w:val="auto"/>
        </w:rPr>
      </w:pPr>
    </w:p>
    <w:p>
      <w:pPr>
        <w:ind w:right="10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B-1 Commitment</w:t>
      </w:r>
      <w:r>
        <w:rPr>
          <w:rFonts w:ascii="Times New Roman" w:cs="Times New Roman" w:eastAsia="Times New Roman" w:hAnsi="Times New Roman"/>
          <w:sz w:val="22"/>
          <w:szCs w:val="22"/>
          <w:color w:val="auto"/>
        </w:rPr>
        <w:t>” means, with respect to a Lender, the agreement of such Lender to exchange the entire principal amount of its U.S. Term B Loans (or such lesser amount allocated to it by the Administrative Agent) for an equal principal amount of U.S. Term B-1 Loans on the Amendment No. 1 Effective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B-1 Lender</w:t>
      </w:r>
      <w:r>
        <w:rPr>
          <w:rFonts w:ascii="Times New Roman" w:cs="Times New Roman" w:eastAsia="Times New Roman" w:hAnsi="Times New Roman"/>
          <w:sz w:val="22"/>
          <w:szCs w:val="22"/>
          <w:color w:val="auto"/>
        </w:rPr>
        <w:t>” means a Lender with an outstanding U.S. Term B-1 Commitment or an outstanding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B-1 Loan.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Term B-1 Loan</w:t>
      </w:r>
      <w:r>
        <w:rPr>
          <w:rFonts w:ascii="Times New Roman" w:cs="Times New Roman" w:eastAsia="Times New Roman" w:hAnsi="Times New Roman"/>
          <w:sz w:val="21"/>
          <w:szCs w:val="21"/>
          <w:color w:val="auto"/>
        </w:rPr>
        <w:t>” means an Additional U.S. Term B-1 Loan or a Loan that is deemed made pursuant to Section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2.1(d) hereof.</w:t>
      </w:r>
    </w:p>
    <w:p>
      <w:pPr>
        <w:spacing w:after="0" w:line="192" w:lineRule="exact"/>
        <w:rPr>
          <w:sz w:val="20"/>
          <w:szCs w:val="20"/>
          <w:color w:val="auto"/>
        </w:rPr>
      </w:pPr>
    </w:p>
    <w:p>
      <w:pPr>
        <w:ind w:right="10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B-2 Commitment</w:t>
      </w:r>
      <w:r>
        <w:rPr>
          <w:rFonts w:ascii="Times New Roman" w:cs="Times New Roman" w:eastAsia="Times New Roman" w:hAnsi="Times New Roman"/>
          <w:sz w:val="22"/>
          <w:szCs w:val="22"/>
          <w:color w:val="auto"/>
        </w:rPr>
        <w:t>” means, with respect to a Lender, the agreement of such Lender to exchange the entire principal amount of its U.S. Term B-1 Loans (or such lesser amount allocated to it by the Administrative Agent) for an equal principal amount of U.S. Term B-2 Loans on the Amendment No. 3 Effective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B-2 Lender</w:t>
      </w:r>
      <w:r>
        <w:rPr>
          <w:rFonts w:ascii="Times New Roman" w:cs="Times New Roman" w:eastAsia="Times New Roman" w:hAnsi="Times New Roman"/>
          <w:sz w:val="22"/>
          <w:szCs w:val="22"/>
          <w:color w:val="auto"/>
        </w:rPr>
        <w:t>” means a Lender with an outstanding U.S. Term B-2 Commitment or an outstanding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B-2 Loan.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Term B-2 Loan</w:t>
      </w:r>
      <w:r>
        <w:rPr>
          <w:rFonts w:ascii="Times New Roman" w:cs="Times New Roman" w:eastAsia="Times New Roman" w:hAnsi="Times New Roman"/>
          <w:sz w:val="21"/>
          <w:szCs w:val="21"/>
          <w:color w:val="auto"/>
        </w:rPr>
        <w:t>” means an Additional U.S. Term B-2 Loan or a Loan that is deemed made pursuant to Section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2.1(d) hereof.</w:t>
      </w:r>
    </w:p>
    <w:p>
      <w:pPr>
        <w:spacing w:after="0" w:line="192" w:lineRule="exact"/>
        <w:rPr>
          <w:sz w:val="20"/>
          <w:szCs w:val="20"/>
          <w:color w:val="auto"/>
        </w:rPr>
      </w:pPr>
    </w:p>
    <w:p>
      <w:pPr>
        <w:ind w:right="10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B-3 Commitment</w:t>
      </w:r>
      <w:r>
        <w:rPr>
          <w:rFonts w:ascii="Times New Roman" w:cs="Times New Roman" w:eastAsia="Times New Roman" w:hAnsi="Times New Roman"/>
          <w:sz w:val="22"/>
          <w:szCs w:val="22"/>
          <w:color w:val="auto"/>
        </w:rPr>
        <w:t>” means, with respect to a Lender, the agreement of such Lender to exchange the entire principal amount of its U.S. Term B-2 Loans (or such lesser amount allocated to it by the Administrative Agent) for an equal principal amount of U.S. Term B-3 Loans on the Amendment No. 5 Effective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B-3 Facility</w:t>
      </w:r>
      <w:r>
        <w:rPr>
          <w:rFonts w:ascii="Times New Roman" w:cs="Times New Roman" w:eastAsia="Times New Roman" w:hAnsi="Times New Roman"/>
          <w:sz w:val="22"/>
          <w:szCs w:val="22"/>
          <w:color w:val="auto"/>
        </w:rPr>
        <w:t>” means the credit facility for the U.S. Term B-3 Loans described in Section 2.1(h)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B-3 Lender</w:t>
      </w:r>
      <w:r>
        <w:rPr>
          <w:rFonts w:ascii="Times New Roman" w:cs="Times New Roman" w:eastAsia="Times New Roman" w:hAnsi="Times New Roman"/>
          <w:sz w:val="22"/>
          <w:szCs w:val="22"/>
          <w:color w:val="auto"/>
        </w:rPr>
        <w:t>” means a Lender with an outstanding U.S. Term B-3 Commitment or an outstanding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B-3 Loan.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Term B-3 Loan</w:t>
      </w:r>
      <w:r>
        <w:rPr>
          <w:rFonts w:ascii="Times New Roman" w:cs="Times New Roman" w:eastAsia="Times New Roman" w:hAnsi="Times New Roman"/>
          <w:sz w:val="21"/>
          <w:szCs w:val="21"/>
          <w:color w:val="auto"/>
        </w:rPr>
        <w:t>” means an Additional U.S. Term B-3 Loan or a Loan that is deemed made pursuant to Section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2.1(h) hereof.</w:t>
      </w:r>
    </w:p>
    <w:p>
      <w:pPr>
        <w:spacing w:after="0" w:line="192"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B-3 Loan Percentage</w:t>
      </w:r>
      <w:r>
        <w:rPr>
          <w:rFonts w:ascii="Times New Roman" w:cs="Times New Roman" w:eastAsia="Times New Roman" w:hAnsi="Times New Roman"/>
          <w:sz w:val="22"/>
          <w:szCs w:val="22"/>
          <w:color w:val="auto"/>
        </w:rPr>
        <w:t>” means, for any U.S. Term B-3 Lender, the percentage held by such U.S. Term B-3 Lender of the aggregate principal amount of all U.S. Term B-3 Loans then outstanding.</w:t>
      </w:r>
    </w:p>
    <w:p>
      <w:pPr>
        <w:sectPr>
          <w:pgSz w:w="11900" w:h="16838" w:orient="portrait"/>
          <w:cols w:equalWidth="0" w:num="1">
            <w:col w:w="11400"/>
          </w:cols>
          <w:pgMar w:left="240" w:top="625" w:right="259" w:bottom="1440" w:gutter="0" w:footer="0" w:header="0"/>
        </w:sectPr>
      </w:pPr>
    </w:p>
    <w:bookmarkStart w:id="181" w:name="page182"/>
    <w:bookmarkEnd w:id="18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B-3 Note</w:t>
      </w:r>
      <w:r>
        <w:rPr>
          <w:rFonts w:ascii="Times New Roman" w:cs="Times New Roman" w:eastAsia="Times New Roman" w:hAnsi="Times New Roman"/>
          <w:sz w:val="22"/>
          <w:szCs w:val="22"/>
          <w:color w:val="auto"/>
        </w:rPr>
        <w:t>” is defined in Section 2.12(d)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B-3 Termination Date</w:t>
      </w:r>
      <w:r>
        <w:rPr>
          <w:rFonts w:ascii="Times New Roman" w:cs="Times New Roman" w:eastAsia="Times New Roman" w:hAnsi="Times New Roman"/>
          <w:sz w:val="22"/>
          <w:szCs w:val="22"/>
          <w:color w:val="auto"/>
        </w:rPr>
        <w:t>” is defined in Section 2.7(b) hereof.</w:t>
      </w:r>
    </w:p>
    <w:p>
      <w:pPr>
        <w:spacing w:after="0" w:line="220" w:lineRule="exact"/>
        <w:rPr>
          <w:sz w:val="20"/>
          <w:szCs w:val="20"/>
          <w:color w:val="auto"/>
        </w:rPr>
      </w:pPr>
    </w:p>
    <w:p>
      <w:pPr>
        <w:ind w:right="10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B-4 Commitment</w:t>
      </w:r>
      <w:r>
        <w:rPr>
          <w:rFonts w:ascii="Times New Roman" w:cs="Times New Roman" w:eastAsia="Times New Roman" w:hAnsi="Times New Roman"/>
          <w:sz w:val="22"/>
          <w:szCs w:val="22"/>
          <w:color w:val="auto"/>
        </w:rPr>
        <w:t>” means, with respect to a Lender, the agreement of such Lender to exchange the entire principal amount of its U.S. Term B-3 Loans (or such lesser amount allocated to it by the Administrative Agent) for an equal principal amount of U.S. Term B-4 Loans on the Amendment No. 8 Effective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B-4 Facility</w:t>
      </w:r>
      <w:r>
        <w:rPr>
          <w:rFonts w:ascii="Times New Roman" w:cs="Times New Roman" w:eastAsia="Times New Roman" w:hAnsi="Times New Roman"/>
          <w:sz w:val="22"/>
          <w:szCs w:val="22"/>
          <w:color w:val="auto"/>
        </w:rPr>
        <w:t>” means the credit facility for the U.S. Term B-4 Loans described in Section 2.1(k)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B-4 Lender</w:t>
      </w:r>
      <w:r>
        <w:rPr>
          <w:rFonts w:ascii="Times New Roman" w:cs="Times New Roman" w:eastAsia="Times New Roman" w:hAnsi="Times New Roman"/>
          <w:sz w:val="22"/>
          <w:szCs w:val="22"/>
          <w:color w:val="auto"/>
        </w:rPr>
        <w:t>” means a Lender with an outstanding U.S. Term B-4 Commitment or an outstanding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B-4 Loan.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Term B-4 Loan</w:t>
      </w:r>
      <w:r>
        <w:rPr>
          <w:rFonts w:ascii="Times New Roman" w:cs="Times New Roman" w:eastAsia="Times New Roman" w:hAnsi="Times New Roman"/>
          <w:sz w:val="21"/>
          <w:szCs w:val="21"/>
          <w:color w:val="auto"/>
        </w:rPr>
        <w:t>” means an Additional U.S. Term B-4 Loan or a Loan that is deemed made pursuant to Section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2.1(k) hereof.</w:t>
      </w:r>
    </w:p>
    <w:p>
      <w:pPr>
        <w:spacing w:after="0" w:line="192"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B-4 Loan Percentage</w:t>
      </w:r>
      <w:r>
        <w:rPr>
          <w:rFonts w:ascii="Times New Roman" w:cs="Times New Roman" w:eastAsia="Times New Roman" w:hAnsi="Times New Roman"/>
          <w:sz w:val="22"/>
          <w:szCs w:val="22"/>
          <w:color w:val="auto"/>
        </w:rPr>
        <w:t>” means, for any U.S. Term B-4 Lender, the percentage held by such U.S. Term B-4 Lender of the aggregate principal amount of all U.S. Term B-4 Loans then outstanding.</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B-4 Note</w:t>
      </w:r>
      <w:r>
        <w:rPr>
          <w:rFonts w:ascii="Times New Roman" w:cs="Times New Roman" w:eastAsia="Times New Roman" w:hAnsi="Times New Roman"/>
          <w:sz w:val="22"/>
          <w:szCs w:val="22"/>
          <w:color w:val="auto"/>
        </w:rPr>
        <w:t>” is defined in Section 2.12(d)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Term B-4 Termination Date</w:t>
      </w:r>
      <w:r>
        <w:rPr>
          <w:rFonts w:ascii="Times New Roman" w:cs="Times New Roman" w:eastAsia="Times New Roman" w:hAnsi="Times New Roman"/>
          <w:sz w:val="22"/>
          <w:szCs w:val="22"/>
          <w:color w:val="auto"/>
        </w:rPr>
        <w:t>” is defined in Section 2.7(b) hereof.</w:t>
      </w:r>
    </w:p>
    <w:p>
      <w:pPr>
        <w:spacing w:after="0" w:line="220" w:lineRule="exact"/>
        <w:rPr>
          <w:sz w:val="20"/>
          <w:szCs w:val="20"/>
          <w:color w:val="auto"/>
        </w:rPr>
      </w:pPr>
    </w:p>
    <w:p>
      <w:pPr>
        <w:jc w:val="both"/>
        <w:ind w:right="4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Voting Stock</w:t>
      </w:r>
      <w:r>
        <w:rPr>
          <w:rFonts w:ascii="Times New Roman" w:cs="Times New Roman" w:eastAsia="Times New Roman" w:hAnsi="Times New Roman"/>
          <w:sz w:val="22"/>
          <w:szCs w:val="22"/>
          <w:color w:val="auto"/>
        </w:rPr>
        <w:t>” of any Person means capital stock, shares or other Equity Interests of any class or classes (however designated) having ordinary power for the election of directors or other similar governing body of such Person (including, without limitation, general partners of a partnership), other than stock, shares or other Equity Interests having such power only by reason of the happening of a contingency.</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WDC Guarantor</w:t>
      </w:r>
      <w:r>
        <w:rPr>
          <w:rFonts w:ascii="Times New Roman" w:cs="Times New Roman" w:eastAsia="Times New Roman" w:hAnsi="Times New Roman"/>
          <w:sz w:val="22"/>
          <w:szCs w:val="22"/>
          <w:color w:val="auto"/>
        </w:rPr>
        <w:t>” means a Guarantor that is a Subsidiary of the Borrower as of the Closing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Weighted Average Life to Maturity</w:t>
      </w:r>
      <w:r>
        <w:rPr>
          <w:rFonts w:ascii="Times New Roman" w:cs="Times New Roman" w:eastAsia="Times New Roman" w:hAnsi="Times New Roman"/>
          <w:sz w:val="21"/>
          <w:szCs w:val="21"/>
          <w:color w:val="auto"/>
        </w:rPr>
        <w:t>” means, when applied to any Indebtedness at any date, the quotient obtained by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dividing:</w:t>
      </w:r>
    </w:p>
    <w:p>
      <w:pPr>
        <w:spacing w:after="0" w:line="196" w:lineRule="exact"/>
        <w:rPr>
          <w:sz w:val="20"/>
          <w:szCs w:val="20"/>
          <w:color w:val="auto"/>
        </w:rPr>
      </w:pPr>
    </w:p>
    <w:p>
      <w:pPr>
        <w:ind w:left="660" w:right="300" w:firstLine="645"/>
        <w:spacing w:after="0" w:line="271" w:lineRule="auto"/>
        <w:tabs>
          <w:tab w:leader="none" w:pos="176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products of the number of years from the date of determination to the date of each successive scheduled principal payment of such Indebtedness multiplied by the amount of such payment; by</w:t>
      </w:r>
    </w:p>
    <w:p>
      <w:pPr>
        <w:spacing w:after="0" w:line="157"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all such payments.</w:t>
      </w:r>
    </w:p>
    <w:p>
      <w:pPr>
        <w:sectPr>
          <w:pgSz w:w="11900" w:h="16838" w:orient="portrait"/>
          <w:cols w:equalWidth="0" w:num="1">
            <w:col w:w="11400"/>
          </w:cols>
          <w:pgMar w:left="240" w:top="621" w:right="259" w:bottom="1440" w:gutter="0" w:footer="0" w:header="0"/>
        </w:sectPr>
      </w:pPr>
    </w:p>
    <w:bookmarkStart w:id="182" w:name="page183"/>
    <w:bookmarkEnd w:id="18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Welfare Plan</w:t>
      </w:r>
      <w:r>
        <w:rPr>
          <w:rFonts w:ascii="Times New Roman" w:cs="Times New Roman" w:eastAsia="Times New Roman" w:hAnsi="Times New Roman"/>
          <w:sz w:val="22"/>
          <w:szCs w:val="22"/>
          <w:color w:val="auto"/>
        </w:rPr>
        <w:t>” means a “welfare plan” as defined in Section 3(1) of ERISA.</w:t>
      </w:r>
    </w:p>
    <w:p>
      <w:pPr>
        <w:spacing w:after="0" w:line="220" w:lineRule="exact"/>
        <w:rPr>
          <w:sz w:val="20"/>
          <w:szCs w:val="20"/>
          <w:color w:val="auto"/>
        </w:rPr>
      </w:pPr>
    </w:p>
    <w:p>
      <w:pPr>
        <w:ind w:right="120"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Wholly-owned Subsidiary</w:t>
      </w:r>
      <w:r>
        <w:rPr>
          <w:rFonts w:ascii="Times New Roman" w:cs="Times New Roman" w:eastAsia="Times New Roman" w:hAnsi="Times New Roman"/>
          <w:sz w:val="22"/>
          <w:szCs w:val="22"/>
          <w:color w:val="auto"/>
        </w:rPr>
        <w:t>” means, at any time, any Subsidiary of which all of the issued and outstanding shares of capital stock (other than directors’ qualifying shares and shares held by a resident of the jurisdiction, in each case, as required by law) or other Equity Interests are owned by any one (1) or more of the Borrower and the Borrower’s other Wholly-owned Subsidiaries at such time.</w:t>
      </w:r>
    </w:p>
    <w:p>
      <w:pPr>
        <w:spacing w:after="0" w:line="172" w:lineRule="exact"/>
        <w:rPr>
          <w:sz w:val="20"/>
          <w:szCs w:val="20"/>
          <w:color w:val="auto"/>
        </w:rPr>
      </w:pPr>
    </w:p>
    <w:p>
      <w:pPr>
        <w:ind w:right="240"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Write-Down and Conversion Powers</w:t>
      </w:r>
      <w:r>
        <w:rPr>
          <w:rFonts w:ascii="Times New Roman" w:cs="Times New Roman" w:eastAsia="Times New Roman" w:hAnsi="Times New Roman"/>
          <w:sz w:val="22"/>
          <w:szCs w:val="22"/>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7" w:lineRule="exact"/>
        <w:rPr>
          <w:sz w:val="20"/>
          <w:szCs w:val="20"/>
          <w:color w:val="auto"/>
        </w:rPr>
      </w:pPr>
    </w:p>
    <w:p>
      <w:pPr>
        <w:ind w:right="36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18"/>
          <w:szCs w:val="18"/>
          <w:color w:val="auto"/>
        </w:rPr>
        <w:t>. With reference to this Agreement and each other Loan Document, unless otherwise specified herein or in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other Loan Document:</w:t>
      </w:r>
    </w:p>
    <w:p>
      <w:pPr>
        <w:spacing w:after="0" w:line="192" w:lineRule="exact"/>
        <w:rPr>
          <w:sz w:val="20"/>
          <w:szCs w:val="20"/>
          <w:color w:val="auto"/>
        </w:rPr>
      </w:pPr>
    </w:p>
    <w:p>
      <w:pPr>
        <w:ind w:left="660" w:firstLine="1293"/>
        <w:spacing w:after="0" w:line="244" w:lineRule="auto"/>
        <w:tabs>
          <w:tab w:leader="none" w:pos="241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Generally</w:t>
      </w:r>
      <w:r>
        <w:rPr>
          <w:rFonts w:ascii="Times New Roman" w:cs="Times New Roman" w:eastAsia="Times New Roman" w:hAnsi="Times New Roman"/>
          <w:sz w:val="22"/>
          <w:szCs w:val="22"/>
          <w:color w:val="auto"/>
        </w:rPr>
        <w:t>. The meanings of defined terms are equally applicable to the singular and plural forms of the defined terms. The words “herein,” “hereto,” “hereof” and “hereunder” and words of similar import when used in any Loan Document shall refer to such Loan Document as a whole and not to any particular provision thereof. Unless otherwise specified therein, references in a particular agreement to an Exhibit, Schedule, Article, Section, clause or sub-clause refer to the appropriate Exhibit or Schedule to, or Article, Section, clause or sub-clause in, such agreement. The term “including” is by way of example and not limitation. The term “documents” includes any and all instruments, documents, agreements, certificates, notices, reports, financial statements and other writings, however evidenced, whether in physical or electronic form. Any reference herein to any Person shall be construed to include such Person’s successors and permitted assigns. In the computation of periods of time from a specified date to a later specified date, the word “from” means “from and including”; the words “to” and “until” each mean “to but excluding”; and the word “through” means “to and including.” The words “asset” and “property” shall be construed to have the same meaning and effect and to refer to any and all tangible and intangible assets and properties, including cash, securities, accounts and contract rights. Unless the context requires otherwise, 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extended, refinanced or replaced (subject to any restrictions or qualifications on such amendments, restatements, amendment and restatements, supplements or modifications, extensions, refinancings or replacements set forth herein or in any other Loan Document). All terms that are used in this Agreement or any other Loan Document which are defined in the UCC of the State of New York shall have the same meanings herein as such terms are</w:t>
      </w:r>
    </w:p>
    <w:p>
      <w:pPr>
        <w:sectPr>
          <w:pgSz w:w="11900" w:h="16838" w:orient="portrait"/>
          <w:cols w:equalWidth="0" w:num="1">
            <w:col w:w="11400"/>
          </w:cols>
          <w:pgMar w:left="240" w:top="622" w:right="2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color w:val="auto"/>
        </w:rPr>
        <w:t>defined in the New York UCC, unless this Agreement or such other Loan Document shall otherwise specifically provide.</w:t>
      </w:r>
    </w:p>
    <w:p>
      <w:pPr>
        <w:spacing w:after="0" w:line="220" w:lineRule="exact"/>
        <w:rPr>
          <w:sz w:val="20"/>
          <w:szCs w:val="20"/>
          <w:color w:val="auto"/>
        </w:rPr>
      </w:pPr>
    </w:p>
    <w:p>
      <w:pPr>
        <w:ind w:right="400" w:firstLine="1293"/>
        <w:spacing w:after="0" w:line="284" w:lineRule="auto"/>
        <w:tabs>
          <w:tab w:leader="none" w:pos="17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Times of Day</w:t>
      </w:r>
      <w:r>
        <w:rPr>
          <w:rFonts w:ascii="Times New Roman" w:cs="Times New Roman" w:eastAsia="Times New Roman" w:hAnsi="Times New Roman"/>
          <w:sz w:val="22"/>
          <w:szCs w:val="22"/>
          <w:color w:val="auto"/>
        </w:rPr>
        <w:t>. All references to time of day herein are references to New York City, New York time unless otherwise specifically provided.</w:t>
      </w:r>
    </w:p>
    <w:p>
      <w:pPr>
        <w:spacing w:after="0" w:line="144" w:lineRule="exact"/>
        <w:rPr>
          <w:rFonts w:ascii="Times New Roman" w:cs="Times New Roman" w:eastAsia="Times New Roman" w:hAnsi="Times New Roman"/>
          <w:sz w:val="22"/>
          <w:szCs w:val="22"/>
          <w:color w:val="auto"/>
        </w:rPr>
      </w:pPr>
    </w:p>
    <w:p>
      <w:pPr>
        <w:ind w:firstLine="1293"/>
        <w:spacing w:after="0" w:line="247" w:lineRule="auto"/>
        <w:tabs>
          <w:tab w:leader="none" w:pos="171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Where the character or amount of any asset or liability or item of income or expense is required to be determined or any consolidation or other accounting computation is required to be made for the purposes of this Agreement, it shall be done in accordance with GAAP, (a) except as otherwise provided herein in the definition of “Capital Lease” and (b)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by the Borrower or any Subsidiary at “fair value,” as defined therein and (ii) any treatment of Indebtedness in respect of convertible debt instruments under Accounting Standards Codification 470-20 (or any other Account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i w:val="1"/>
          <w:iCs w:val="1"/>
          <w:color w:val="auto"/>
        </w:rPr>
        <w:t>Certain Determinations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20" w:firstLine="1293"/>
        <w:spacing w:after="0" w:line="260" w:lineRule="auto"/>
        <w:tabs>
          <w:tab w:leader="none" w:pos="171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calculating the Leverage Ratio and/or the Senior Secured Leverage Ratio for purposes of determining the permissibility of any incurrence of Indebtedness hereunder, including under the Ratio-Based Incremental Amount, with respect to the amount of any Indebtedness incurred in reliance on a provision of this Agreement that does not require compliance with a Leverage Ratio and/or Senior Secured Leverage Ratio test (any such amounts, the “</w:t>
      </w:r>
      <w:r>
        <w:rPr>
          <w:rFonts w:ascii="Times New Roman" w:cs="Times New Roman" w:eastAsia="Times New Roman" w:hAnsi="Times New Roman"/>
          <w:sz w:val="21"/>
          <w:szCs w:val="21"/>
          <w:i w:val="1"/>
          <w:iCs w:val="1"/>
          <w:color w:val="auto"/>
        </w:rPr>
        <w:t>Fixed Amounts</w:t>
      </w:r>
      <w:r>
        <w:rPr>
          <w:rFonts w:ascii="Times New Roman" w:cs="Times New Roman" w:eastAsia="Times New Roman" w:hAnsi="Times New Roman"/>
          <w:sz w:val="21"/>
          <w:szCs w:val="21"/>
          <w:color w:val="auto"/>
        </w:rPr>
        <w:t xml:space="preserve">”) which is incurred substantially concurrently with any Indebtedness incurred in reliance on a provision of this Agreement that requires compliance with a Leverage Ratio and/or Senior Secured Leverage Ratio test, it is understood and agreed that the Fixed Amounts (and any cash proceeds thereof) shall be disregarded in the calculation of Indebtedness for purposes of such Leverage Ratio and/or Senior Secured Leverage Ratio test;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the foregoing, any provision of this Agreement requiring Pro Forma Compliance with Section 6.22 (or any part thereof), including in connection with a transaction, such as a Permitted Acquisition, must be satisfied on a Pro Forma Basis, including for the incurrence of Indebtedness, regardless of the provision under which such Indebtedness is or will be incurred.</w:t>
      </w:r>
    </w:p>
    <w:p>
      <w:pPr>
        <w:sectPr>
          <w:pgSz w:w="11900" w:h="16838" w:orient="portrait"/>
          <w:cols w:equalWidth="0" w:num="1">
            <w:col w:w="10740"/>
          </w:cols>
          <w:pgMar w:left="900" w:top="625" w:right="259" w:bottom="1440" w:gutter="0" w:footer="0" w:header="0"/>
        </w:sectPr>
      </w:pPr>
    </w:p>
    <w:bookmarkStart w:id="184" w:name="page185"/>
    <w:bookmarkEnd w:id="184"/>
    <w:p>
      <w:pPr>
        <w:ind w:left="660" w:right="220" w:firstLine="1293"/>
        <w:spacing w:after="0" w:line="253" w:lineRule="auto"/>
        <w:tabs>
          <w:tab w:leader="none" w:pos="238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financial ratios and tests (including the Leverage Ratio, the Senior Secured Leverage Ratio and the ratio of Consolidated Adjusted EBITDA to Interest Expense (and the components of each of the foregoing) and the amount of Consolidated Total Assets, but excluding Excess Cash Flow (and the components of each of the foregoing)) contained in this Agreement that are calculated with respect to any test period shall be calculated on a Pro Forma Basis.</w:t>
      </w:r>
    </w:p>
    <w:p>
      <w:pPr>
        <w:spacing w:after="0" w:line="175"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i w:val="1"/>
          <w:iCs w:val="1"/>
          <w:color w:val="auto"/>
        </w:rPr>
        <w:t>Change in Accounting Principles</w:t>
      </w:r>
      <w:r>
        <w:rPr>
          <w:rFonts w:ascii="Times New Roman" w:cs="Times New Roman" w:eastAsia="Times New Roman" w:hAnsi="Times New Roman"/>
          <w:sz w:val="18"/>
          <w:szCs w:val="18"/>
          <w:color w:val="auto"/>
        </w:rPr>
        <w:t>. If, after the Closing Date, there shall occur any change in GAAP (except as otherwise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provided herein in the definition of “Capital Lease”) from those used in the preparation of the financial statements referred to in Section 6.1 hereof and such change shall result in a change in the method of calculation of any financial covenant, standard or term found in this Agreement, either the Borrower or the Required Lenders may by notice to the Lenders and the Borrower, respectively, require that the Lenders and the Borrower negotiate in good faith to amend such covenants, standards, and term so as equitably to reflect such change in accounting principles, with the desired result being that the criteria for evaluating the financial condition of the Borrower and its Restricted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Section 1.3(b), financial covenants (and all related defined terms) shall be computed and determined in accordance with GAAP in effect prior to such change in accounting principles. Without limiting the generality of the foregoing, the Borrower shall neither be deemed to be in compliance with any covenant hereunder nor out of compliance with any covenant hereunder if such state of compliance or noncompliance, as the case may be, would not exist but for the occurrence of a change in accounting principles after the Closing Date.</w:t>
      </w:r>
    </w:p>
    <w:p>
      <w:pPr>
        <w:spacing w:after="0" w:line="17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i w:val="1"/>
          <w:iCs w:val="1"/>
          <w:color w:val="auto"/>
        </w:rPr>
        <w:t>Currency Generally</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right="140" w:firstLine="656"/>
        <w:spacing w:after="0" w:line="257" w:lineRule="auto"/>
        <w:tabs>
          <w:tab w:leader="none" w:pos="106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provision of this Agreement shall be subject to such reasonable changes of construction as the Administrative Agent may from time to time specify with the Borrower’s consent to appropriately reflect a change in currency of any country, the adoption of the Euro by any member state of the European Union and any relevant market convention or practice relating to such change in currency or relating to the Euro.</w:t>
      </w:r>
    </w:p>
    <w:p>
      <w:pPr>
        <w:spacing w:after="0" w:line="17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29" w:lineRule="exact"/>
        <w:rPr>
          <w:sz w:val="20"/>
          <w:szCs w:val="20"/>
          <w:color w:val="auto"/>
        </w:rPr>
      </w:pPr>
    </w:p>
    <w:p>
      <w:pPr>
        <w:jc w:val="center"/>
        <w:ind w:right="7540"/>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2.</w:t>
      </w:r>
      <w:r>
        <w:rPr>
          <w:sz w:val="20"/>
          <w:szCs w:val="20"/>
          <w:color w:val="auto"/>
        </w:rPr>
        <w:tab/>
      </w:r>
      <w:r>
        <w:rPr>
          <w:rFonts w:ascii="Times New Roman" w:cs="Times New Roman" w:eastAsia="Times New Roman" w:hAnsi="Times New Roman"/>
          <w:sz w:val="21"/>
          <w:szCs w:val="21"/>
          <w:b w:val="1"/>
          <w:bCs w:val="1"/>
          <w:u w:val="single" w:color="auto"/>
          <w:color w:val="auto"/>
        </w:rPr>
        <w:t>THE LOAN FACILITIES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i w:val="1"/>
          <w:iCs w:val="1"/>
          <w:color w:val="auto"/>
        </w:rPr>
        <w:t>The Term Loans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right="160" w:firstLine="656"/>
        <w:spacing w:after="0" w:line="257" w:lineRule="auto"/>
        <w:tabs>
          <w:tab w:leader="none" w:pos="106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each Term A Lender agrees, severally and not jointly, to and shall make a term loan (each individually, a “</w:t>
      </w:r>
      <w:r>
        <w:rPr>
          <w:rFonts w:ascii="Times New Roman" w:cs="Times New Roman" w:eastAsia="Times New Roman" w:hAnsi="Times New Roman"/>
          <w:sz w:val="22"/>
          <w:szCs w:val="22"/>
          <w:i w:val="1"/>
          <w:iCs w:val="1"/>
          <w:color w:val="auto"/>
        </w:rPr>
        <w:t>Term A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i w:val="1"/>
          <w:iCs w:val="1"/>
          <w:color w:val="auto"/>
        </w:rPr>
        <w:t>Term A Loans</w:t>
      </w:r>
      <w:r>
        <w:rPr>
          <w:rFonts w:ascii="Times New Roman" w:cs="Times New Roman" w:eastAsia="Times New Roman" w:hAnsi="Times New Roman"/>
          <w:sz w:val="22"/>
          <w:szCs w:val="22"/>
          <w:color w:val="auto"/>
        </w:rPr>
        <w:t>”) in Dollars to the Borrower on the Escrow Release Date in a principal amount not to exceed such Term A Lender’s Term A Loan Commitment. As provided in Section 2.5(a) and subject to the terms hereof, the Borrower may elect that the Term A Loans</w:t>
      </w:r>
    </w:p>
    <w:p>
      <w:pPr>
        <w:sectPr>
          <w:pgSz w:w="11900" w:h="16838" w:orient="portrait"/>
          <w:cols w:equalWidth="0" w:num="1">
            <w:col w:w="11420"/>
          </w:cols>
          <w:pgMar w:left="240" w:top="625"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2"/>
          <w:szCs w:val="22"/>
          <w:color w:val="auto"/>
        </w:rPr>
        <w:t>comprising the Borrowing hereunder of Term A Loans be either Base Rate Loans or Eurodollar Loans.</w:t>
      </w:r>
    </w:p>
    <w:p>
      <w:pPr>
        <w:spacing w:after="0" w:line="220" w:lineRule="exact"/>
        <w:rPr>
          <w:sz w:val="20"/>
          <w:szCs w:val="20"/>
          <w:color w:val="auto"/>
        </w:rPr>
      </w:pPr>
    </w:p>
    <w:p>
      <w:pPr>
        <w:ind w:right="20" w:firstLine="656"/>
        <w:spacing w:after="0" w:line="253" w:lineRule="auto"/>
        <w:tabs>
          <w:tab w:leader="none" w:pos="10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each U.S. Term B Lender agrees, severally and not jointly, to and shall make a term loan (each individually, a “</w:t>
      </w:r>
      <w:r>
        <w:rPr>
          <w:rFonts w:ascii="Times New Roman" w:cs="Times New Roman" w:eastAsia="Times New Roman" w:hAnsi="Times New Roman"/>
          <w:sz w:val="22"/>
          <w:szCs w:val="22"/>
          <w:i w:val="1"/>
          <w:iCs w:val="1"/>
          <w:color w:val="auto"/>
        </w:rPr>
        <w:t>U.S. Term B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i w:val="1"/>
          <w:iCs w:val="1"/>
          <w:color w:val="auto"/>
        </w:rPr>
        <w:t>U.S. Term B Loans</w:t>
      </w:r>
      <w:r>
        <w:rPr>
          <w:rFonts w:ascii="Times New Roman" w:cs="Times New Roman" w:eastAsia="Times New Roman" w:hAnsi="Times New Roman"/>
          <w:sz w:val="22"/>
          <w:szCs w:val="22"/>
          <w:color w:val="auto"/>
        </w:rPr>
        <w:t>”) in Dollars to the Borrower on the Closing Date in a principal amount not to exceed such U.S. Term B Lender’s U.S. Term B Loan Commitment. As provided in Section 2.5(a) and subject to the terms hereof, the Borrower may elect that the U.S. Term B Loans comprising the Borrowing hereunder of U.S. Term B Loans be either Base Rate Loans or Eurodollar Loans.</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firstLine="656"/>
        <w:spacing w:after="0" w:line="258" w:lineRule="auto"/>
        <w:tabs>
          <w:tab w:leader="none" w:pos="10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herein and in Amendment No. 1, each Rollover U.S. Term B Lender severally agrees to exchange its Exchanged U.S. Term B Loans for a like principal amount of U.S. Term B-1 Loans on the Amendment No. 1 Effective Date. Subject to the terms and conditions set forth herein and in Amendment No. 1, each Additional U.S. Term B-1 Lender severally agrees to make an Additional U.S. Term B-1 Loan to the Borrower on the Amendment No. 1 Effective Date in the principal amount equal to its Additional U.S. Term B-1 Commitment on the Amendment No. 1 Effective Date. The Borrower shall prepay the Non-Exchanged U.S. Term B Loans with a like amount of the gross proceeds of the Additional U.S. Term B-1 Loans, concurrently with the receipt thereof. The Borrower shall pay to the U.S. Term B Lenders immediately prior to the effectiveness of Amendment No. 1 all accrued and unpaid interest on the U.S. Term B Loans to, but not including, the Amendment No. 1 Effective Date on such Amendment No. 1 Effective Date. The U.S. Term B-1 Loans shall have the same terms as the U.S. Term B Loans as set forth in this Agreement and Loan Documents before giving effect to Amendment No. 1, except as modified by Amendment No. 1; it being understood that the U.S. Term B-1 Loans (and all principal, interest and other amounts in respect thereof) will constitute “Obligations” under this Agreement and the other Loan Documents and shall have the same rights and obligations under this Agreement and Loan Documents as the U.S. Term B Loans prior to the Amendment No. 1 Effective Date. As provided in Section 2.5(a) and subject to the terms hereof, the Borrower may elect that the U.S. Term B-1 Loans comprising the Borrowing hereunder of U.S. Term B-1 Loans be either Base Rate Loans or Eurodollar Loans.</w:t>
      </w:r>
    </w:p>
    <w:p>
      <w:pPr>
        <w:spacing w:after="0" w:line="184"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right="180" w:firstLine="656"/>
        <w:spacing w:after="0" w:line="253" w:lineRule="auto"/>
        <w:tabs>
          <w:tab w:leader="none" w:pos="10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and in Amendment No. 3, each Rollover U.S. Term B-1 Lender severally agrees to exchange its Exchanged U.S. Term B-1 Loans for a like principal amount of U.S. Term B-2 Loans on the Amendment No. 3 Effective Date. Subject to the terms and conditions set forth herein and in Amendment No. 3, each Additional U.S. Term B-2 Lender severally agrees to make an Additional U.S. Term B-2 Loan to the Borrower on the Amendment No. 3 Effective Date in the principal amount equal to its</w:t>
      </w:r>
    </w:p>
    <w:p>
      <w:pPr>
        <w:sectPr>
          <w:pgSz w:w="11900" w:h="16838" w:orient="portrait"/>
          <w:cols w:equalWidth="0" w:num="1">
            <w:col w:w="11340"/>
          </w:cols>
          <w:pgMar w:left="240" w:top="625" w:right="319" w:bottom="1440" w:gutter="0" w:footer="0" w:header="0"/>
        </w:sectPr>
      </w:pPr>
    </w:p>
    <w:bookmarkStart w:id="186" w:name="page187"/>
    <w:bookmarkEnd w:id="186"/>
    <w:p>
      <w:pPr>
        <w:spacing w:after="0" w:line="246" w:lineRule="auto"/>
        <w:rPr>
          <w:sz w:val="20"/>
          <w:szCs w:val="20"/>
          <w:color w:val="auto"/>
        </w:rPr>
      </w:pPr>
      <w:r>
        <w:rPr>
          <w:rFonts w:ascii="Times New Roman" w:cs="Times New Roman" w:eastAsia="Times New Roman" w:hAnsi="Times New Roman"/>
          <w:sz w:val="22"/>
          <w:szCs w:val="22"/>
          <w:color w:val="auto"/>
        </w:rPr>
        <w:t>Additional U.S. Term B-2 Commitment on the Amendment No. 3 Effective Date. The Borrower shall prepay the Non-Exchanged U.S. Term B-1 Loans with a like amount of the gross proceeds of the Additional U.S. Term B-2 Loans, concurrently with the receipt thereof. The Borrower shall pay to the U.S. Term B-1 Lenders immediately prior to the effectiveness of Amendment No. 3 all accrued and unpaid interest on the U.S. Term B-1 Loans to, but not including, the Amendment No. 3 Effective Date on such Amendment No. 3 Effective Date. The U.S. Term B-2 Loans shall have the same terms as the U.S. Term B-1 Loans as set forth in this Agreement and Loan Documents before giving effect to Amendment No. 3, except as modified by Amendment No. 3; it being understood that the U.S. Term B-2 Loans (and all principal, interest and other amounts in respect thereof) will constitute “Obligations” under the Loan Agreement and the other Loan Documents and shall have the same rights and obligations under this Agreement and Loan Documents as the U.S. Term B-1 Loans prior to the Amendment No. 3 Effective Date. As provided in Section 2.5(a) and subject to the terms hereof, the Borrower may elect that the U.S. Term B-2 Loans comprising the Borrowing hereunder of U.S. Term B-2 Loans be either Base Rate Loans or Eurodollar Loans.</w:t>
      </w:r>
    </w:p>
    <w:p>
      <w:pPr>
        <w:spacing w:after="0" w:line="186"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right="40" w:firstLine="656"/>
        <w:spacing w:after="0" w:line="258" w:lineRule="auto"/>
        <w:tabs>
          <w:tab w:leader="none" w:pos="108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herein and in Amendment No. 5, each Rollover U.S. Term B-2 Lender severally agrees to exchange its Exchanged U.S. Term B-2 Loans for a like principal amount of U.S. Term B-3 Loans on the Amendment No. 5 Effective Date. Subject to the terms and conditions set forth herein and in Amendment No. 5, each Additional U.S. Term B-3 Lender severally agrees to make an Additional U.S. Term B-3 Loan to the Borrower on the Amendment No. 5 Effective Date in the principal amount equal to its Additional U.S. Term B-3 Commitment on the Amendment No. 5 Effective Date. The Borrower shall prepay the Non-Exchanged U.S. Term B-2 Loans with a like amount of the gross proceeds of the Additional U.S. Term B-3 Loans, concurrently with the receipt thereof. The Borrower shall pay to the U.S. Term B-2 Lenders immediately prior to the effectiveness of Amendment No. 5 all accrued and unpaid interest on the U.S. Term B-2 Loans to, but not including, the Amendment No. 5 Effective Date on such Amendment No. 5 Effective Date. The U.S. Term B-3 Loans shall have the same terms as the U.S. Term B-2 Loans as set forth in this Agreement and Loan Documents before giving effect to Amendment No. 5, except as modified by Amendment No. 5; it being understood that the U.S. Term B-3 Loans (and all principal, interest and other amounts in respect thereof) will constitute “Obligations” under this Agreement and the other Loan Documents and shall have the same rights and obligations under this Agreement and Loan Documents as the U.S. Term B-2 Loans prior to the Amendment No. 5 Effective Date. As provided in Section 2.5(a) and subject to the terms hereof, the Borrower may elect that the U.S. Term B-3 Loans comprising the Borrowing hereunder of U.S. Term B-3 Loans be either Base Rate Loans or Eurodollar Loans.</w:t>
      </w:r>
    </w:p>
    <w:p>
      <w:pPr>
        <w:spacing w:after="0" w:line="184" w:lineRule="exact"/>
        <w:rPr>
          <w:rFonts w:ascii="Times New Roman" w:cs="Times New Roman" w:eastAsia="Times New Roman" w:hAnsi="Times New Roman"/>
          <w:sz w:val="21"/>
          <w:szCs w:val="21"/>
          <w:color w:val="auto"/>
        </w:rPr>
      </w:pPr>
    </w:p>
    <w:p>
      <w:pPr>
        <w:ind w:right="180" w:firstLine="656"/>
        <w:spacing w:after="0" w:line="284" w:lineRule="auto"/>
        <w:tabs>
          <w:tab w:leader="none" w:pos="103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and in Amendment No. 7, each Rollover Term A Lender severally agrees to exchange its Exchanged Term A Loans for a</w:t>
      </w:r>
    </w:p>
    <w:p>
      <w:pPr>
        <w:sectPr>
          <w:pgSz w:w="11900" w:h="16838" w:orient="portrait"/>
          <w:cols w:equalWidth="0" w:num="1">
            <w:col w:w="11400"/>
          </w:cols>
          <w:pgMar w:left="240" w:top="625" w:right="259" w:bottom="1440" w:gutter="0" w:footer="0" w:header="0"/>
        </w:sectPr>
      </w:pPr>
    </w:p>
    <w:bookmarkStart w:id="187" w:name="page188"/>
    <w:bookmarkEnd w:id="187"/>
    <w:p>
      <w:pPr>
        <w:spacing w:after="0" w:line="245" w:lineRule="auto"/>
        <w:rPr>
          <w:sz w:val="20"/>
          <w:szCs w:val="20"/>
          <w:color w:val="auto"/>
        </w:rPr>
      </w:pPr>
      <w:r>
        <w:rPr>
          <w:rFonts w:ascii="Times New Roman" w:cs="Times New Roman" w:eastAsia="Times New Roman" w:hAnsi="Times New Roman"/>
          <w:sz w:val="22"/>
          <w:szCs w:val="22"/>
          <w:color w:val="auto"/>
        </w:rPr>
        <w:t>like principal amount of Term A-1 Loans on the Amendment No. 7 Effective Date. Subject to the terms and conditions set forth herein and in Amendment No. 7, each Additional Term A-1 Lender severally agrees to make an Additional Term A-1 Loan (which shall be considered an increase to (and part of) the Term A-1 Loans) to the Borrower on the Amendment No. 7 Effective Date in the principal amount equal to its Additional Term A-1 Commitment on the Amendment No. 7 Effective Date. The Borrower shall prepay the Non-Exchanged Term A Loans with a like amount of the gross proceeds of the Additional Term A-1 Loans, concurrently with the receipt thereof. The Borrower shall pay to the Term A Lenders immediately prior to the effectiveness of Amendment No. 7 all accrued and unpaid interest on the Term A Loans to, but not including, the Amendment No. 7 Effective Date on such Amendment No. 7 Effective Date. The Term A-1 Loans shall have the terms set forth in this Agreement and Loan Documents, including as modified by Amendment No. 7; it being understood that the Term A-1 Loans (and all principal, interest and other amounts in respect thereof) will constitute “Obligations” under this Agreement and the other Loan Documents. As provided in Section 2.5(a) and subject to the terms hereof, the Borrower may elect that the Term A-1 Loans comprising the Borrowing hereunder of Term A-1 Loans be either Base Rate Loans or Eurodollar Loans.</w:t>
      </w:r>
    </w:p>
    <w:p>
      <w:pPr>
        <w:spacing w:after="0" w:line="196" w:lineRule="exact"/>
        <w:rPr>
          <w:sz w:val="20"/>
          <w:szCs w:val="20"/>
          <w:color w:val="auto"/>
        </w:rPr>
      </w:pPr>
    </w:p>
    <w:p>
      <w:pPr>
        <w:ind w:right="20" w:firstLine="656"/>
        <w:spacing w:after="0" w:line="251" w:lineRule="auto"/>
        <w:tabs>
          <w:tab w:leader="none" w:pos="103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and in Amendment No. 7, each Incremental Term A-1 Lender severally agrees to make an Incremental Term A-1 Loan to the Borrower on the Amendment No. 7 Effective Date in the principal amount equal to its Incremental Term A-1 Commitment on the Amendment No. 7 Effective Date. The Incremental Term A-1 Loans shall be considered an increase to (and part of) the Term A-1 Loans. As provided in Section 2.5(a) and subject to the terms hereof, the Borrower may elect that the Incremental Term A-1 Loans comprising the Borrowing hereunder of Incremental Term A-1 Loans be either Base Rate Loans or Eurodollar Loans.</w:t>
      </w:r>
    </w:p>
    <w:p>
      <w:pPr>
        <w:spacing w:after="0" w:line="181" w:lineRule="exact"/>
        <w:rPr>
          <w:rFonts w:ascii="Times New Roman" w:cs="Times New Roman" w:eastAsia="Times New Roman" w:hAnsi="Times New Roman"/>
          <w:sz w:val="22"/>
          <w:szCs w:val="22"/>
          <w:color w:val="auto"/>
        </w:rPr>
      </w:pPr>
    </w:p>
    <w:p>
      <w:pPr>
        <w:ind w:right="120" w:firstLine="656"/>
        <w:spacing w:after="0" w:line="259" w:lineRule="auto"/>
        <w:tabs>
          <w:tab w:leader="none" w:pos="108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herein and in Amendment No. 8, each Rollover U.S. Term B-3 Lender severally agrees to exchange its Exchanged U.S. Term B-3 Loans for a like principal amount of U.S. Term B-4 Loans on the Amendment No. 8 Effective Date. Subject to the terms and conditions set forth herein and in Amendment No. 8, each Additional U.S. Term B-4 Lender severally agrees to make an Additional U.S. Term B-4 Loan to the Borrower on the Amendment No. 8 Effective Date in the principal amount equal to its Additional U.S. Term B-4 Commitment on the Amendment No. 8 Effective Date. The Borrower shall prepay the Non-Exchanged U.S. Term B-3 Loans with a like amount of the gross proceeds of the Additional U.S. Term B-4 Loans, concurrently with the receipt thereof. The Borrower shall pay to the U.S. Term B-3 Lenders immediately prior to the effectiveness of Amendment No. 8 all accrued and unpaid interest on the U.S. Term B-3 Loans to, but not including, the Amendment No. 8 Effective Date on such Amendment No. 8 Effective Date. The U.S. Term B-4 Loans shall have the same terms as the U.S. Term B-3 Loans as set forth in the Loan Agreement and Loan Documents before giving effect to Amendment No. 8, except as modified by Amendment No. 8; it being understood that the U.S. Term B-4 Loans (and all principal, interest and other amounts in respect thereof) will constitute “Obligations” under the Loan Agreement and the other Loan</w:t>
      </w:r>
    </w:p>
    <w:p>
      <w:pPr>
        <w:sectPr>
          <w:pgSz w:w="11900" w:h="16838" w:orient="portrait"/>
          <w:cols w:equalWidth="0" w:num="1">
            <w:col w:w="11420"/>
          </w:cols>
          <w:pgMar w:left="240" w:top="625" w:right="239" w:bottom="1440" w:gutter="0" w:footer="0" w:header="0"/>
        </w:sectPr>
      </w:pPr>
    </w:p>
    <w:bookmarkStart w:id="188" w:name="page189"/>
    <w:bookmarkEnd w:id="188"/>
    <w:p>
      <w:pPr>
        <w:ind w:right="20"/>
        <w:spacing w:after="0" w:line="252" w:lineRule="auto"/>
        <w:rPr>
          <w:sz w:val="20"/>
          <w:szCs w:val="20"/>
          <w:color w:val="auto"/>
        </w:rPr>
      </w:pPr>
      <w:r>
        <w:rPr>
          <w:rFonts w:ascii="Times New Roman" w:cs="Times New Roman" w:eastAsia="Times New Roman" w:hAnsi="Times New Roman"/>
          <w:sz w:val="22"/>
          <w:szCs w:val="22"/>
          <w:color w:val="auto"/>
        </w:rPr>
        <w:t>Documents and shall have the same rights and obligations under the Loan Agreement and Loan Documents as the U.S. Term B-3 Loans prior to the Amendment No. 8 Effective Date. As provided in Section 2.5(a) and subject to the terms hereof, the Borrower may elect that the U.S. Term B-4 Loans comprising the Borrowing hereunder of U.S. Term B-4 Loans be either Base Rate Loans or Eurodollar Loans.</w:t>
      </w:r>
    </w:p>
    <w:p>
      <w:pPr>
        <w:spacing w:after="0" w:line="180"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color w:val="auto"/>
        </w:rPr>
        <w:t>(l)</w:t>
      </w:r>
      <w:r>
        <w:rPr>
          <w:sz w:val="20"/>
          <w:szCs w:val="20"/>
          <w:color w:val="auto"/>
        </w:rPr>
        <w:tab/>
      </w:r>
      <w:r>
        <w:rPr>
          <w:rFonts w:ascii="Times New Roman" w:cs="Times New Roman" w:eastAsia="Times New Roman" w:hAnsi="Times New Roman"/>
          <w:sz w:val="21"/>
          <w:szCs w:val="21"/>
          <w:color w:val="auto"/>
        </w:rPr>
        <w:t>Amounts repaid or prepaid in respect of Term Loans may not be reborrowed.</w:t>
      </w:r>
    </w:p>
    <w:p>
      <w:pPr>
        <w:spacing w:after="0" w:line="229" w:lineRule="exact"/>
        <w:rPr>
          <w:sz w:val="20"/>
          <w:szCs w:val="20"/>
          <w:color w:val="auto"/>
        </w:rPr>
      </w:pPr>
    </w:p>
    <w:p>
      <w:pPr>
        <w:ind w:right="300" w:firstLine="648"/>
        <w:spacing w:after="0" w:line="318" w:lineRule="auto"/>
        <w:rPr>
          <w:sz w:val="20"/>
          <w:szCs w:val="20"/>
          <w:color w:val="auto"/>
        </w:rPr>
      </w:pPr>
      <w:r>
        <w:rPr>
          <w:rFonts w:ascii="Times New Roman" w:cs="Times New Roman" w:eastAsia="Times New Roman" w:hAnsi="Times New Roman"/>
          <w:sz w:val="21"/>
          <w:szCs w:val="21"/>
          <w:color w:val="auto"/>
        </w:rPr>
        <w:t xml:space="preserve">Section 2.2 </w:t>
      </w:r>
      <w:r>
        <w:rPr>
          <w:rFonts w:ascii="Times New Roman" w:cs="Times New Roman" w:eastAsia="Times New Roman" w:hAnsi="Times New Roman"/>
          <w:sz w:val="21"/>
          <w:szCs w:val="21"/>
          <w:i w:val="1"/>
          <w:iCs w:val="1"/>
          <w:color w:val="auto"/>
        </w:rPr>
        <w:t>Revolving Credit Commitments</w:t>
      </w:r>
      <w:r>
        <w:rPr>
          <w:rFonts w:ascii="Times New Roman" w:cs="Times New Roman" w:eastAsia="Times New Roman" w:hAnsi="Times New Roman"/>
          <w:sz w:val="17"/>
          <w:szCs w:val="17"/>
          <w:color w:val="auto"/>
        </w:rPr>
        <w:t>. Prior to the Revolving Credit Termination Date, each Revolving Lender severally and not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jointly agrees, subject to the terms and conditions hereof, to make revolving loans (each individually a “</w:t>
      </w:r>
      <w:r>
        <w:rPr>
          <w:rFonts w:ascii="Times New Roman" w:cs="Times New Roman" w:eastAsia="Times New Roman" w:hAnsi="Times New Roman"/>
          <w:sz w:val="17"/>
          <w:szCs w:val="17"/>
          <w:i w:val="1"/>
          <w:iCs w:val="1"/>
          <w:color w:val="auto"/>
        </w:rPr>
        <w:t>Revolving Loan</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i w:val="1"/>
          <w:iCs w:val="1"/>
          <w:color w:val="auto"/>
        </w:rPr>
        <w:t>Revolving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Loans</w:t>
      </w:r>
      <w:r>
        <w:rPr>
          <w:rFonts w:ascii="Times New Roman" w:cs="Times New Roman" w:eastAsia="Times New Roman" w:hAnsi="Times New Roman"/>
          <w:sz w:val="17"/>
          <w:szCs w:val="17"/>
          <w:color w:val="auto"/>
        </w:rPr>
        <w:t>”) in Dollars to the Borrower from time to time during the period from the Escrow Release Date to the Revolving Credit Termination Date up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amount of such Lender’s Revolving Credit Commitment in effect at such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sum of the aggregate principal amount of Revolving Loans and L/C Obligations at any time outstanding shall not exceed the sum of the total Revolving Credit Commitments in effect at such time. Each Borrowing of Revolving Loans shall be made ratably by the Lenders in proportion to their respective Revolver Percentages. As provided in Section 2.5(a), and subject to the terms hereof, the Borrower may elect that each Borrowing of Revolving Loans be either Base Rate Loans or Eurodollar Loans. Revolving Loans may be repaid and reborrowed before the Revolving Credit Termination Date, subject to the terms and conditions hereof.</w:t>
      </w:r>
    </w:p>
    <w:p>
      <w:pPr>
        <w:spacing w:after="0" w:line="149"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i w:val="1"/>
          <w:iCs w:val="1"/>
          <w:color w:val="auto"/>
        </w:rPr>
        <w:t>Letters of Credit</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firstLine="656"/>
        <w:spacing w:after="0" w:line="246" w:lineRule="auto"/>
        <w:tabs>
          <w:tab w:leader="none" w:pos="106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Terms</w:t>
      </w:r>
      <w:r>
        <w:rPr>
          <w:rFonts w:ascii="Times New Roman" w:cs="Times New Roman" w:eastAsia="Times New Roman" w:hAnsi="Times New Roman"/>
          <w:sz w:val="22"/>
          <w:szCs w:val="22"/>
          <w:color w:val="auto"/>
        </w:rPr>
        <w:t>. Subject to the terms and conditions hereof, as part of the Revolving Facility, commencing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Escrow Release Date, the L/C Issuers shall issue standby and documentary letters of credit (each a “</w:t>
      </w:r>
      <w:r>
        <w:rPr>
          <w:rFonts w:ascii="Times New Roman" w:cs="Times New Roman" w:eastAsia="Times New Roman" w:hAnsi="Times New Roman"/>
          <w:sz w:val="22"/>
          <w:szCs w:val="22"/>
          <w:i w:val="1"/>
          <w:iCs w:val="1"/>
          <w:color w:val="auto"/>
        </w:rPr>
        <w:t>Letter of Credit</w:t>
      </w:r>
      <w:r>
        <w:rPr>
          <w:rFonts w:ascii="Times New Roman" w:cs="Times New Roman" w:eastAsia="Times New Roman" w:hAnsi="Times New Roman"/>
          <w:sz w:val="22"/>
          <w:szCs w:val="22"/>
          <w:color w:val="auto"/>
        </w:rPr>
        <w:t xml:space="preserve">”) for the Borrower’s account and/or its Subsidiaries’ account (provided that each shall be jointly and severally liable) in an aggregate undrawn face amount up to the L/C Sublimit;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sum of the Revolving Loans and L/C Obligations at any time outstanding shall not exceed the sum of all Revolving Credit Commitments in effect at such time;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 no L/C Issuer shall have any obligation to issue any Letter of Credit if, after giving effect to such issuance, the aggregate L/C Obligations in respect of Letters of Credit issued by such L/C Issuer would exceed the amount stipulated for it in the definition of “L/C Issuer” (such amount, such L/C Issuer’s “</w:t>
      </w:r>
      <w:r>
        <w:rPr>
          <w:rFonts w:ascii="Times New Roman" w:cs="Times New Roman" w:eastAsia="Times New Roman" w:hAnsi="Times New Roman"/>
          <w:sz w:val="22"/>
          <w:szCs w:val="22"/>
          <w:i w:val="1"/>
          <w:iCs w:val="1"/>
          <w:color w:val="auto"/>
        </w:rPr>
        <w:t>Letter of Credit Commitment</w:t>
      </w:r>
      <w:r>
        <w:rPr>
          <w:rFonts w:ascii="Times New Roman" w:cs="Times New Roman" w:eastAsia="Times New Roman" w:hAnsi="Times New Roman"/>
          <w:sz w:val="22"/>
          <w:szCs w:val="22"/>
          <w:color w:val="auto"/>
        </w:rPr>
        <w:t xml:space="preserve">”), (ii) Credit Suisse AG, Cayman Islands Branch, Royal Bank of Canada and their respective Affiliates shall not be obligated to issue any documentary Letters of Credit and (iii) no L/C Issuer shall be required to issue any Letter of Credit if doing so would result in the aggregate Revolving Loans and Letters of Credit extended by such L/C Issuer to exceed its Revolving Credit Commitment. Each Revolving Lender shall be obligated to reimburse the L/C Issuers for such Revolving Lender’s Revolver Percentage of the amount of each drawing under a Letter of Credit and, accordingly, each Letter of Credit shall constitute usage of the Revolving Credit Commitment of each Revolving Lender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in an amount equal to its Revolver Percentage of the L/C Obligations then outstanding. The Borrower may, at any time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from time to time, reduce the Letter of Credit Commitment of any L/C Issuer with the consent of such L/C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reduce the Letter of Credit Commitment of any L/C Issuer if, after giving effect of such reduction, the conditions set forth in</w:t>
      </w:r>
    </w:p>
    <w:p>
      <w:pPr>
        <w:sectPr>
          <w:pgSz w:w="11900" w:h="16838" w:orient="portrait"/>
          <w:cols w:equalWidth="0" w:num="1">
            <w:col w:w="11400"/>
          </w:cols>
          <w:pgMar w:left="240" w:top="626" w:right="259" w:bottom="1440" w:gutter="0" w:footer="0" w:header="0"/>
        </w:sectPr>
      </w:pPr>
    </w:p>
    <w:bookmarkStart w:id="189" w:name="page190"/>
    <w:bookmarkEnd w:id="189"/>
    <w:p>
      <w:pPr>
        <w:ind w:right="20"/>
        <w:spacing w:after="0" w:line="257" w:lineRule="auto"/>
        <w:rPr>
          <w:sz w:val="20"/>
          <w:szCs w:val="20"/>
          <w:color w:val="auto"/>
        </w:rPr>
      </w:pPr>
      <w:r>
        <w:rPr>
          <w:rFonts w:ascii="Times New Roman" w:cs="Times New Roman" w:eastAsia="Times New Roman" w:hAnsi="Times New Roman"/>
          <w:sz w:val="22"/>
          <w:szCs w:val="22"/>
          <w:color w:val="auto"/>
        </w:rPr>
        <w:t>clauses (i) and (iii) above shall not be satisfied. Notwithstanding anything to the contrary provided in this Agreement, each letter of credit listed on Schedule 2.3(a) (each, an “</w:t>
      </w:r>
      <w:r>
        <w:rPr>
          <w:rFonts w:ascii="Times New Roman" w:cs="Times New Roman" w:eastAsia="Times New Roman" w:hAnsi="Times New Roman"/>
          <w:sz w:val="22"/>
          <w:szCs w:val="22"/>
          <w:i w:val="1"/>
          <w:iCs w:val="1"/>
          <w:color w:val="auto"/>
        </w:rPr>
        <w:t>Existing Letter of Credit</w:t>
      </w:r>
      <w:r>
        <w:rPr>
          <w:rFonts w:ascii="Times New Roman" w:cs="Times New Roman" w:eastAsia="Times New Roman" w:hAnsi="Times New Roman"/>
          <w:sz w:val="22"/>
          <w:szCs w:val="22"/>
          <w:color w:val="auto"/>
        </w:rPr>
        <w:t>”) shall be deemed issued under this Agreement from and after the Amendment No. 7 Effective Date.</w:t>
      </w:r>
    </w:p>
    <w:p>
      <w:pPr>
        <w:spacing w:after="0" w:line="169" w:lineRule="exact"/>
        <w:rPr>
          <w:sz w:val="20"/>
          <w:szCs w:val="20"/>
          <w:color w:val="auto"/>
        </w:rPr>
      </w:pPr>
    </w:p>
    <w:p>
      <w:pPr>
        <w:ind w:firstLine="656"/>
        <w:spacing w:after="0" w:line="246" w:lineRule="auto"/>
        <w:tabs>
          <w:tab w:leader="none" w:pos="108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Applications</w:t>
      </w:r>
      <w:r>
        <w:rPr>
          <w:rFonts w:ascii="Times New Roman" w:cs="Times New Roman" w:eastAsia="Times New Roman" w:hAnsi="Times New Roman"/>
          <w:sz w:val="22"/>
          <w:szCs w:val="22"/>
          <w:color w:val="auto"/>
        </w:rPr>
        <w:t>. At any time after the Escrow Release Date and before the Revolving Credit Termination Date, the L/C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Issuers shall, at the request of the Borrower, issue one (1) or more Letters of Credit in Dollars, in form and substance acceptable to the applicable L/C Issuer, with expiration dates no later than the earlier of (i) 12 months from the date of issuance (or which are cancelable not later than 12 months from the date of issuance and each renewal) or (ii) five (5) Business Days prior to the Revolving Credit Termination Date, in an aggregate face amount as requested by the Borrower subject to the limitations set forth in clause (a) of this Section 2.3, upon the receipt of a duly executed application for the relevant Letter of Credit in the form then customarily prescribed by the applicable L/C Issuer for the Letter of Credit requested (each an “</w:t>
      </w:r>
      <w:r>
        <w:rPr>
          <w:rFonts w:ascii="Times New Roman" w:cs="Times New Roman" w:eastAsia="Times New Roman" w:hAnsi="Times New Roman"/>
          <w:sz w:val="22"/>
          <w:szCs w:val="22"/>
          <w:i w:val="1"/>
          <w:iCs w:val="1"/>
          <w:color w:val="auto"/>
        </w:rPr>
        <w:t>Application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Letter of Credit with a 12-month tenor may provide for the renewal thereof for additional 12-month periods (which shall in no event extend beyond the date referred to in clause (ii) above, unless an L/C Backstop has been provided to the L/C Issuers thereof). Notwithstanding anything contained in any Application to the contrary: (i) the Borrower shall pay fees in connection with each Letter of Credit as set forth in Section 2.13(b) hereof, and (ii) if the applicable L/C Issuer is not timely reimbursed for the amount of any drawing under a Letter of Credit as required pursuant to clause (c) of this Section 2.3, the Borrower’s obligation to reimburse such L/C Issuer for the amount of such drawing shall bear interest (which the Borrower hereby promises to pay) from and after the date such drawing is paid to but excluding the date of reimbursement by the Borrower at a rate per annum equal to the sum of 2.00%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Base Rate from time to time in effect (computed on the basis of a year of 365 or 366 days, as the case may be, and the actual number of days elapsed). Without limiting the foregoing, each L/C Issuer’s obligation to issue a Letter of Credit or increase the amount of a Letter of Credit is subject to the terms or conditions of this Agreement (including the conditions set forth in Section 3.1 and the other terms of this Section 2.3).</w:t>
      </w:r>
    </w:p>
    <w:p>
      <w:pPr>
        <w:spacing w:after="0" w:line="180" w:lineRule="exact"/>
        <w:rPr>
          <w:rFonts w:ascii="Times New Roman" w:cs="Times New Roman" w:eastAsia="Times New Roman" w:hAnsi="Times New Roman"/>
          <w:sz w:val="22"/>
          <w:szCs w:val="22"/>
          <w:color w:val="auto"/>
        </w:rPr>
      </w:pPr>
    </w:p>
    <w:p>
      <w:pPr>
        <w:ind w:right="40" w:firstLine="656"/>
        <w:spacing w:after="0" w:line="265" w:lineRule="auto"/>
        <w:tabs>
          <w:tab w:leader="none" w:pos="1068"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Reimbursement Obligations</w:t>
      </w:r>
      <w:r>
        <w:rPr>
          <w:rFonts w:ascii="Times New Roman" w:cs="Times New Roman" w:eastAsia="Times New Roman" w:hAnsi="Times New Roman"/>
          <w:sz w:val="21"/>
          <w:szCs w:val="21"/>
          <w:color w:val="auto"/>
        </w:rPr>
        <w:t>. Subject to Section 2.3(b) hereof, the Borrower shall reimburse the applicable L/C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Issuer for all drawings under a Letter of Credit (a “</w:t>
      </w:r>
      <w:r>
        <w:rPr>
          <w:rFonts w:ascii="Times New Roman" w:cs="Times New Roman" w:eastAsia="Times New Roman" w:hAnsi="Times New Roman"/>
          <w:sz w:val="21"/>
          <w:szCs w:val="21"/>
          <w:i w:val="1"/>
          <w:iCs w:val="1"/>
          <w:color w:val="auto"/>
        </w:rPr>
        <w:t>Reimbursement Obligation</w:t>
      </w:r>
      <w:r>
        <w:rPr>
          <w:rFonts w:ascii="Times New Roman" w:cs="Times New Roman" w:eastAsia="Times New Roman" w:hAnsi="Times New Roman"/>
          <w:sz w:val="21"/>
          <w:szCs w:val="21"/>
          <w:color w:val="auto"/>
        </w:rPr>
        <w:t>”) by no later than (x) 2:00 p.m. (New York time) on the Business Day after the date of such payment by such L/C Issuer under a Letter of Credit, if the Borrower has been informed of such drawing by the applicable L/C Issuer on or before 10:00 a.m. (New York time) on the date of the payment of such drawing, or</w:t>
      </w:r>
    </w:p>
    <w:p>
      <w:pPr>
        <w:spacing w:after="0" w:line="1" w:lineRule="exact"/>
        <w:rPr>
          <w:rFonts w:ascii="Times New Roman" w:cs="Times New Roman" w:eastAsia="Times New Roman" w:hAnsi="Times New Roman"/>
          <w:sz w:val="21"/>
          <w:szCs w:val="21"/>
          <w:color w:val="auto"/>
        </w:rPr>
      </w:pPr>
    </w:p>
    <w:p>
      <w:pPr>
        <w:ind w:right="40" w:firstLine="8"/>
        <w:spacing w:after="0" w:line="245" w:lineRule="auto"/>
        <w:tabs>
          <w:tab w:leader="none" w:pos="30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notice of such drawing is given to the Borrower after 10:00 a.m. (New York time) on the date of the payment of such drawing, reimbursement shall be made within two Business Days following the date of the payment of such drawing, by the end of such day, in all instances in immediately available funds at the Administrative Agent’s principal office in New York, New York or such other office as the Administrative Agent may designate in writing to the Borrower, and the Administrative Agent</w:t>
      </w:r>
    </w:p>
    <w:p>
      <w:pPr>
        <w:sectPr>
          <w:pgSz w:w="11900" w:h="16838" w:orient="portrait"/>
          <w:cols w:equalWidth="0" w:num="1">
            <w:col w:w="11380"/>
          </w:cols>
          <w:pgMar w:left="240" w:top="625" w:right="279" w:bottom="1440" w:gutter="0" w:footer="0" w:header="0"/>
        </w:sectPr>
      </w:pPr>
    </w:p>
    <w:bookmarkStart w:id="190" w:name="page191"/>
    <w:bookmarkEnd w:id="190"/>
    <w:p>
      <w:pPr>
        <w:spacing w:after="0" w:line="256" w:lineRule="auto"/>
        <w:rPr>
          <w:sz w:val="20"/>
          <w:szCs w:val="20"/>
          <w:color w:val="auto"/>
        </w:rPr>
      </w:pPr>
      <w:r>
        <w:rPr>
          <w:rFonts w:ascii="Times New Roman" w:cs="Times New Roman" w:eastAsia="Times New Roman" w:hAnsi="Times New Roman"/>
          <w:sz w:val="21"/>
          <w:szCs w:val="21"/>
          <w:color w:val="auto"/>
        </w:rPr>
        <w:t xml:space="preserve">shall thereafter cause to be distributed to the applicable L/C Issuer such amount(s) in like funds. If the Borrower does not make any such reimbursement payment on the date due and the Participating Lenders fund their participations in the manner set forth in Section 2.3(d) below, then all payments thereafter received by the Administrative Agent in discharge of any of the relevant Reimbursement Obligations shall be distributed in accordance with Section 2.3(d) below. In addition, for the benefit of the Administrative Agent, the L/C Issuers and each Lender, the Borrower agrees that, notwithstanding any provision of any Application, its obligations under this Section 2.3(c) and each Application shall be absolute, unconditional and irrevocable, and shall be performed strictly in accordance with the terms of this Agreement and the Applications, under all circumstances whatsoever, and irrespective of any claim or defense that the Borrower may otherwise have against the Administrative Agent, the L/C Issuers or any Lender, including without limitation (i) any lack of validity or enforceability of any Loan Document; (ii) any amendment or waiver of or any consent to departure from all or any of the provisions of any Loan Document; (iii) the existence of any claim of set-off the Borrower may have at any time against a beneficiary of a Letter of Credit (or any Person for whom a beneficiary may be acting), the Administrative Agent, the L/C Issuers, any Lender or any other Person, whether in connection with this Agreement, another Loan Document, the transaction related to the Loan Document or any unrelated transaction; (iv) any statement or any other document presented under a Letter of Credit proving to be forged, fraudulent, invalid or insufficient in any respect or any statement therein being untrue or inaccurate in any respect; (v) payment by the Administrative Agent or an L/C Issuer under a Letter of Credit against presentation to the Administrative Agent or an L/C Issuer of a draft or certificate that does not comply with the terms of the Letter of Credit;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Agent’s or an L/C Issuer’s determination that documents presented under the Letter of Credit complied with the terms thereof did not constitute gross negligence, bad faith or willful misconduct of the Administrative Agent or an L/C Issuer (as determined by the final, non-appealable judgment of a court of competent jurisdiction); or (vi) any other act or omission to act or delay of any kind by the Administrative Agent or an L/C Issuer, any Lender or any other Person or any other event or circumstance whatsoever that might, but for the provisions of this Section 2.3(c), constitute a legal or equitable discharge of the Borrower’s obligations hereunder or under an Application.</w:t>
      </w:r>
    </w:p>
    <w:p>
      <w:pPr>
        <w:spacing w:after="0" w:line="191" w:lineRule="exact"/>
        <w:rPr>
          <w:sz w:val="20"/>
          <w:szCs w:val="20"/>
          <w:color w:val="auto"/>
        </w:rPr>
      </w:pPr>
    </w:p>
    <w:p>
      <w:pPr>
        <w:ind w:right="80" w:firstLine="656"/>
        <w:spacing w:after="0" w:line="249" w:lineRule="auto"/>
        <w:tabs>
          <w:tab w:leader="none" w:pos="10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Participating Interests</w:t>
      </w:r>
      <w:r>
        <w:rPr>
          <w:rFonts w:ascii="Times New Roman" w:cs="Times New Roman" w:eastAsia="Times New Roman" w:hAnsi="Times New Roman"/>
          <w:sz w:val="22"/>
          <w:szCs w:val="22"/>
          <w:color w:val="auto"/>
        </w:rPr>
        <w:t>. Each Revolving Lender (other than the Lender acting as L/C Issuer) severally and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jointly agrees to purchase from the L/C Issuers, and each L/C Issuer hereby agrees to sell to each such Revolving Lender (a “</w:t>
      </w:r>
      <w:r>
        <w:rPr>
          <w:rFonts w:ascii="Times New Roman" w:cs="Times New Roman" w:eastAsia="Times New Roman" w:hAnsi="Times New Roman"/>
          <w:sz w:val="22"/>
          <w:szCs w:val="22"/>
          <w:i w:val="1"/>
          <w:iCs w:val="1"/>
          <w:color w:val="auto"/>
        </w:rPr>
        <w:t>Participating Lender</w:t>
      </w:r>
      <w:r>
        <w:rPr>
          <w:rFonts w:ascii="Times New Roman" w:cs="Times New Roman" w:eastAsia="Times New Roman" w:hAnsi="Times New Roman"/>
          <w:sz w:val="22"/>
          <w:szCs w:val="22"/>
          <w:color w:val="auto"/>
        </w:rPr>
        <w:t>”), an undivided participating interest (a “</w:t>
      </w:r>
      <w:r>
        <w:rPr>
          <w:rFonts w:ascii="Times New Roman" w:cs="Times New Roman" w:eastAsia="Times New Roman" w:hAnsi="Times New Roman"/>
          <w:sz w:val="22"/>
          <w:szCs w:val="22"/>
          <w:i w:val="1"/>
          <w:iCs w:val="1"/>
          <w:color w:val="auto"/>
        </w:rPr>
        <w:t>Participating Interest</w:t>
      </w:r>
      <w:r>
        <w:rPr>
          <w:rFonts w:ascii="Times New Roman" w:cs="Times New Roman" w:eastAsia="Times New Roman" w:hAnsi="Times New Roman"/>
          <w:sz w:val="22"/>
          <w:szCs w:val="22"/>
          <w:color w:val="auto"/>
        </w:rPr>
        <w:t xml:space="preserve">”) to the extent of its Revolver Percentage in each Letter of Credit issued by, and each Reimbursement Obligation owed to, the L/C Issuers. Upon the Borrower’s failure to pay any Reimbursement Obligation on the date and at the time required, or if an L/C Issuer is required at any time to return to the Borrower or to a trustee, receiver, liquidator, custodian or other Person any portion of any payment of any Reimbursement Obligation, each Participating Lender shall, not later than the Business Day it receives a certificate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from such L/C Issuer (with a copy to the Administrative Agent) to such effect, if such certificate is received before 12:00 noon, or not</w:t>
      </w:r>
    </w:p>
    <w:p>
      <w:pPr>
        <w:sectPr>
          <w:pgSz w:w="11900" w:h="16838" w:orient="portrait"/>
          <w:cols w:equalWidth="0" w:num="1">
            <w:col w:w="11360"/>
          </w:cols>
          <w:pgMar w:left="240" w:top="625" w:right="299" w:bottom="1440" w:gutter="0" w:footer="0" w:header="0"/>
        </w:sectPr>
      </w:pPr>
    </w:p>
    <w:bookmarkStart w:id="191" w:name="page192"/>
    <w:bookmarkEnd w:id="191"/>
    <w:p>
      <w:pPr>
        <w:spacing w:after="0" w:line="246" w:lineRule="auto"/>
        <w:rPr>
          <w:sz w:val="20"/>
          <w:szCs w:val="20"/>
          <w:color w:val="auto"/>
        </w:rPr>
      </w:pPr>
      <w:r>
        <w:rPr>
          <w:rFonts w:ascii="Times New Roman" w:cs="Times New Roman" w:eastAsia="Times New Roman" w:hAnsi="Times New Roman"/>
          <w:sz w:val="22"/>
          <w:szCs w:val="22"/>
          <w:color w:val="auto"/>
        </w:rPr>
        <w:t>later than 12:00 noon the following Business Day, if such certificate is received after such time, pay to the Administrative Agent for the account of such L/C Issuer an amount equal to such Participating Lender’s Revolver Percentage of such unpaid Reimbursement Obligation together with interest on such amount accrued from the date such L/C Issuer made the related payment to the date of such payment by such Participating Lender at a rate per annum equal to: (i) from the date such L/C Issuer made the related payment to the date two (2) Business Days after payment by such Participating Lender is due hereunder, the Federal Funds Rate for each such day and (ii) from the date two (2) Business Days after the date such payment is due from such Participating Lender to the date such payment is made by such Participating Lender, the Base Rate in effect for each such day. Each such Participating Lender shall, after making its appropriate payment, be entitled to receive its Revolver Percentage of each payment received in respect of the relevant Reimbursement Obligation and of interest paid thereon, with each L/C Issuer retaining its Revolver Percentage thereof as a Revolving Lender hereunder.</w:t>
      </w:r>
    </w:p>
    <w:p>
      <w:pPr>
        <w:spacing w:after="0" w:line="189" w:lineRule="exact"/>
        <w:rPr>
          <w:sz w:val="20"/>
          <w:szCs w:val="20"/>
          <w:color w:val="auto"/>
        </w:rPr>
      </w:pPr>
    </w:p>
    <w:p>
      <w:pPr>
        <w:ind w:right="60" w:firstLine="1297"/>
        <w:spacing w:after="0" w:line="248" w:lineRule="auto"/>
        <w:rPr>
          <w:sz w:val="20"/>
          <w:szCs w:val="20"/>
          <w:color w:val="auto"/>
        </w:rPr>
      </w:pPr>
      <w:r>
        <w:rPr>
          <w:rFonts w:ascii="Times New Roman" w:cs="Times New Roman" w:eastAsia="Times New Roman" w:hAnsi="Times New Roman"/>
          <w:sz w:val="22"/>
          <w:szCs w:val="22"/>
          <w:color w:val="auto"/>
        </w:rPr>
        <w:t>The several obligations of the Participating Lenders to the L/C Issuers under this Section 2.3 shall be absolute, irrevocable and unconditional under any and all circumstances and shall not be subject to any set-off, counterclaim or defense to payment which any Participating Lender may have or has had against the Borrower, the L/C Issuers, the Administrative Agent, any Lender or any other Person. Without limiting the generality of the foregoing, such obligations shall not be affected by any Default or Event of Default or by any reduction or termination of the Revolving Credit Commitment of any Revolving Lender, and each payment by a Participating Lender under this Section 2.3 shall be made without any offset, abatement, withholding or reduction whatsoever.</w:t>
      </w:r>
    </w:p>
    <w:p>
      <w:pPr>
        <w:spacing w:after="0" w:line="178" w:lineRule="exact"/>
        <w:rPr>
          <w:sz w:val="20"/>
          <w:szCs w:val="20"/>
          <w:color w:val="auto"/>
        </w:rPr>
      </w:pPr>
    </w:p>
    <w:p>
      <w:pPr>
        <w:ind w:right="40" w:firstLine="656"/>
        <w:spacing w:after="0" w:line="249" w:lineRule="auto"/>
        <w:tabs>
          <w:tab w:leader="none" w:pos="106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 The Participating Lenders shall, to the extent of their respective Revolver Percentages, indemnify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L/C Issuers (to the extent not reimbursed by the Borrower and without relieving the Borrower of its obligation to do so) against any cost, expense (including reasonable counsel fees and disbursements), claim, demand, action, loss or liability (except as a result from any L/C Issuer’s gross negligence or willful misconduct as determined by the final, non-appealable judgment of a court of competent jurisdiction) that such L/C Issuer may suffer or incur in connection with any Letter of Credit issued by it. The obligations of the Participating Lenders under this Section 2.3(e) and all other parts of this Section 2.3 shall survive termination of this Agreement and of all Applications, Letters of Credit, and all drafts and other documents presented in connection with drawings thereunder.</w:t>
      </w:r>
    </w:p>
    <w:p>
      <w:pPr>
        <w:spacing w:after="0" w:line="182" w:lineRule="exact"/>
        <w:rPr>
          <w:rFonts w:ascii="Times New Roman" w:cs="Times New Roman" w:eastAsia="Times New Roman" w:hAnsi="Times New Roman"/>
          <w:sz w:val="22"/>
          <w:szCs w:val="22"/>
          <w:color w:val="auto"/>
        </w:rPr>
      </w:pPr>
    </w:p>
    <w:p>
      <w:pPr>
        <w:ind w:right="40" w:firstLine="656"/>
        <w:spacing w:after="0" w:line="252" w:lineRule="auto"/>
        <w:tabs>
          <w:tab w:leader="none" w:pos="10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Manner of Requesting a Letter of Credit</w:t>
      </w:r>
      <w:r>
        <w:rPr>
          <w:rFonts w:ascii="Times New Roman" w:cs="Times New Roman" w:eastAsia="Times New Roman" w:hAnsi="Times New Roman"/>
          <w:sz w:val="22"/>
          <w:szCs w:val="22"/>
          <w:color w:val="auto"/>
        </w:rPr>
        <w:t>. The Borrower shall provide at least three (3) Business Days’ advance written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to the Administrative Agent and the applicable L/C Issuer (or such lesser notice as the Administrative Agent and the L/C Issuers may agree in their sole discretion) of each request for the issuance of a Letter of Credit, each such notice to be accompanied by a properly completed and executed Application for the requested Letter of Credit and, in the case of an extension or amendment or an increase in the amount of a Letter of Credit, a written request therefor, in a form acceptable to the Administrative Agent and the</w:t>
      </w:r>
    </w:p>
    <w:p>
      <w:pPr>
        <w:sectPr>
          <w:pgSz w:w="11900" w:h="16838" w:orient="portrait"/>
          <w:cols w:equalWidth="0" w:num="1">
            <w:col w:w="11420"/>
          </w:cols>
          <w:pgMar w:left="240" w:top="625" w:right="239" w:bottom="1440" w:gutter="0" w:footer="0" w:header="0"/>
        </w:sectPr>
      </w:pPr>
    </w:p>
    <w:bookmarkStart w:id="192" w:name="page193"/>
    <w:bookmarkEnd w:id="192"/>
    <w:p>
      <w:pPr>
        <w:ind w:right="120"/>
        <w:spacing w:after="0" w:line="271" w:lineRule="auto"/>
        <w:rPr>
          <w:sz w:val="20"/>
          <w:szCs w:val="20"/>
          <w:color w:val="auto"/>
        </w:rPr>
      </w:pPr>
      <w:r>
        <w:rPr>
          <w:rFonts w:ascii="Times New Roman" w:cs="Times New Roman" w:eastAsia="Times New Roman" w:hAnsi="Times New Roman"/>
          <w:sz w:val="22"/>
          <w:szCs w:val="22"/>
          <w:color w:val="auto"/>
        </w:rPr>
        <w:t>applicable L/C Issuer, in each case, together with the fees called for by this Agreement. The L/C Issuers shall promptly notify the Administrative Agent and the Lenders of the issuance, extension or amendment of a Letter of Credit.</w:t>
      </w:r>
    </w:p>
    <w:p>
      <w:pPr>
        <w:spacing w:after="0" w:line="154" w:lineRule="exact"/>
        <w:rPr>
          <w:sz w:val="20"/>
          <w:szCs w:val="20"/>
          <w:color w:val="auto"/>
        </w:rPr>
      </w:pPr>
    </w:p>
    <w:p>
      <w:pPr>
        <w:ind w:right="140" w:firstLine="656"/>
        <w:spacing w:after="0" w:line="288" w:lineRule="auto"/>
        <w:tabs>
          <w:tab w:leader="none" w:pos="10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Conflict with Application</w:t>
      </w:r>
      <w:r>
        <w:rPr>
          <w:rFonts w:ascii="Times New Roman" w:cs="Times New Roman" w:eastAsia="Times New Roman" w:hAnsi="Times New Roman"/>
          <w:sz w:val="22"/>
          <w:szCs w:val="22"/>
          <w:color w:val="auto"/>
        </w:rPr>
        <w:t>. In the event of any conflict or inconsistency between this Agreement and the terms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the terms of this Agreement shall control.</w:t>
      </w:r>
    </w:p>
    <w:p>
      <w:pPr>
        <w:spacing w:after="0" w:line="135" w:lineRule="exact"/>
        <w:rPr>
          <w:rFonts w:ascii="Times New Roman" w:cs="Times New Roman" w:eastAsia="Times New Roman" w:hAnsi="Times New Roman"/>
          <w:sz w:val="22"/>
          <w:szCs w:val="22"/>
          <w:color w:val="auto"/>
        </w:rPr>
      </w:pPr>
    </w:p>
    <w:p>
      <w:pPr>
        <w:ind w:right="60" w:firstLine="656"/>
        <w:spacing w:after="0" w:line="258" w:lineRule="auto"/>
        <w:tabs>
          <w:tab w:leader="none" w:pos="10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Existing Letters of Credit</w:t>
      </w:r>
      <w:r>
        <w:rPr>
          <w:rFonts w:ascii="Times New Roman" w:cs="Times New Roman" w:eastAsia="Times New Roman" w:hAnsi="Times New Roman"/>
          <w:sz w:val="22"/>
          <w:szCs w:val="22"/>
          <w:color w:val="auto"/>
        </w:rPr>
        <w:t>. Letters of credit of the Borrower, the Target Company and their respective Subsidiaries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outstanding on the Escrow Release Date, if any, and set forth on </w:t>
      </w:r>
      <w:r>
        <w:rPr>
          <w:rFonts w:ascii="Times New Roman" w:cs="Times New Roman" w:eastAsia="Times New Roman" w:hAnsi="Times New Roman"/>
          <w:sz w:val="22"/>
          <w:szCs w:val="22"/>
          <w:u w:val="single" w:color="auto"/>
          <w:color w:val="auto"/>
        </w:rPr>
        <w:t>Schedule 2.3(a)</w:t>
      </w:r>
      <w:r>
        <w:rPr>
          <w:rFonts w:ascii="Times New Roman" w:cs="Times New Roman" w:eastAsia="Times New Roman" w:hAnsi="Times New Roman"/>
          <w:sz w:val="22"/>
          <w:szCs w:val="22"/>
          <w:color w:val="auto"/>
        </w:rPr>
        <w:t xml:space="preserve"> of the Original Loan Agreement shall be deemed issued under the Revolving Facility to the extent the applicable letter of credit issuer under such facility is an L/C Issuer under the Revolving Facility.</w:t>
      </w:r>
    </w:p>
    <w:p>
      <w:pPr>
        <w:spacing w:after="0" w:line="168" w:lineRule="exact"/>
        <w:rPr>
          <w:rFonts w:ascii="Times New Roman" w:cs="Times New Roman" w:eastAsia="Times New Roman" w:hAnsi="Times New Roman"/>
          <w:sz w:val="22"/>
          <w:szCs w:val="22"/>
          <w:color w:val="auto"/>
        </w:rPr>
      </w:pPr>
    </w:p>
    <w:p>
      <w:pPr>
        <w:ind w:firstLine="656"/>
        <w:spacing w:after="0" w:line="247" w:lineRule="auto"/>
        <w:tabs>
          <w:tab w:leader="none" w:pos="103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Resignation or Replacement of L/C Issuer</w:t>
      </w:r>
      <w:r>
        <w:rPr>
          <w:rFonts w:ascii="Times New Roman" w:cs="Times New Roman" w:eastAsia="Times New Roman" w:hAnsi="Times New Roman"/>
          <w:sz w:val="22"/>
          <w:szCs w:val="22"/>
          <w:color w:val="auto"/>
        </w:rPr>
        <w:t>. An L/C Issuer may resign as an L/C Issuer hereunder at any time upon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least thirty (30) days’ prior written notice to the Lenders, the Administrative Agent and the Borrower. An L/C Issuer may be replaced at any time by written agreement among the Borrower, the Administrative Agent, the replaced L/C Issuer and the successor L/C Issuer. The Administrative Agent shall notify the Lenders of any such replacement of an L/C Issuer. At the time any such resignation or replacement shall become effective, the Borrower shall pay all unpaid fees accrued for the account of the replaced L/C Issuer pursuant to Section 2.13(b). From and after the effective date of any such resignation or replacement, (i) the successor L/C Issuer shall have all the rights and obligations of the replaced L/C Issuer under this Agreement with respect to Letters of Credit to be issued thereafter and (ii) references herein to the term “L/C Issuer” shall be deemed to refer to such successor or to any previous L/C Issuer, or to such successor and all previous L/C Issuers, as the context shall require. After the resignation or replacement of an L/C Issuer hereunder, the replaced L/C Issuer shall remain a party hereto and shall continue to have all the rights and obligations of such L/C Issuer under this Agreement with respect to Letters of Credit issued by it prior to such resignation or replacement but shall not be required to issue additional Letters of Credit.</w:t>
      </w:r>
    </w:p>
    <w:p>
      <w:pPr>
        <w:spacing w:after="0" w:line="184" w:lineRule="exact"/>
        <w:rPr>
          <w:rFonts w:ascii="Times New Roman" w:cs="Times New Roman" w:eastAsia="Times New Roman" w:hAnsi="Times New Roman"/>
          <w:sz w:val="22"/>
          <w:szCs w:val="22"/>
          <w:color w:val="auto"/>
        </w:rPr>
      </w:pPr>
    </w:p>
    <w:p>
      <w:pPr>
        <w:ind w:right="180" w:firstLine="656"/>
        <w:spacing w:after="0" w:line="254" w:lineRule="auto"/>
        <w:tabs>
          <w:tab w:leader="none" w:pos="103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L/C Issuers</w:t>
      </w:r>
      <w:r>
        <w:rPr>
          <w:rFonts w:ascii="Times New Roman" w:cs="Times New Roman" w:eastAsia="Times New Roman" w:hAnsi="Times New Roman"/>
          <w:sz w:val="22"/>
          <w:szCs w:val="22"/>
          <w:color w:val="auto"/>
        </w:rPr>
        <w:t>. From time to time, the Borrower may by notice to the Administrative Agent designate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additional Lenders as an L/C Issuer each of which agrees (in its sole discretion) to act in such capacity and is reasonably satisfactory to the Administrative Agent. Each such additional L/C Issuer shall execute a counterpart of this Agreement upon the approval of the Administrative Agent (which approval shall not be unreasonably withheld) and shall thereafter be an L/C Issuer hereunder for all purposes.</w:t>
      </w:r>
    </w:p>
    <w:p>
      <w:pPr>
        <w:spacing w:after="0" w:line="173" w:lineRule="exact"/>
        <w:rPr>
          <w:rFonts w:ascii="Times New Roman" w:cs="Times New Roman" w:eastAsia="Times New Roman" w:hAnsi="Times New Roman"/>
          <w:sz w:val="22"/>
          <w:szCs w:val="22"/>
          <w:color w:val="auto"/>
        </w:rPr>
      </w:pPr>
    </w:p>
    <w:p>
      <w:pPr>
        <w:ind w:right="20" w:firstLine="656"/>
        <w:spacing w:after="0" w:line="258" w:lineRule="auto"/>
        <w:tabs>
          <w:tab w:leader="none" w:pos="10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Provisions Related to Extended Revolving Credit Commitments. </w:t>
      </w:r>
      <w:r>
        <w:rPr>
          <w:rFonts w:ascii="Times New Roman" w:cs="Times New Roman" w:eastAsia="Times New Roman" w:hAnsi="Times New Roman"/>
          <w:sz w:val="22"/>
          <w:szCs w:val="22"/>
          <w:color w:val="auto"/>
        </w:rPr>
        <w:t>If the maturity date in respect of any tranche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Revolving Credit Commitments occurs prior to the expiration of any Letter of Credit issued under such tranche, then (i) if one (1) or more other tranches of Revolving Credit Commitments in respect of which the maturity date shall not have occurred are then in effect, (x) the outstanding Revolving Loans shall be repaid pursuant to Section 2.7(d) on</w:t>
      </w:r>
    </w:p>
    <w:p>
      <w:pPr>
        <w:sectPr>
          <w:pgSz w:w="11900" w:h="16838" w:orient="portrait"/>
          <w:cols w:equalWidth="0" w:num="1">
            <w:col w:w="11300"/>
          </w:cols>
          <w:pgMar w:left="240" w:top="625" w:right="359" w:bottom="1440" w:gutter="0" w:footer="0" w:header="0"/>
        </w:sectPr>
      </w:pPr>
    </w:p>
    <w:bookmarkStart w:id="193" w:name="page194"/>
    <w:bookmarkEnd w:id="193"/>
    <w:p>
      <w:pPr>
        <w:spacing w:after="0" w:line="244" w:lineRule="auto"/>
        <w:rPr>
          <w:sz w:val="20"/>
          <w:szCs w:val="20"/>
          <w:color w:val="auto"/>
        </w:rPr>
      </w:pPr>
      <w:r>
        <w:rPr>
          <w:rFonts w:ascii="Times New Roman" w:cs="Times New Roman" w:eastAsia="Times New Roman" w:hAnsi="Times New Roman"/>
          <w:sz w:val="22"/>
          <w:szCs w:val="22"/>
          <w:color w:val="auto"/>
        </w:rPr>
        <w:t xml:space="preserve">such maturity date to the extent and in an amount sufficient to permit the reallocation of the Letter of Credit Usage relating to the outstanding Letters of Credit contemplated by clause (y) below and (y) such Letters of Credit shall automatically be deemed to have been issued (including for purposes of the obligations of the Revolving Lenders to purchase participations therein and to make payments in respect thereof pursuant to Section 2.3(d)) under (and ratably participated in by Revolving Lenders pursuant to) the Revolving Credit Commitments in respect of such non-terminating tranches up to an aggregate amount not to exceed the aggregate principal amount of the Revolving Credit Commitments in respect of such non-terminating tranches at such time (it being understood that (1) the participations therein of Revolving Lenders under the maturing tranche shall be correspondingly released and (2) no partial face amount of any Letter of Credit may be so reallocated) and (ii) to the extent not reallocated pursuant to the immediately preceding clause (i), but without limiting the obligations with respect thereto, the Borrower shall provide an L/C Backstop with respect to any such Letter of Credit in a manner reasonably satisfactory to the applicable L/C Issuer. If, for any reason, such L/C Backstop is not provided or the reallocation does not occur, the Revolving Lenders under the maturing tranche shall continue to be responsible for their participating interests in the Letters of Credit;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to the contrary contained herein, upon any subsequent repayment of the Revolving Loans, the reallocation set forth in clause (i) shall automatically and concurrently occur to the extent of such repayment (it being understood that no partial face amount of any Letter of Credit may be so reallocated). Except to the extent of reallocations of participations pursuant to clause (i) of the second preceding sentence, the occurrence of a maturity date with respect to a given tranche of Revolving Credit Commitments shall have no effect upon (and shall not diminish) the percentage participations of the Revolving Lenders in any Letter of Credit issued before such maturity date. Commencing with the maturity date of any tranche of Revolving Credit Commitments, the L/C Sublimit under any tranche of Revolving Credit Commitments that has not so then matured shall be as agreed with such Revolving Lenders;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in no event shall such sublimit be less than the sum of (x) the Letter of Credit Usage with respect to the Revolving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under such extended tranche immediately prior to such maturity date and (y) the face amount of the Letters of Credit reallocated to such tranche of Revolving Credit Commitments pursuant to clause (i) of the first sentence of this clause (k) (assuming Revolving Loans are repaid in accordance with clause (i)(x)).</w:t>
      </w:r>
    </w:p>
    <w:p>
      <w:pPr>
        <w:spacing w:after="0" w:line="198" w:lineRule="exact"/>
        <w:rPr>
          <w:sz w:val="20"/>
          <w:szCs w:val="20"/>
          <w:color w:val="auto"/>
        </w:rPr>
      </w:pPr>
    </w:p>
    <w:p>
      <w:pPr>
        <w:ind w:right="120" w:firstLine="656"/>
        <w:spacing w:after="0" w:line="250" w:lineRule="auto"/>
        <w:tabs>
          <w:tab w:leader="none" w:pos="10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Applicability of ISP; Limitation of Liability</w:t>
      </w:r>
      <w:r>
        <w:rPr>
          <w:rFonts w:ascii="Times New Roman" w:cs="Times New Roman" w:eastAsia="Times New Roman" w:hAnsi="Times New Roman"/>
          <w:sz w:val="22"/>
          <w:szCs w:val="22"/>
          <w:color w:val="auto"/>
        </w:rPr>
        <w:t>. Unless otherwise expressly agreed by the applicable L/C Issuer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when a Letter of Credit is issued, the rules of the ISP shall apply to each standby Letter of Credit. Notwithstanding the foregoing, no L/C Issuer shall be responsible to the Borrower for, and no L/C Issuer’s rights and remedies against the Borrower shall be impaired by, any action or inaction of an L/C Issuer required or permitted under any law, order, or practice that is required or permitted to be applied to any Letter of Credit or this Agreement, including the Law or any order of a jurisdiction where L/C Issuer or the beneficiary is located, the practice stated in the ISP, or in the decisions, opinions, practice statements, or official commentary of the ICC Banking Commission, the Bankers Association for</w:t>
      </w:r>
    </w:p>
    <w:p>
      <w:pPr>
        <w:sectPr>
          <w:pgSz w:w="11900" w:h="16838" w:orient="portrait"/>
          <w:cols w:equalWidth="0" w:num="1">
            <w:col w:w="11400"/>
          </w:cols>
          <w:pgMar w:left="240" w:top="626" w:right="259" w:bottom="1440" w:gutter="0" w:footer="0" w:header="0"/>
        </w:sectPr>
      </w:pPr>
    </w:p>
    <w:bookmarkStart w:id="194" w:name="page195"/>
    <w:bookmarkEnd w:id="194"/>
    <w:p>
      <w:pPr>
        <w:ind w:right="280"/>
        <w:spacing w:after="0" w:line="271" w:lineRule="auto"/>
        <w:rPr>
          <w:sz w:val="20"/>
          <w:szCs w:val="20"/>
          <w:color w:val="auto"/>
        </w:rPr>
      </w:pPr>
      <w:r>
        <w:rPr>
          <w:rFonts w:ascii="Times New Roman" w:cs="Times New Roman" w:eastAsia="Times New Roman" w:hAnsi="Times New Roman"/>
          <w:sz w:val="22"/>
          <w:szCs w:val="22"/>
          <w:color w:val="auto"/>
        </w:rPr>
        <w:t>Finance and Trade - International Financial Services Association (BAFT-IFSA), or the Institute of International Banking Law &amp; Practice, whether or not any Letter of Credit chooses such law or practice.</w:t>
      </w:r>
    </w:p>
    <w:p>
      <w:pPr>
        <w:spacing w:after="0" w:line="15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i w:val="1"/>
          <w:iCs w:val="1"/>
          <w:color w:val="auto"/>
        </w:rPr>
        <w:t>Applicable Interest Rates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right="180" w:firstLine="656"/>
        <w:spacing w:after="0" w:line="252" w:lineRule="auto"/>
        <w:tabs>
          <w:tab w:leader="none" w:pos="106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Base Rate Loans</w:t>
      </w:r>
      <w:r>
        <w:rPr>
          <w:rFonts w:ascii="Times New Roman" w:cs="Times New Roman" w:eastAsia="Times New Roman" w:hAnsi="Times New Roman"/>
          <w:sz w:val="22"/>
          <w:szCs w:val="22"/>
          <w:color w:val="auto"/>
        </w:rPr>
        <w:t>. Each Term Loan that is a Base Rate Loan made or maintained by a Lender shall bear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(computed on the basis of a year of 360 days (or, at times when the Base Rate is based on the Prime Rate, 365 or 366 days, as the case may be) and the actual days elapsed) on the unpaid principal amount thereof from the date such Loan is advanced or created by conversion from a Eurodollar Loan until, but excluding, the date of repayment thereof at a rate per annum equal to the sum of the Applicable Margin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Base Rate from time to time in effect, payable in arrears on each Fiscal Quarter End Date and at maturity (whether by acceleration or otherwise).</w:t>
      </w:r>
    </w:p>
    <w:p>
      <w:pPr>
        <w:spacing w:after="0" w:line="175" w:lineRule="exact"/>
        <w:rPr>
          <w:rFonts w:ascii="Times New Roman" w:cs="Times New Roman" w:eastAsia="Times New Roman" w:hAnsi="Times New Roman"/>
          <w:sz w:val="22"/>
          <w:szCs w:val="22"/>
          <w:color w:val="auto"/>
        </w:rPr>
      </w:pPr>
    </w:p>
    <w:p>
      <w:pPr>
        <w:ind w:firstLine="656"/>
        <w:spacing w:after="0" w:line="249" w:lineRule="auto"/>
        <w:tabs>
          <w:tab w:leader="none" w:pos="10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Eurodollar Loans</w:t>
      </w:r>
      <w:r>
        <w:rPr>
          <w:rFonts w:ascii="Times New Roman" w:cs="Times New Roman" w:eastAsia="Times New Roman" w:hAnsi="Times New Roman"/>
          <w:sz w:val="22"/>
          <w:szCs w:val="22"/>
          <w:color w:val="auto"/>
        </w:rPr>
        <w:t>. Each Term Loan that is a Eurodollar Loan made or maintained by a Lender shall bear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during each Interest Period it is outstanding (computed on the basis of a year of 360 days and actual days elapsed) on the unpaid principal amount thereof from the date such Loan is advanced, continued or, in the case of a Eurodollar Loan denominated in Dollars, created by conversion from a Base Rate Loan until, but excluding, the date of repayment thereof at a rate per annum equal to the sum of the Applicable Margin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in the case of a Eurodollar Loan denominated in Dollars, the Adjusted LIBOR applicable for such Interest Period, payable in arrears on the last day of the Interest Period and at maturity (whether by acceleration or otherwise), and, if the applicable Interest Period is longer than three (3) months, on each day occurring every three (3) months after the commencement of such Interest Period.</w:t>
      </w:r>
    </w:p>
    <w:p>
      <w:pPr>
        <w:spacing w:after="0" w:line="182" w:lineRule="exact"/>
        <w:rPr>
          <w:rFonts w:ascii="Times New Roman" w:cs="Times New Roman" w:eastAsia="Times New Roman" w:hAnsi="Times New Roman"/>
          <w:sz w:val="22"/>
          <w:szCs w:val="22"/>
          <w:color w:val="auto"/>
        </w:rPr>
      </w:pPr>
    </w:p>
    <w:p>
      <w:pPr>
        <w:ind w:right="20" w:firstLine="656"/>
        <w:spacing w:after="0" w:line="252" w:lineRule="auto"/>
        <w:tabs>
          <w:tab w:leader="none" w:pos="106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Base Rate Loans</w:t>
      </w:r>
      <w:r>
        <w:rPr>
          <w:rFonts w:ascii="Times New Roman" w:cs="Times New Roman" w:eastAsia="Times New Roman" w:hAnsi="Times New Roman"/>
          <w:sz w:val="22"/>
          <w:szCs w:val="22"/>
          <w:color w:val="auto"/>
        </w:rPr>
        <w:t>. Each Revolving Loan that is a Base Rate Loan made or maintained by a Lender shall bear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interest (computed on the basis of a year of 360 days (or, at times when the Base Rate is based on the Prime Rate, 365 or 366 days, as the case may be) and the actual days elapsed) on the unpaid principal amount thereof from the date such Loan is advanced or created by conversion from a Eurodollar Loan until, but excluding, the date of repayment thereof at a rate per annum equal to the sum of the Applicable Margin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Base Rate from time to time in effect, payable in arrears on each Fiscal Quarter End Date and at maturity (whether by acceleration or otherwise).</w:t>
      </w:r>
    </w:p>
    <w:p>
      <w:pPr>
        <w:spacing w:after="0" w:line="175" w:lineRule="exact"/>
        <w:rPr>
          <w:rFonts w:ascii="Times New Roman" w:cs="Times New Roman" w:eastAsia="Times New Roman" w:hAnsi="Times New Roman"/>
          <w:sz w:val="22"/>
          <w:szCs w:val="22"/>
          <w:color w:val="auto"/>
        </w:rPr>
      </w:pPr>
    </w:p>
    <w:p>
      <w:pPr>
        <w:ind w:right="120" w:firstLine="656"/>
        <w:spacing w:after="0" w:line="254" w:lineRule="auto"/>
        <w:tabs>
          <w:tab w:leader="none" w:pos="10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Eurodollar Loans</w:t>
      </w:r>
      <w:r>
        <w:rPr>
          <w:rFonts w:ascii="Times New Roman" w:cs="Times New Roman" w:eastAsia="Times New Roman" w:hAnsi="Times New Roman"/>
          <w:sz w:val="22"/>
          <w:szCs w:val="22"/>
          <w:color w:val="auto"/>
        </w:rPr>
        <w:t>. Each Revolving Loan that is a Eurodollar Loan made or maintained by a Lender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bear interest during each Interest Period it is outstanding (computed on the basis of a year of 360 days and actual days elapsed) on the unpaid principal amount thereof from the date such Loan is advanced, continued or created by conversion from a Base Rate Loan until, but excluding, the date of repayment thereof at a rate per annum equal to the sum of the Applicable Margin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Adjusted LIBOR applicable for such Interest Period,</w:t>
      </w:r>
    </w:p>
    <w:p>
      <w:pPr>
        <w:sectPr>
          <w:pgSz w:w="11900" w:h="16838" w:orient="portrait"/>
          <w:cols w:equalWidth="0" w:num="1">
            <w:col w:w="11360"/>
          </w:cols>
          <w:pgMar w:left="240" w:top="625" w:right="299" w:bottom="1440" w:gutter="0" w:footer="0" w:header="0"/>
        </w:sectPr>
      </w:pPr>
    </w:p>
    <w:bookmarkStart w:id="195" w:name="page196"/>
    <w:bookmarkEnd w:id="195"/>
    <w:p>
      <w:pPr>
        <w:spacing w:after="0" w:line="257" w:lineRule="auto"/>
        <w:rPr>
          <w:sz w:val="20"/>
          <w:szCs w:val="20"/>
          <w:color w:val="auto"/>
        </w:rPr>
      </w:pPr>
      <w:r>
        <w:rPr>
          <w:rFonts w:ascii="Times New Roman" w:cs="Times New Roman" w:eastAsia="Times New Roman" w:hAnsi="Times New Roman"/>
          <w:sz w:val="22"/>
          <w:szCs w:val="22"/>
          <w:color w:val="auto"/>
        </w:rPr>
        <w:t>payable in arrears on the last day of the Interest Period and at maturity (whether by acceleration or otherwise), and, if the applicable Interest Period is longer than three (3) months, on each day occurring every three (3) months after the commencement of such Interest Period.</w:t>
      </w:r>
    </w:p>
    <w:p>
      <w:pPr>
        <w:spacing w:after="0" w:line="169" w:lineRule="exact"/>
        <w:rPr>
          <w:sz w:val="20"/>
          <w:szCs w:val="20"/>
          <w:color w:val="auto"/>
        </w:rPr>
      </w:pPr>
    </w:p>
    <w:p>
      <w:pPr>
        <w:ind w:firstLine="656"/>
        <w:spacing w:after="0" w:line="250" w:lineRule="auto"/>
        <w:tabs>
          <w:tab w:leader="none" w:pos="106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 Rate</w:t>
      </w:r>
      <w:r>
        <w:rPr>
          <w:rFonts w:ascii="Times New Roman" w:cs="Times New Roman" w:eastAsia="Times New Roman" w:hAnsi="Times New Roman"/>
          <w:sz w:val="22"/>
          <w:szCs w:val="22"/>
          <w:color w:val="auto"/>
        </w:rPr>
        <w:t>. While any Event of Default under Section 7.1(a) (with respect to the late payment of principal,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Reimbursement Obligations or fees), or, with respect to the Borrower, Section 7.1(j) or (k) exists or after acceleration, the Borrower shall pay interest (after as well as before entry of judgment thereon to the extent permitted by law) on the overdue amounts of all Loans, Reimbursement Obligations, interest or fees owing hereunder by it at a rate equal to 2.00% per annum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 in the case of Loans, the interest rate otherwise applicable thereto and (ii) otherwise, the rate applicable to Revolving Loans that are Base Rate Loans. Such interest shall be paid on demand subject, except in the case of any Event of Default under Section 7.1(j) or (k), to the request of the Administrative Agent at the request or with the consent of the Required Lenders.</w:t>
      </w:r>
    </w:p>
    <w:p>
      <w:pPr>
        <w:spacing w:after="0" w:line="181" w:lineRule="exact"/>
        <w:rPr>
          <w:rFonts w:ascii="Times New Roman" w:cs="Times New Roman" w:eastAsia="Times New Roman" w:hAnsi="Times New Roman"/>
          <w:sz w:val="22"/>
          <w:szCs w:val="22"/>
          <w:color w:val="auto"/>
        </w:rPr>
      </w:pPr>
    </w:p>
    <w:p>
      <w:pPr>
        <w:ind w:right="180" w:firstLine="656"/>
        <w:spacing w:after="0" w:line="265" w:lineRule="auto"/>
        <w:tabs>
          <w:tab w:leader="none" w:pos="10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Rate Determinations</w:t>
      </w:r>
      <w:r>
        <w:rPr>
          <w:rFonts w:ascii="Times New Roman" w:cs="Times New Roman" w:eastAsia="Times New Roman" w:hAnsi="Times New Roman"/>
          <w:sz w:val="22"/>
          <w:szCs w:val="22"/>
          <w:color w:val="auto"/>
        </w:rPr>
        <w:t>. The Administrative Agent shall determine each interest rate applicable to the Revolving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Reimbursement Obligations hereunder, and its determination thereof shall be conclusive and binding except in the case of manifest error.</w:t>
      </w:r>
    </w:p>
    <w:p>
      <w:pPr>
        <w:spacing w:after="0" w:line="16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i w:val="1"/>
          <w:iCs w:val="1"/>
          <w:color w:val="auto"/>
        </w:rPr>
        <w:t>Manner of Borrowing Loans and Designating Applicable Interest Rates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i w:val="1"/>
          <w:iCs w:val="1"/>
          <w:color w:val="auto"/>
        </w:rPr>
        <w:t>Notice to the Administrative Agent</w:t>
      </w:r>
      <w:r>
        <w:rPr>
          <w:rFonts w:ascii="Times New Roman" w:cs="Times New Roman" w:eastAsia="Times New Roman" w:hAnsi="Times New Roman"/>
          <w:sz w:val="21"/>
          <w:szCs w:val="21"/>
          <w:color w:val="auto"/>
        </w:rPr>
        <w:t>. The Borrower shall give notice to the Administrative Agent by no later than: (i)</w:t>
      </w:r>
    </w:p>
    <w:p>
      <w:pPr>
        <w:spacing w:after="0" w:line="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1"/>
          <w:szCs w:val="21"/>
          <w:color w:val="auto"/>
        </w:rPr>
        <w:t>1:00 p.m. (New York time) at least three (3) Business Days before the date on which the Borrower requests the Lenders to advance a Borrowing of Loans that are Eurodollar Loans denominated in Dollars (or in the case of any Borrowing of Loans that are Eurodollar Loans denominated in Dollars on the Closing Date or the Escrow Release Date, 1:00 p.m. (New York time) at least two</w:t>
      </w:r>
    </w:p>
    <w:p>
      <w:pPr>
        <w:spacing w:after="0" w:line="3" w:lineRule="exact"/>
        <w:rPr>
          <w:sz w:val="20"/>
          <w:szCs w:val="20"/>
          <w:color w:val="auto"/>
        </w:rPr>
      </w:pPr>
    </w:p>
    <w:p>
      <w:pPr>
        <w:ind w:right="40" w:firstLine="8"/>
        <w:spacing w:after="0" w:line="243" w:lineRule="auto"/>
        <w:tabs>
          <w:tab w:leader="none" w:pos="30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to such date), (ii) [reserved] and (iii) 1:00 p.m. (New York time) on the date the Borrower requests the Lenders to advance a Borrowing of Loans that are Base Rate Loans. The Loans included in each Borrowing of Loans shall bear interest initially at the type of rate specified in such notice. Thereafter, with respect to Base Rate Loans and Eurodollar Loans that are denominated in Dollars, the Borrower may from time to time elect to change or continue the type of interest rate borne by each Borrowing of Loans or, subject to Section 2.6 hereof, a portion thereof, as follows: (i) if such Borrowing of Loans is of Eurodollar Loans, on the last day of the Interest Period applicable thereto, the Borrower may continue part or all of such Borrowing as Eurodollar Loans or convert part or all of such Borrowing into Base Rate Loans or (ii) if such Borrowing of Loans is of Base Rate Loans, on any Business Day, the Borrower may convert all or part of such Borrowing into Eurodollar Loans for an Interest Period or Interest Periods specified by the Borrower. The Borrower shall give all such notices requesting the advance, continuation or conversion of a Borrowing of Loans to the Administrative Agent by telephone or telecopy (which notice shall be irrevocable (other than in the case of any notice given in respect of the Escrow Release Date, which may be conditioned upon the consummation of the Schrader Acquisition) once given and,</w:t>
      </w:r>
    </w:p>
    <w:p>
      <w:pPr>
        <w:sectPr>
          <w:pgSz w:w="11900" w:h="16838" w:orient="portrait"/>
          <w:cols w:equalWidth="0" w:num="1">
            <w:col w:w="11400"/>
          </w:cols>
          <w:pgMar w:left="240" w:top="625" w:right="259" w:bottom="1440" w:gutter="0" w:footer="0" w:header="0"/>
        </w:sectPr>
      </w:pPr>
    </w:p>
    <w:bookmarkStart w:id="196" w:name="page197"/>
    <w:bookmarkEnd w:id="196"/>
    <w:p>
      <w:pPr>
        <w:ind w:right="20"/>
        <w:spacing w:after="0" w:line="245" w:lineRule="auto"/>
        <w:rPr>
          <w:sz w:val="20"/>
          <w:szCs w:val="20"/>
          <w:color w:val="auto"/>
        </w:rPr>
      </w:pPr>
      <w:r>
        <w:rPr>
          <w:rFonts w:ascii="Times New Roman" w:cs="Times New Roman" w:eastAsia="Times New Roman" w:hAnsi="Times New Roman"/>
          <w:sz w:val="22"/>
          <w:szCs w:val="22"/>
          <w:color w:val="auto"/>
        </w:rPr>
        <w:t xml:space="preserve">if by telephone, shall be promptly confirmed in writing),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(Notice of Borrowing) or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(Notice of Continuation/Conversion), as applicable, or in such other form acceptable to the Administrative Agent. Notice of the continuation of a Borrowing of Loans that are Eurodollar Loans for an additional Interest Period or of the conversion of part or all of a Borrowing of Loans that are Base Rate Loans into Eurodollar Loans must be given by no later than 1:00 p.m. (New York time) at least three (3) Business Days before the date of the requested continuation or conversion of a Borrowing of Loans that are denominated in Dollars. All notices concerning the advance, continuation or conversion of a Borrowing of Loans shall specify the date of the requested advance, continuation or conversion of a Borrowing of Loans (which shall be a Business Day), the amount of the requested Borrowing to be advanced, continued or converted, the type of Loans (Base Rate Loans or Eurodollar Loans) to comprise such new, continued or converted Borrowing and, if such Borrowing is to be comprised of Eurodollar Loans, the Interest Period applicable thereto. If no Interest Period is specified in any such notice with respect to any conversion to or continuation as a Borrowing of Eurodollar Loans, the Borrower shall be deemed to have selected an Interest Period of one (1) month’s duration. The Borrower agrees that the Administrative Agent may rely on any such telephonic or telecopy notice given by any person the Administrative Agent in good faith believes is an Authorized Representative without the necessity of independent investigation (the Borrower hereby indemnifies the Administrative Agent from any liability or loss ensuing from such reliance) and, in the event any such notice by telephone conflicts with any written confirmation, such telephonic notice shall govern if the Administrative Agent has acted in reliance thereon.</w:t>
      </w:r>
    </w:p>
    <w:p>
      <w:pPr>
        <w:spacing w:after="0" w:line="186" w:lineRule="exact"/>
        <w:rPr>
          <w:sz w:val="20"/>
          <w:szCs w:val="20"/>
          <w:color w:val="auto"/>
        </w:rPr>
      </w:pPr>
    </w:p>
    <w:p>
      <w:pPr>
        <w:ind w:right="40" w:firstLine="656"/>
        <w:spacing w:after="0" w:line="258" w:lineRule="auto"/>
        <w:tabs>
          <w:tab w:leader="none" w:pos="10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to the Lenders</w:t>
      </w:r>
      <w:r>
        <w:rPr>
          <w:rFonts w:ascii="Times New Roman" w:cs="Times New Roman" w:eastAsia="Times New Roman" w:hAnsi="Times New Roman"/>
          <w:sz w:val="22"/>
          <w:szCs w:val="22"/>
          <w:color w:val="auto"/>
        </w:rPr>
        <w:t>. The Administrative Agent shall give prompt telephonic or telecopy notice to each Lender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from the Borrower received pursuant to Section 2.5(a) above and, if such notice requests the Lenders to make Eurodollar Loans, the Administrative Agent shall give notice to the Borrower and each Lender of the interest rate applicable thereto promptly after the Administrative Agent has made such determination.</w:t>
      </w:r>
    </w:p>
    <w:p>
      <w:pPr>
        <w:spacing w:after="0" w:line="168" w:lineRule="exact"/>
        <w:rPr>
          <w:rFonts w:ascii="Times New Roman" w:cs="Times New Roman" w:eastAsia="Times New Roman" w:hAnsi="Times New Roman"/>
          <w:sz w:val="22"/>
          <w:szCs w:val="22"/>
          <w:color w:val="auto"/>
        </w:rPr>
      </w:pPr>
    </w:p>
    <w:p>
      <w:pPr>
        <w:ind w:right="120" w:firstLine="656"/>
        <w:spacing w:after="0" w:line="268" w:lineRule="auto"/>
        <w:tabs>
          <w:tab w:leader="none" w:pos="106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Borrower’s Failure to Notify; Automatic Continuations and Conversions</w:t>
      </w:r>
      <w:r>
        <w:rPr>
          <w:rFonts w:ascii="Times New Roman" w:cs="Times New Roman" w:eastAsia="Times New Roman" w:hAnsi="Times New Roman"/>
          <w:sz w:val="21"/>
          <w:szCs w:val="21"/>
          <w:color w:val="auto"/>
        </w:rPr>
        <w:t>. If the Borrower fails to give proper notice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continuation or conversion of any outstanding Borrowing of Loans that are Eurodollar Loans before the last day of its then current Interest Period within the period required by Section 2.5(a) and such Borrowing is not prepaid in accordance with Section</w:t>
      </w:r>
    </w:p>
    <w:p>
      <w:pPr>
        <w:spacing w:after="0" w:line="2" w:lineRule="exact"/>
        <w:rPr>
          <w:rFonts w:ascii="Times New Roman" w:cs="Times New Roman" w:eastAsia="Times New Roman" w:hAnsi="Times New Roman"/>
          <w:sz w:val="21"/>
          <w:szCs w:val="21"/>
          <w:color w:val="auto"/>
        </w:rPr>
      </w:pPr>
    </w:p>
    <w:p>
      <w:pPr>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2.8(a) or (b), such Borrowing shall, at the end of the Interest Period applicable thereto, automatically be converted into a Borrowing of Base Rate Loans (unless such Borrowing is a Borrowing of Term B Loans, in which case such Term B Loans shall be continued as a Eurodollar Loan with an Interest Period of one month). In the event the Borrower fails to give notice pursuant to Section 2.5(a) of a Borrowing of Loans equal to the amount of a Reimbursement Obligation and has not notified the Administrative Agent by 1:00 p.m. (New York time) on the day such Reimbursement Obligation becomes due that it intends to repay such Reimbursement Obligation through funds not borrowed under this Agreement, the Borrower shall be deemed to have requested a Borrowing of Loans that are Base Rate Loans on such day in</w:t>
      </w:r>
    </w:p>
    <w:p>
      <w:pPr>
        <w:sectPr>
          <w:pgSz w:w="11900" w:h="16838" w:orient="portrait"/>
          <w:cols w:equalWidth="0" w:num="1">
            <w:col w:w="11420"/>
          </w:cols>
          <w:pgMar w:left="240" w:top="625" w:right="239" w:bottom="1440" w:gutter="0" w:footer="0" w:header="0"/>
        </w:sectPr>
      </w:pPr>
    </w:p>
    <w:bookmarkStart w:id="197" w:name="page198"/>
    <w:bookmarkEnd w:id="197"/>
    <w:p>
      <w:pPr>
        <w:ind w:right="140"/>
        <w:spacing w:after="0" w:line="271" w:lineRule="auto"/>
        <w:rPr>
          <w:sz w:val="20"/>
          <w:szCs w:val="20"/>
          <w:color w:val="auto"/>
        </w:rPr>
      </w:pPr>
      <w:r>
        <w:rPr>
          <w:rFonts w:ascii="Times New Roman" w:cs="Times New Roman" w:eastAsia="Times New Roman" w:hAnsi="Times New Roman"/>
          <w:sz w:val="22"/>
          <w:szCs w:val="22"/>
          <w:color w:val="auto"/>
        </w:rPr>
        <w:t>the amount of the Reimbursement Obligation then due, which Borrowing, if otherwise available hereunder, shall be applied to pay the Reimbursement Obligation then due.</w:t>
      </w:r>
    </w:p>
    <w:p>
      <w:pPr>
        <w:spacing w:after="0" w:line="154" w:lineRule="exact"/>
        <w:rPr>
          <w:sz w:val="20"/>
          <w:szCs w:val="20"/>
          <w:color w:val="auto"/>
        </w:rPr>
      </w:pPr>
    </w:p>
    <w:p>
      <w:pPr>
        <w:ind w:right="240" w:firstLine="656"/>
        <w:spacing w:after="0" w:line="252" w:lineRule="auto"/>
        <w:tabs>
          <w:tab w:leader="none" w:pos="10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Disbursement of Loans</w:t>
      </w:r>
      <w:r>
        <w:rPr>
          <w:rFonts w:ascii="Times New Roman" w:cs="Times New Roman" w:eastAsia="Times New Roman" w:hAnsi="Times New Roman"/>
          <w:sz w:val="22"/>
          <w:szCs w:val="22"/>
          <w:color w:val="auto"/>
        </w:rPr>
        <w:t>. Not later than 2:00 p.m. on the date of any requested advance of a new Borrowing of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subject to Article 3 hereof, each Lender shall make available its Loan comprising part of such Borrowing in funds immediately available at the principal office of the Administrative Agent in New York, New York. The Administrative Agent shall promptly wire transfer the proceeds of each new Borrowing of Loans to an account designated by the Borrower in the applicable notice of borrowing;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the Borrowing of Loans on the Closing Date such funds will be deposited in the Escrow Account.</w:t>
      </w:r>
    </w:p>
    <w:p>
      <w:pPr>
        <w:spacing w:after="0" w:line="175" w:lineRule="exact"/>
        <w:rPr>
          <w:rFonts w:ascii="Times New Roman" w:cs="Times New Roman" w:eastAsia="Times New Roman" w:hAnsi="Times New Roman"/>
          <w:sz w:val="22"/>
          <w:szCs w:val="22"/>
          <w:color w:val="auto"/>
        </w:rPr>
      </w:pPr>
    </w:p>
    <w:p>
      <w:pPr>
        <w:ind w:firstLine="656"/>
        <w:spacing w:after="0" w:line="258" w:lineRule="auto"/>
        <w:tabs>
          <w:tab w:leader="none" w:pos="106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Administrative Agent Reliance on Lender Funding</w:t>
      </w:r>
      <w:r>
        <w:rPr>
          <w:rFonts w:ascii="Times New Roman" w:cs="Times New Roman" w:eastAsia="Times New Roman" w:hAnsi="Times New Roman"/>
          <w:sz w:val="21"/>
          <w:szCs w:val="21"/>
          <w:color w:val="auto"/>
        </w:rPr>
        <w:t>. Unless the Administrative Agent shall have been notified by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 prior to the date (or, in the case of a Borrowing of Base Rate Loans, by 1:00 p.m. on such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in reliance upon such assumption may (but shall not be required to) make available to the Borrower the proceeds of the Loan to be made by such Lender and, if any Lender has not in fact made such payment to the Administrative Agent,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greater of, for each such day, (x) the Federal Funds Rate and (y) an overnight rate determined by the Administrative Agent in accordance with banking industry rules on interbank compensation,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any standard administrative or processing fees charged by the Administrative Agent in connection with such Lender’s non-payment and (ii) from the date two (2) Business Days after the date such payment is due from such Lender to the date such payment is made by such Lender, the Base Rate in effect for each such day. If such amount is not received from such Lender by the Administrative Agent immediately upon demand, the Borrower will, on demand, repay to the Administrative Agent the proceeds of the Loan attributable to such Lender with interest thereon at a rate per annum equal to the interest rate applicable to the relevant Loan, but without such payment being considered a payment or prepayment of a Loan under Section 8.1 hereof so that the Borrower will have no liability under such Section with respect to such payment.</w:t>
      </w:r>
    </w:p>
    <w:p>
      <w:pPr>
        <w:spacing w:after="0" w:line="173" w:lineRule="exact"/>
        <w:rPr>
          <w:sz w:val="20"/>
          <w:szCs w:val="20"/>
          <w:color w:val="auto"/>
        </w:rPr>
      </w:pPr>
    </w:p>
    <w:p>
      <w:pPr>
        <w:ind w:right="24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i w:val="1"/>
          <w:iCs w:val="1"/>
          <w:color w:val="auto"/>
        </w:rPr>
        <w:t>Minimum Borrowing Amounts; Maximum Eurodollar Loans</w:t>
      </w:r>
      <w:r>
        <w:rPr>
          <w:rFonts w:ascii="Times New Roman" w:cs="Times New Roman" w:eastAsia="Times New Roman" w:hAnsi="Times New Roman"/>
          <w:sz w:val="18"/>
          <w:szCs w:val="18"/>
          <w:color w:val="auto"/>
        </w:rPr>
        <w:t>. Each Borrowing of Base Rate Loans advanced under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applicable Facility shall be in an amount not less than $1.0 million or such greater amount that is an integral multiple of $1.0 million. Each Borrowing of Eurodollar Loans advanced, continued or converted under the applicable Facility shall be in an amount equal to $1.0 million or such greater</w:t>
      </w:r>
    </w:p>
    <w:p>
      <w:pPr>
        <w:sectPr>
          <w:pgSz w:w="11900" w:h="16838" w:orient="portrait"/>
          <w:cols w:equalWidth="0" w:num="1">
            <w:col w:w="11420"/>
          </w:cols>
          <w:pgMar w:left="240" w:top="625" w:right="239" w:bottom="1440" w:gutter="0" w:footer="0" w:header="0"/>
        </w:sectPr>
      </w:pPr>
    </w:p>
    <w:bookmarkStart w:id="198" w:name="page199"/>
    <w:bookmarkEnd w:id="198"/>
    <w:p>
      <w:pPr>
        <w:ind w:right="460"/>
        <w:spacing w:after="0" w:line="282" w:lineRule="auto"/>
        <w:rPr>
          <w:sz w:val="20"/>
          <w:szCs w:val="20"/>
          <w:color w:val="auto"/>
        </w:rPr>
      </w:pPr>
      <w:r>
        <w:rPr>
          <w:rFonts w:ascii="Times New Roman" w:cs="Times New Roman" w:eastAsia="Times New Roman" w:hAnsi="Times New Roman"/>
          <w:sz w:val="18"/>
          <w:szCs w:val="18"/>
          <w:color w:val="auto"/>
        </w:rPr>
        <w:t>amount that is an integral multiple of $1.0 million. Without the Administrative Agent’s consent, there shall not be more than fifteen (15) Borrowings of Eurodollar Loans outstanding at any one time.</w:t>
      </w:r>
    </w:p>
    <w:p>
      <w:pPr>
        <w:spacing w:after="0" w:line="16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i w:val="1"/>
          <w:iCs w:val="1"/>
          <w:color w:val="auto"/>
        </w:rPr>
        <w:t>Maturity of Loans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right="20" w:firstLine="656"/>
        <w:spacing w:after="0" w:line="248" w:lineRule="auto"/>
        <w:tabs>
          <w:tab w:leader="none" w:pos="106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Scheduled Payments of Term A-1 Loans</w:t>
      </w:r>
      <w:r>
        <w:rPr>
          <w:rFonts w:ascii="Times New Roman" w:cs="Times New Roman" w:eastAsia="Times New Roman" w:hAnsi="Times New Roman"/>
          <w:sz w:val="22"/>
          <w:szCs w:val="22"/>
          <w:color w:val="auto"/>
        </w:rPr>
        <w:t>. Subject to Section 2.15, the Borrower shall make principal payments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A-1 Loans in installments on each Fiscal Quarter End Date, commencing with the first full fiscal quarter ending after the Amendment No. 7 Effective Date, in an aggregate amount equal to the following percentages of the aggregate principal amount of the Term A-1 Loans made on the Amendment No. 7 Effective Date: (i) for the first (1st) through the fourth (4th) full fiscal quarters following the Amendment No. 7 Effective Date, 0.625% and (ii) for the fifth (5th) through the nineteenth (19th) full fiscal quarters following the Amendment No. 7 Effective Date, 1.25%, in each case per fiscal quarter (which payments in each case shall be reduced as a result of the application of prepayments in accordance with the order of priority set forth in Section 2.8(a), Section 2.8(c) and Section 2.8(e), as applicable); it being further agreed that a final payment comprised of all principal and interest not sooner paid on the Term A-1 Loans, shall be due and payable on February 27, 2023, the final maturity thereof (the “</w:t>
      </w:r>
      <w:r>
        <w:rPr>
          <w:rFonts w:ascii="Times New Roman" w:cs="Times New Roman" w:eastAsia="Times New Roman" w:hAnsi="Times New Roman"/>
          <w:sz w:val="22"/>
          <w:szCs w:val="22"/>
          <w:i w:val="1"/>
          <w:iCs w:val="1"/>
          <w:color w:val="auto"/>
        </w:rPr>
        <w:t>Term A-1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Termination Date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firstLine="656"/>
        <w:spacing w:after="0" w:line="249" w:lineRule="auto"/>
        <w:tabs>
          <w:tab w:leader="none" w:pos="10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Scheduled Payments of U.S. Term B-4 Loans</w:t>
      </w:r>
      <w:r>
        <w:rPr>
          <w:rFonts w:ascii="Times New Roman" w:cs="Times New Roman" w:eastAsia="Times New Roman" w:hAnsi="Times New Roman"/>
          <w:sz w:val="22"/>
          <w:szCs w:val="22"/>
          <w:color w:val="auto"/>
        </w:rPr>
        <w:t>. Subject to Section 2.15, the Borrower shall make principal payments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U.S. Term B-4 Loans in installments on each Fiscal Quarter End Date, commencing with the first fiscal quarter ended after the Amendment No. 8 Effective Date, in an aggregate amount equal to 0.25% of the aggregate principal amount of the U.S. Term B-4 Loans made on the Amendment No. 8 Effective Date, in each case per fiscal quarter (which payments in each case shall be reduced as a result of the application of prepayments in accordance with the order of priority set forth in Section 2.8(a), Section 2.8(c) and Section 2.8(e), as applicable); it being further agreed that a final payment comprised of all principal and interest not sooner paid on the U.S. Term B-4 Loans, shall be due and payable on April 29, 2023, the final maturity thereof (the “</w:t>
      </w:r>
      <w:r>
        <w:rPr>
          <w:rFonts w:ascii="Times New Roman" w:cs="Times New Roman" w:eastAsia="Times New Roman" w:hAnsi="Times New Roman"/>
          <w:sz w:val="22"/>
          <w:szCs w:val="22"/>
          <w:i w:val="1"/>
          <w:iCs w:val="1"/>
          <w:color w:val="auto"/>
        </w:rPr>
        <w:t>U.S. Term B-4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p>
    <w:p>
      <w:pPr>
        <w:spacing w:after="0" w:line="18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p>
    <w:p>
      <w:pPr>
        <w:spacing w:after="0" w:line="233" w:lineRule="exact"/>
        <w:rPr>
          <w:rFonts w:ascii="Times New Roman" w:cs="Times New Roman" w:eastAsia="Times New Roman" w:hAnsi="Times New Roman"/>
          <w:sz w:val="22"/>
          <w:szCs w:val="22"/>
          <w:color w:val="auto"/>
        </w:rPr>
      </w:pPr>
    </w:p>
    <w:p>
      <w:pPr>
        <w:ind w:right="160" w:firstLine="656"/>
        <w:spacing w:after="0" w:line="288" w:lineRule="auto"/>
        <w:tabs>
          <w:tab w:leader="none" w:pos="10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Each Revolving Loan, both for principal and interest, shall mature and become due and payable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on the Revolving Credit Termination Date.</w:t>
      </w:r>
    </w:p>
    <w:p>
      <w:pPr>
        <w:spacing w:after="0" w:line="13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2.8</w:t>
      </w:r>
      <w:r>
        <w:rPr>
          <w:sz w:val="20"/>
          <w:szCs w:val="20"/>
          <w:color w:val="auto"/>
        </w:rPr>
        <w:tab/>
      </w:r>
      <w:r>
        <w:rPr>
          <w:rFonts w:ascii="Times New Roman" w:cs="Times New Roman" w:eastAsia="Times New Roman" w:hAnsi="Times New Roman"/>
          <w:sz w:val="21"/>
          <w:szCs w:val="21"/>
          <w:i w:val="1"/>
          <w:iCs w:val="1"/>
          <w:color w:val="auto"/>
        </w:rPr>
        <w:t>Prepayments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Voluntary Prepayments of Term Loans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00" w:firstLine="656"/>
        <w:spacing w:after="0" w:line="261" w:lineRule="auto"/>
        <w:tabs>
          <w:tab w:leader="none" w:pos="11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its option, upon notice as herein provided, prepay without premium or penalty (subject to the requirements of Section 2.8(a)(iii) below and except as set forth in Section 8.1 below) at any time all, or from time to time any part of, the Term Loans, in each case, in a minimum aggregate amount of $5.0 million or such greater amount that is an integral multiple of $1.0 million or, if less, the entire principal amount thereof then outstanding. The Borrower will give the Administrative Agent written notice (or telephone notice</w:t>
      </w:r>
    </w:p>
    <w:p>
      <w:pPr>
        <w:sectPr>
          <w:pgSz w:w="11900" w:h="16838" w:orient="portrait"/>
          <w:cols w:equalWidth="0" w:num="1">
            <w:col w:w="11360"/>
          </w:cols>
          <w:pgMar w:left="240" w:top="621" w:right="299" w:bottom="1440" w:gutter="0" w:footer="0" w:header="0"/>
        </w:sectPr>
      </w:pPr>
    </w:p>
    <w:bookmarkStart w:id="199" w:name="page200"/>
    <w:bookmarkEnd w:id="199"/>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promptly confirmed by written notice) of each prepayment under this Section 2.8 prior to 1:00 p.m. (New York time) at least one (1) Business Day in the case of Base Rate Loans and three (3) Business Days in the case of Eurodollar Loans prior to the date fixed for such prepayment (which notice may be revoked at the Borrower’s option). Each such notice shall specify the date of such prepayment (which shall be a Business Day), the principal amount of such Term Loans to be prepaid and the interest to be paid on the prepayment date with respect to such principal amount being repaid. Such notice of prepayment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Any prepayments made pursuant to this Section 2.8(a) shall be applied against the Class of Term Loans and the remaining scheduled installments of principal due in respect of such Term Loans in the manner specified by the Borrower or, if not so specified on or prior to the date of such optional prepayment,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to all Classes of Term Loans in direct order of maturity and may not be reborrowed.</w:t>
      </w:r>
    </w:p>
    <w:p>
      <w:pPr>
        <w:spacing w:after="0" w:line="189" w:lineRule="exact"/>
        <w:rPr>
          <w:sz w:val="20"/>
          <w:szCs w:val="20"/>
          <w:color w:val="auto"/>
        </w:rPr>
      </w:pPr>
    </w:p>
    <w:p>
      <w:pPr>
        <w:ind w:left="1240" w:hanging="584"/>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56"/>
        <w:spacing w:after="0" w:line="253" w:lineRule="auto"/>
        <w:tabs>
          <w:tab w:leader="none" w:pos="10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 or prior to the date that is six (6) months after the Amendment No. 8 Effective Date, the Borrower (x) prepays, repays, refinances, substitutes or replaces any U.S. Term B-4 Loans in connection with a Repricing Transaction (including, for the avoidance of doubt, any prepayment made pursuant to Section 2.8(c)(i) that constitutes a Repricing Transaction), or (y) effects any amendment, waiver or other modification of, or consent under, this Agreement resulting in a Repricing Transaction, the Borrower shall pay to the Administrative Agent, for the ratable account of each of the applicable U.S. Term B-4 Lenders, (A) in the case of clause (x), a premium of 1.00% of the aggregate principal amount of the U.S. Term B-4 Loans so prepaid, repaid, refinanced, substituted or replaced and (B) in the case of clause (y), a fee equal to 1.00% of the aggregate principal amount of the U.S. Term B-4 Loans outstanding immediately prior to such amendment, waiver, modification or consent that are the subject of such Repricing Transaction. If, on or prior to the date that is six (6) months after the Amendment No. 8 Effective Date, all or any portion of the U.S. Term B-4 Loans held by any U.S. Term B-4 Lender are prepaid, repaid, refinanced, substituted or replaced pursuant to Section 8.5 as a result of, or in connection with, such U.S. Term B-4 Lender being a Non-Consenting Lender with respect to any amendment, waiver, modification or consent referred to in clause (y) above (or otherwise in connection with a Repricing Transaction), such prepayment, repayment, refinancing, substitution or replacement will be made at 101% of the principal amount so prepaid, repaid, refinanced, substituted or replaced. All such amounts shall be due and payable on the date of effectiveness of such Repricing Transaction.</w:t>
      </w:r>
    </w:p>
    <w:p>
      <w:pPr>
        <w:spacing w:after="0" w:line="190"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6" w:lineRule="exact"/>
        <w:rPr>
          <w:sz w:val="20"/>
          <w:szCs w:val="20"/>
          <w:color w:val="auto"/>
        </w:rPr>
      </w:pPr>
    </w:p>
    <w:p>
      <w:pPr>
        <w:ind w:right="40" w:firstLine="656"/>
        <w:spacing w:after="0" w:line="249" w:lineRule="auto"/>
        <w:tabs>
          <w:tab w:leader="none" w:pos="10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Voluntary Prepayments of Revolving Loans</w:t>
      </w:r>
      <w:r>
        <w:rPr>
          <w:rFonts w:ascii="Times New Roman" w:cs="Times New Roman" w:eastAsia="Times New Roman" w:hAnsi="Times New Roman"/>
          <w:sz w:val="22"/>
          <w:szCs w:val="22"/>
          <w:color w:val="auto"/>
        </w:rPr>
        <w:t>. The Borrower may prepay without premium or penalty (except as set forth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Section 8.1 below) and in whole or in part any Borrowing of (i) Revolving Loans that are Eurodollar Loans at any time upon at least three (3) Business Days’ prior notice by the Borrower to the Administrative Agent or (ii) Revolving Loans that are Base Rate Loans at any time upon at least one (1) Business Day’s prior notice by the Borrower to the Administrative Agent (in the case of each of clauses (i) and (ii), such notice must be in writing (or telephone notice promptly confirmed by written notice) and received by the Administrative Agent prior to 2:00 p.m. (New York time) on such date), in each case, such prepayment to be made by the payment of the principal amount to be prepaid and, in the case of any Eurodollar Loans, accrued interest thereon to the date fixed for prepayment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amounts due the Lenders under Section 8.1;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Borrower may not partially repay a Borrowing (i) if such Borrowing is of Base Rate Loans, in a principal amount</w:t>
      </w:r>
    </w:p>
    <w:p>
      <w:pPr>
        <w:sectPr>
          <w:pgSz w:w="11900" w:h="16838" w:orient="portrait"/>
          <w:cols w:equalWidth="0" w:num="1">
            <w:col w:w="11420"/>
          </w:cols>
          <w:pgMar w:left="240" w:top="621" w:right="239" w:bottom="1440" w:gutter="0" w:footer="0" w:header="0"/>
        </w:sectPr>
      </w:pPr>
    </w:p>
    <w:bookmarkStart w:id="200" w:name="page201"/>
    <w:bookmarkEnd w:id="200"/>
    <w:p>
      <w:pPr>
        <w:ind w:right="140"/>
        <w:spacing w:after="0" w:line="250" w:lineRule="auto"/>
        <w:rPr>
          <w:sz w:val="20"/>
          <w:szCs w:val="20"/>
          <w:color w:val="auto"/>
        </w:rPr>
      </w:pPr>
      <w:r>
        <w:rPr>
          <w:rFonts w:ascii="Times New Roman" w:cs="Times New Roman" w:eastAsia="Times New Roman" w:hAnsi="Times New Roman"/>
          <w:sz w:val="22"/>
          <w:szCs w:val="22"/>
          <w:color w:val="auto"/>
        </w:rPr>
        <w:t>less than $0.5 million, and (ii) if such Borrowing is of Eurodollar Loans, in a principal amount less than $1.0 million, except, in each case, in such lesser amount of the entire principal amount thereof then outstanding. Any such notice of prepayment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w:t>
      </w:r>
    </w:p>
    <w:p>
      <w:pPr>
        <w:spacing w:after="0" w:line="177"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 Prepayments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56"/>
        <w:spacing w:after="0" w:line="253" w:lineRule="auto"/>
        <w:tabs>
          <w:tab w:leader="none" w:pos="117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Escrow Release Date, if the Borrower or any Restricted Subsidiary shall at any time or from time to time incur any Indebtedness (other than with respect to any Indebtedness permitted to be incurred pursuant to Section 6.14 (other than Refinancing Indebtedness, Refinancing Notes, Refinancing Term Loans and Replacement Revolving Credit Commitments to the extent the proceeds are used to refinance Term Loans)), then promptly and in any event within five (5) Business Days of receipt by the Borrower or the Restricted Subsidiary of the Net Cash Proceeds from the incurrence of such Indebtedness, the Borrower shall prepay the Term Loans in an aggregate amount equal to 100.00% of the amount of all such Net Cash Proceeds, net of underwriting discounts and commissions and other reasonable costs and expenses associated therewith, including reasonable legal fees and expenses. The amount of each such prepayment shall be applied to the outstanding Term Loans of each Class,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until paid in full;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prepayment under this clause (i) made using the Net Cash Proceeds of any Refinancing Indebtedness, each such prepayment shall be applied (A) first, to the Class or Classes of Term Loans, as directed by the Borrower, with the earliest maturity date (ratably among Classes, if multiple Classes exist with the same maturity date), until all such Term Loans of such Class or Classes have been repaid or terminated in full and (B) thereafter, to the successive Class or Classes of Term Loans with the next earliest maturity date (ratably among Classes, if multiple Classes exist with the same maturity date), and so on, until 100% of Net Cash Proceeds of such Refinancing Indebtedness has been applied to the Term Loans as required under this clause (i).</w:t>
      </w:r>
    </w:p>
    <w:p>
      <w:pPr>
        <w:spacing w:after="0" w:line="190" w:lineRule="exact"/>
        <w:rPr>
          <w:rFonts w:ascii="Times New Roman" w:cs="Times New Roman" w:eastAsia="Times New Roman" w:hAnsi="Times New Roman"/>
          <w:sz w:val="18"/>
          <w:szCs w:val="18"/>
          <w:color w:val="auto"/>
        </w:rPr>
      </w:pPr>
    </w:p>
    <w:p>
      <w:pPr>
        <w:ind w:right="200" w:firstLine="656"/>
        <w:spacing w:after="0" w:line="257" w:lineRule="auto"/>
        <w:tabs>
          <w:tab w:leader="none" w:pos="122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Escrow Release Date, if the Borrower or any Restricted Subsidiary shall at any time or from time to time make a Disposition or shall suffer an Event of Loss resulting in Net Cash Proceeds in excess of $15.0 million in a single transaction or in a series of related transactions or $25.0 million in the aggregate for all such Dispositions or Events of Loss during such fiscal year, then promptly and in any event within five</w:t>
      </w:r>
    </w:p>
    <w:p>
      <w:pPr>
        <w:spacing w:after="0" w:line="1"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receipt by the Borrower or the Restricted Subsidiary of the Net Cash Proceeds of such Disposition or such Event of Loss, the Borrower shall prepay the Term B Loans and, solely during a Secured Covenants Period, the Term A-1 Loans, in an aggregate amount equal to 100.00% of the amount of all such Net Cash Proceeds in excess of the amount specified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each Disposition and Event of Loss, if the Borrower or the applicable Restricted Subsidiary intends to invest or reinvest, as applicable, within twelve (12) months of the applicable Disposition or receipt of Net Cash Proceeds from an Event of Loss, the Net Cash Proceeds thereof in assets used or useful in the operations of the Borrower or its Subsidiaries, then the Borrower shall not be required to make a mandatory prepayment under this Section in respect of such Net Cash Proceeds to the extent such Net Cash Proceeds are actually invested or reinvested within such twelve-month period, or the Borrower or a Restricted Subsidiary has committed to so invest or reinvest such Net Cash Proceeds during such twelve-month period and such Net Cash Proceeds are so reinvested within 180 days after the expiration of such twelve-month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any Net Cash Proceeds have not been so invested or reinvested prior to the expiration of the applicable period, the Borrower shall promptly prepay the Term Loans in the amount of such Net Cash Proceeds in excess of the amount specified above not so invested or reinvested;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at the time that any such prepayment would be required hereunder, the Borrower is required to prepay or offer to repurchase any other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(or any Refinancing Indebtedness in respect thereof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pursuant to the terms of the documentation governing</w:t>
      </w:r>
    </w:p>
    <w:p>
      <w:pPr>
        <w:sectPr>
          <w:pgSz w:w="11900" w:h="16838" w:orient="portrait"/>
          <w:cols w:equalWidth="0" w:num="1">
            <w:col w:w="11420"/>
          </w:cols>
          <w:pgMar w:left="240" w:top="625" w:right="239" w:bottom="1440" w:gutter="0" w:footer="0" w:header="0"/>
        </w:sectPr>
      </w:pPr>
    </w:p>
    <w:bookmarkStart w:id="201" w:name="page202"/>
    <w:bookmarkEnd w:id="201"/>
    <w:p>
      <w:pPr>
        <w:ind w:right="20"/>
        <w:spacing w:after="0" w:line="253" w:lineRule="auto"/>
        <w:rPr>
          <w:sz w:val="20"/>
          <w:szCs w:val="20"/>
          <w:color w:val="auto"/>
        </w:rPr>
      </w:pPr>
      <w:r>
        <w:rPr>
          <w:rFonts w:ascii="Times New Roman" w:cs="Times New Roman" w:eastAsia="Times New Roman" w:hAnsi="Times New Roman"/>
          <w:sz w:val="18"/>
          <w:szCs w:val="18"/>
          <w:color w:val="auto"/>
        </w:rPr>
        <w:t>such Indebtedness with such Net Cash Proceeds (such Indebtedness (or Refinancing Indebtedness in respect thereof) required to be prepaid or offered to be so repurchased, the “</w:t>
      </w:r>
      <w:r>
        <w:rPr>
          <w:rFonts w:ascii="Times New Roman" w:cs="Times New Roman" w:eastAsia="Times New Roman" w:hAnsi="Times New Roman"/>
          <w:sz w:val="18"/>
          <w:szCs w:val="18"/>
          <w:i w:val="1"/>
          <w:iCs w:val="1"/>
          <w:color w:val="auto"/>
        </w:rPr>
        <w:t>Other Applicable Indebtedness</w:t>
      </w:r>
      <w:r>
        <w:rPr>
          <w:rFonts w:ascii="Times New Roman" w:cs="Times New Roman" w:eastAsia="Times New Roman" w:hAnsi="Times New Roman"/>
          <w:sz w:val="18"/>
          <w:szCs w:val="18"/>
          <w:color w:val="auto"/>
        </w:rPr>
        <w:t xml:space="preserve">”), then the Borrower may apply such Net Cash Proceeds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prepayment of the Term Loans and to the repurchase or prepayment of the Other Applicable Indebtedness (determined on the basis of the aggregate outstanding principal amount of the Term Loans and Other Applicable Indebtedness (or accreted amount if such Other Applicable Indebtedness is issued with original issue discount)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portion of such Net Cash Proceeds allocated to the Other Applicable Indebtedness shall not exceed the amount of such Net Cash Proceeds required to be allocated to the Other Applicable Indebtedness pursuant to the terms thereof, and the remaining amount, if any, of such Net Cash Proceeds shall be allocated to the Term Loans in accordance with the terms hereof), and the amount of the prepayment of the Term Loans that would have otherwise been required pursuant to this Section 2.8(c)(ii) shall be reduced accordingly;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to the extent the holders of the Other Applicable Indebtedness decline to have such Indebtedness prepaid or repurchased, the declined amount shall promptly be applied to prepay the Term Loans in accordance with the terms hereof. The amount of each such prepayment shall be applied to the outstanding Term Loans of each Class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until paid in full.</w:t>
      </w:r>
    </w:p>
    <w:p>
      <w:pPr>
        <w:spacing w:after="0" w:line="193" w:lineRule="exact"/>
        <w:rPr>
          <w:sz w:val="20"/>
          <w:szCs w:val="20"/>
          <w:color w:val="auto"/>
        </w:rPr>
      </w:pPr>
    </w:p>
    <w:p>
      <w:pPr>
        <w:ind w:firstLine="656"/>
        <w:spacing w:after="0" w:line="252" w:lineRule="auto"/>
        <w:tabs>
          <w:tab w:leader="none" w:pos="10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fifth Business Day after the date on which financial statements with respect to each fiscal year of the Borrower are required to be delivered pursuant to Section 6.1(b) (beginning with the first full fiscal year ended after the Escrow Release Date), the Borrower shall prepay the then outstanding Term B Loans by an amount equal to (A) 50% of Excess Cash Flow of the Borrower and its Restricted Subsidiaries for the most recently completed fiscal year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percentage shall be reduced to 25% when the Senior Secured Leverage Ratio calculated on a Pro Forma Basis as of the last day of the relevant fiscal year is equal to or less than 1.50:1.00, and 0% when the Senior Secured Leverage Ratio calculated on a Pro Forma Basis as of the last day of the relevant fiscal year is equal to or less than 1.00:1.00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principal amount of (1) any Term Loans, and, to the extent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Term Loans in right of payment and with respect to security, Senior Secured Notes, Incremental Term Loans, Incremental Equivalent Debt, Refinancing Term Loans, Refinancing Notes and Refinancing Indebtedness in the form of term loans and (2) any Revolving Loans, Incremental Revolving Loans and Refinancing Indebtedness in the form of revolving loans (in each case, to the extent accompanied by a permanent reduction of the relevant revolving commitment) voluntarily prepaid pursuant to paragraphs (a) and (b) of this Section 2.8 or purchased by the Borrower or any of its Subsidiaries in cash pursuant to Section 10.10(h) (with the amount of the deduction pursuant to this subclause (B) for Loans purchased pursuant to Section 10.10(h) being limited to the amount of cash paid by the Borrower or any of its Subsidiaries in connection therewith) or voluntarily prepaid or purchased pursuant to the applicable provisions of the documentation governing such Refinancing Indebtedness, Incremental Equivalent Debt, Senior Secured Notes, Refinancing Term Loans or Refinancing Notes, in each case, during such fiscal year on or, at the option of the Borrower, prior to the date of the required prepayment under this Section 2.8(c)(iii) in respect of such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no such voluntary prepayments or purchases shall reduce the payments required to be made under this Section 2.8(c)(iii) for more than one fiscal year, (y) no such voluntary prepayments or purchases shall reduce the payments required to be made under this Section 2.8(c)(iii) to the extent financed with long-term Indebtedness (other than revolving Indebtedness) and (z) no mandatory prepayment shall be required under this Section 2.8(c)(iii) to the extent the amount calculated hereby does not exceed $20.0 million. The amount of each such prepayment shall be applied to the outstanding Term B Loans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until paid in full. Any payment under this clause (iii) shall be an “</w:t>
      </w:r>
      <w:r>
        <w:rPr>
          <w:rFonts w:ascii="Times New Roman" w:cs="Times New Roman" w:eastAsia="Times New Roman" w:hAnsi="Times New Roman"/>
          <w:sz w:val="18"/>
          <w:szCs w:val="18"/>
          <w:i w:val="1"/>
          <w:iCs w:val="1"/>
          <w:color w:val="auto"/>
        </w:rPr>
        <w:t>ECF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100" w:hanging="444"/>
        <w:spacing w:after="0"/>
        <w:tabs>
          <w:tab w:leader="none" w:pos="11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656"/>
        <w:spacing w:after="0" w:line="258" w:lineRule="auto"/>
        <w:tabs>
          <w:tab w:leader="none" w:pos="12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on each date the Revolving Credit Commitments are reduced pursuant to Section 2.10, prepay the Revolving Loans and, if necessary after such Revolving Loans have been repaid in full, replace or cause to be cancelled (or provide an L/C Backstop or make other arrangements reasonably satisfactory to the L/C Issuers) outstanding Letters of Credit by the amount, if any, necessary to reduce the sum of the aggregate principal amount of Revolving Loans and L/C Obligations then outstanding to the amount to which the Revolving Credit Commitments have been so reduced. Each prefunding of L/C Obligations that the Borrower chooses to make</w:t>
      </w:r>
    </w:p>
    <w:p>
      <w:pPr>
        <w:sectPr>
          <w:pgSz w:w="11900" w:h="16838" w:orient="portrait"/>
          <w:cols w:equalWidth="0" w:num="1">
            <w:col w:w="11420"/>
          </w:cols>
          <w:pgMar w:left="240" w:top="621" w:right="239" w:bottom="1440" w:gutter="0" w:footer="0" w:header="0"/>
        </w:sectPr>
      </w:pPr>
    </w:p>
    <w:bookmarkStart w:id="202" w:name="page203"/>
    <w:bookmarkEnd w:id="202"/>
    <w:p>
      <w:pPr>
        <w:ind w:right="120"/>
        <w:spacing w:after="0" w:line="282" w:lineRule="auto"/>
        <w:rPr>
          <w:sz w:val="20"/>
          <w:szCs w:val="20"/>
          <w:color w:val="auto"/>
        </w:rPr>
      </w:pPr>
      <w:r>
        <w:rPr>
          <w:rFonts w:ascii="Times New Roman" w:cs="Times New Roman" w:eastAsia="Times New Roman" w:hAnsi="Times New Roman"/>
          <w:sz w:val="18"/>
          <w:szCs w:val="18"/>
          <w:color w:val="auto"/>
        </w:rPr>
        <w:t>to the Administrative Agent as a result of the application of this clause (v) by the deposit of cash or Cash Equivalents with the Administrative Agent shall be made in accordance with Section 7.4.</w:t>
      </w:r>
    </w:p>
    <w:p>
      <w:pPr>
        <w:spacing w:after="0" w:line="162" w:lineRule="exact"/>
        <w:rPr>
          <w:sz w:val="20"/>
          <w:szCs w:val="20"/>
          <w:color w:val="auto"/>
        </w:rPr>
      </w:pPr>
    </w:p>
    <w:p>
      <w:pPr>
        <w:ind w:firstLine="656"/>
        <w:spacing w:after="0" w:line="254" w:lineRule="auto"/>
        <w:tabs>
          <w:tab w:leader="none" w:pos="108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Notwithstanding any provision under this Section 2.8(c) to the contrary, (A) any amounts that would otherwise be required to be paid by the Borrower pursuant to Section 2.8(c)(ii) above shall not be required to be so prepaid to the extent any such Disposition is consummated by a Foreign Subsidiary, such Net Cash Proceeds in respect of any Event of Loss are received by a Foreign Subsidiary or such Indebtedness is incurred by a Foreign Subsidiary, for so long as the repatriation to the United States of any such amounts would be prohibited under any Applicable Laws (including any such laws with respect to financial assistance, corporate benefit, thin capitalization, capital maintenance, liquidity maintenance and similar legal principles, restrictions on upstreaming of cash intra group and the fiduciary and statutory duties of the directors of the relevant Subsidiaries) and (B) if the Borrower determines in good faith that the repatriating of any amounts required to mandatorily prepay the Loans pursuant to Section 2.8(c)(ii) above would result in a tax liability that is material to the amount of funds otherwise required to be repatriated (including any withholding tax) (such amount in clauses (A) and (B), a “</w:t>
      </w:r>
      <w:r>
        <w:rPr>
          <w:rFonts w:ascii="Times New Roman" w:cs="Times New Roman" w:eastAsia="Times New Roman" w:hAnsi="Times New Roman"/>
          <w:sz w:val="18"/>
          <w:szCs w:val="18"/>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 Sale Amount</w:t>
      </w:r>
      <w:r>
        <w:rPr>
          <w:rFonts w:ascii="Times New Roman" w:cs="Times New Roman" w:eastAsia="Times New Roman" w:hAnsi="Times New Roman"/>
          <w:sz w:val="18"/>
          <w:szCs w:val="18"/>
          <w:color w:val="auto"/>
        </w:rPr>
        <w:t>”), the amount the Borrower shall be required to mandatorily prepay pursuant to Section 2.8(c)(ii) shall be reduced by the Restricted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Amount until such time as it may repatriate such Restricted Asset Sale Amount without incurring such tax liability.</w:t>
      </w:r>
    </w:p>
    <w:p>
      <w:pPr>
        <w:spacing w:after="0" w:line="186" w:lineRule="exact"/>
        <w:rPr>
          <w:rFonts w:ascii="Times New Roman" w:cs="Times New Roman" w:eastAsia="Times New Roman" w:hAnsi="Times New Roman"/>
          <w:sz w:val="18"/>
          <w:szCs w:val="18"/>
          <w:color w:val="auto"/>
        </w:rPr>
      </w:pPr>
    </w:p>
    <w:p>
      <w:pPr>
        <w:ind w:right="60" w:firstLine="1305"/>
        <w:spacing w:after="0" w:line="254" w:lineRule="auto"/>
        <w:tabs>
          <w:tab w:leader="none" w:pos="158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under this Section 2.8(c) to the contrary, for purposes of calculating the amount of the ECF Payment in Section 2.8(c)(iii), “Excess Cash Flow” will be deemed to be reduced by the amount of Excess Cash Flow generated by a Foreign Subsidiary (A) that would be prohibited under any Applicable Laws (including any such laws with respect to financial assistance, corporate benefit, thin capitalization, capital maintenance, liquidity maintenance and similar legal principles, restrictions on upstreaming of cash intra group and the fiduciary and statutory duties of directors of the relevant Subsidiaries) from being repatriated to the United States or (B) that the Borrower determines in good faith would result in a tax liability that is material to the amount of funds otherwise required to be repatriated (including any withholding tax) if repatriated to the United States (the amount of such Foreign Subsidiary Excess Cash Flow in clauses (A) and (B) without duplication, the “</w:t>
      </w:r>
      <w:r>
        <w:rPr>
          <w:rFonts w:ascii="Times New Roman" w:cs="Times New Roman" w:eastAsia="Times New Roman" w:hAnsi="Times New Roman"/>
          <w:sz w:val="18"/>
          <w:szCs w:val="18"/>
          <w:i w:val="1"/>
          <w:iCs w:val="1"/>
          <w:color w:val="auto"/>
        </w:rPr>
        <w:t>Restricted ECF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in clause (A) shall only constitute a Restricted ECF Amount for so long as such repatriation to the United States is prohibited under Applicable Laws, and in clause (B) shall only constitute Restricted ECF Amount for so long as such repatriation would result in such tax liability.</w:t>
      </w:r>
    </w:p>
    <w:p>
      <w:pPr>
        <w:spacing w:after="0" w:line="189" w:lineRule="exact"/>
        <w:rPr>
          <w:rFonts w:ascii="Times New Roman" w:cs="Times New Roman" w:eastAsia="Times New Roman" w:hAnsi="Times New Roman"/>
          <w:sz w:val="18"/>
          <w:szCs w:val="18"/>
          <w:color w:val="auto"/>
        </w:rPr>
      </w:pPr>
    </w:p>
    <w:p>
      <w:pPr>
        <w:ind w:firstLine="656"/>
        <w:spacing w:after="0" w:line="258" w:lineRule="auto"/>
        <w:tabs>
          <w:tab w:leader="none" w:pos="113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each Term B Lender shall have the right to reject its applicable Term Loan Percentage of any mandatory prepayment of the Term Loans pursuant to Section 2.8(c)(i) (other than Refinancing Indebtedness in respect of the Term Loans), (ii) and (iii) above (each such Lender, a “</w:t>
      </w:r>
      <w:r>
        <w:rPr>
          <w:rFonts w:ascii="Times New Roman" w:cs="Times New Roman" w:eastAsia="Times New Roman" w:hAnsi="Times New Roman"/>
          <w:sz w:val="18"/>
          <w:szCs w:val="18"/>
          <w:i w:val="1"/>
          <w:iCs w:val="1"/>
          <w:color w:val="auto"/>
        </w:rPr>
        <w:t>Rejecting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amount rejected by a Rejecting Lender shall be offered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Term A-1 Lenders, which they may elect to decline such prepayment, and thereafter any amounts so rejected may be retained by the Borrower (the aggregate amount of such proceeds so rejected as of any date of determination, the “</w:t>
      </w:r>
      <w:r>
        <w:rPr>
          <w:rFonts w:ascii="Times New Roman" w:cs="Times New Roman" w:eastAsia="Times New Roman" w:hAnsi="Times New Roman"/>
          <w:sz w:val="18"/>
          <w:szCs w:val="18"/>
          <w:i w:val="1"/>
          <w:iCs w:val="1"/>
          <w:color w:val="auto"/>
        </w:rPr>
        <w:t>Declined Proceeds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656"/>
        <w:spacing w:after="0" w:line="255" w:lineRule="auto"/>
        <w:tabs>
          <w:tab w:leader="none" w:pos="11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Borrower otherwise directs, prepayments of Revolving Loans under this Section 2.8(c) shall be applied first to Borrowings of Base Rate Loans until payment in full thereof with any balance applied to Borrowings of Eurodollar Loans in the order in which their Interest Periods expire. Each prepayment of Loans under this Section 2.8(c) shall be made by the payment of the principal amount to be prepaid and, in the case of any Term Loans or Eurodollar Loans, accrued interest thereon to the date of prepayment together with any amounts due the Lenders under Section 8.1. Except as otherwise provided in Section 2.8(c)(i), Section 2.8(c)(ii) or Section 2.8(c)(iv), mandatory prepayments of the Term Loans shall be applied to each Class of Term Loans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(other than with respect to prepayments made under Section 2.8(c)(iii)) and applied to the installments thereof as directed by the Borrower, or if not so specified before the date of required payment, in the direct order of maturity other than with respect to that portion of any installment held by a Rejecting Lender.</w:t>
      </w:r>
    </w:p>
    <w:p>
      <w:pPr>
        <w:sectPr>
          <w:pgSz w:w="11900" w:h="16838" w:orient="portrait"/>
          <w:cols w:equalWidth="0" w:num="1">
            <w:col w:w="11420"/>
          </w:cols>
          <w:pgMar w:left="240" w:top="621" w:right="239" w:bottom="1440" w:gutter="0" w:footer="0" w:header="0"/>
        </w:sectPr>
      </w:pPr>
    </w:p>
    <w:bookmarkStart w:id="203" w:name="page204"/>
    <w:bookmarkEnd w:id="203"/>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(ix)</w:t>
        <w:tab/>
        <w:t>[Reserved].</w:t>
      </w:r>
    </w:p>
    <w:p>
      <w:pPr>
        <w:spacing w:after="0" w:line="226" w:lineRule="exact"/>
        <w:rPr>
          <w:sz w:val="20"/>
          <w:szCs w:val="20"/>
          <w:color w:val="auto"/>
        </w:rPr>
      </w:pPr>
    </w:p>
    <w:p>
      <w:pPr>
        <w:ind w:firstLine="656"/>
        <w:spacing w:after="0" w:line="247" w:lineRule="auto"/>
        <w:tabs>
          <w:tab w:leader="none" w:pos="10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Defaulting Lenders</w:t>
      </w:r>
      <w:r>
        <w:rPr>
          <w:rFonts w:ascii="Times New Roman" w:cs="Times New Roman" w:eastAsia="Times New Roman" w:hAnsi="Times New Roman"/>
          <w:sz w:val="22"/>
          <w:szCs w:val="22"/>
          <w:color w:val="auto"/>
        </w:rPr>
        <w:t>. Until such time as the Default Excess (as defined below) with respect to any Defaulting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been reduced to zero, (i) any voluntary prepayment of the Revolving Loans pursuant to Section 2.8(b) shall, if the Borrower so directs at the time of making such voluntary prepayment, be applied to the Revolving Loans of other Lenders as if such Defaulting Lender had no loans outstanding and the Revolving Credit Commitments of such Defaulting Lender were zero and (ii) any mandatory prepayment of the Loans pursuant to Section 2.8(c) shall, if the Borrower so directs at the time of making such mandatory prepayment, be applied to the Loans of other Lenders (but not to the Loans of such Defaulting Lender) as if such Defaulting Lender has funded all defaulted Loans of such Defaulting Lender, it being understood and agreed that the Borrower shall be entitled to retain any portion of any mandatory prepayment of the Loans that is not paid to such Defaulting Lender solely as a result of the operation of the provisions of this clause (d). “</w:t>
      </w:r>
      <w:r>
        <w:rPr>
          <w:rFonts w:ascii="Times New Roman" w:cs="Times New Roman" w:eastAsia="Times New Roman" w:hAnsi="Times New Roman"/>
          <w:sz w:val="22"/>
          <w:szCs w:val="22"/>
          <w:i w:val="1"/>
          <w:iCs w:val="1"/>
          <w:color w:val="auto"/>
        </w:rPr>
        <w:t>Default Excess</w:t>
      </w:r>
      <w:r>
        <w:rPr>
          <w:rFonts w:ascii="Times New Roman" w:cs="Times New Roman" w:eastAsia="Times New Roman" w:hAnsi="Times New Roman"/>
          <w:sz w:val="22"/>
          <w:szCs w:val="22"/>
          <w:color w:val="auto"/>
        </w:rPr>
        <w:t>” means, with respect to any Defaulting Lender, the excess, if any, of such Defaulting Lender’s Percentage of the aggregate outstanding principal amount of the applicable Loans of all the applicable Lenders (calculated as if all Defaulting Lenders (including such Defaulting Lender) had funded all of their respective defaulted Loans) over the aggregate outstanding principal amount of the applicable Loans of such Defaulting Lender.</w:t>
      </w:r>
    </w:p>
    <w:p>
      <w:pPr>
        <w:spacing w:after="0" w:line="188" w:lineRule="exact"/>
        <w:rPr>
          <w:rFonts w:ascii="Times New Roman" w:cs="Times New Roman" w:eastAsia="Times New Roman" w:hAnsi="Times New Roman"/>
          <w:sz w:val="22"/>
          <w:szCs w:val="22"/>
          <w:color w:val="auto"/>
        </w:rPr>
      </w:pPr>
    </w:p>
    <w:p>
      <w:pPr>
        <w:ind w:right="100" w:firstLine="656"/>
        <w:spacing w:after="0" w:line="253" w:lineRule="auto"/>
        <w:tabs>
          <w:tab w:leader="none" w:pos="106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will promptly advise each Lender of any notice of prepayment it receives from the Borrower, and in the case of any partial prepayment under Section 2.8(a) hereof, such prepayment shall be applied to the Class of Term Loans and the remaining amortization payments on such Term Loans in the manner specified by the Borrower or, if not so specified on or prior to the date of such optional prepayment,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all Classes of Term Loans in the direct order of maturity.</w:t>
      </w:r>
    </w:p>
    <w:p>
      <w:pPr>
        <w:spacing w:after="0" w:line="175" w:lineRule="exact"/>
        <w:rPr>
          <w:sz w:val="20"/>
          <w:szCs w:val="20"/>
          <w:color w:val="auto"/>
        </w:rPr>
      </w:pPr>
    </w:p>
    <w:p>
      <w:pPr>
        <w:ind w:right="20"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i w:val="1"/>
          <w:iCs w:val="1"/>
          <w:color w:val="auto"/>
        </w:rPr>
        <w:t>Place and Application of Payments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All payments of principal of and interest on the Loans and the Reimbursement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Obligations, and of all other Obligations payable by the Borrower under this Agreement and the other Loan Documents, shall be made by the Borrower to the Administrative Agent by no later than 2:00 p.m. on the due date thereof at the office of the Administrative Agent in New York, New York (or such other location as the Administrative Agent may designate to the Borrower in writing) for the benefit of the Lender or Lenders entitled thereto. Any payments received after such time shall be deemed to have been received by the Administrative Agent on the next Business Day. All such payments shall be made in Dollars, in immediately available funds at the place of payment, in each case without set-off or counterclaim, except as provided in Section 10.7.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w:t>
      </w:r>
    </w:p>
    <w:p>
      <w:pPr>
        <w:spacing w:after="0" w:line="173" w:lineRule="exact"/>
        <w:rPr>
          <w:sz w:val="20"/>
          <w:szCs w:val="20"/>
          <w:color w:val="auto"/>
        </w:rPr>
      </w:pPr>
    </w:p>
    <w:p>
      <w:pPr>
        <w:ind w:right="160" w:firstLine="1297"/>
        <w:spacing w:after="0" w:line="275" w:lineRule="auto"/>
        <w:rPr>
          <w:sz w:val="20"/>
          <w:szCs w:val="20"/>
          <w:color w:val="auto"/>
        </w:rPr>
      </w:pPr>
      <w:r>
        <w:rPr>
          <w:rFonts w:ascii="Times New Roman" w:cs="Times New Roman" w:eastAsia="Times New Roman" w:hAnsi="Times New Roman"/>
          <w:sz w:val="21"/>
          <w:szCs w:val="21"/>
          <w:color w:val="auto"/>
        </w:rPr>
        <w:t>Anything contained herein to the contrary notwithstanding, (x) pursuant to the exercise of remedies under Sections 7.2 and 7.3 hereof or (y) after written instruction by the Required Lenders or Required RC/TLA Lenders, as applicable, after the occurrence and during the continuation of an Event of Default, all payments and collections received in respect of the</w:t>
      </w:r>
    </w:p>
    <w:p>
      <w:pPr>
        <w:sectPr>
          <w:pgSz w:w="11900" w:h="16838" w:orient="portrait"/>
          <w:cols w:equalWidth="0" w:num="1">
            <w:col w:w="11400"/>
          </w:cols>
          <w:pgMar w:left="240" w:top="621" w:right="259" w:bottom="1440" w:gutter="0" w:footer="0" w:header="0"/>
        </w:sectPr>
      </w:pPr>
    </w:p>
    <w:bookmarkStart w:id="204" w:name="page205"/>
    <w:bookmarkEnd w:id="204"/>
    <w:p>
      <w:pPr>
        <w:ind w:right="180"/>
        <w:spacing w:after="0" w:line="271" w:lineRule="auto"/>
        <w:rPr>
          <w:sz w:val="20"/>
          <w:szCs w:val="20"/>
          <w:color w:val="auto"/>
        </w:rPr>
      </w:pPr>
      <w:r>
        <w:rPr>
          <w:rFonts w:ascii="Times New Roman" w:cs="Times New Roman" w:eastAsia="Times New Roman" w:hAnsi="Times New Roman"/>
          <w:sz w:val="22"/>
          <w:szCs w:val="22"/>
          <w:color w:val="auto"/>
        </w:rPr>
        <w:t>Obligations and all proceeds of the Collateral received, in each instance, by the Administrative Agent or any of the Lenders, shall be remitted to the Administrative Agent and distributed as follows:</w:t>
      </w:r>
    </w:p>
    <w:p>
      <w:pPr>
        <w:spacing w:after="0" w:line="154" w:lineRule="exact"/>
        <w:rPr>
          <w:sz w:val="20"/>
          <w:szCs w:val="20"/>
          <w:color w:val="auto"/>
        </w:rPr>
      </w:pPr>
    </w:p>
    <w:p>
      <w:pPr>
        <w:ind w:left="660" w:right="40" w:firstLine="1293"/>
        <w:spacing w:after="0" w:line="250" w:lineRule="auto"/>
        <w:tabs>
          <w:tab w:leader="none" w:pos="237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any outstanding costs and expenses incurred by the Administrative Agent,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security trustee therefor, in monitoring, verifying, protecting, preserving or enforcing the Liens on the Collateral, in protecting, preserving or enforcing rights under the Loan Documents, and in any event all costs and expenses of a character which the Borrower has agreed to pay the Administrative Agent under Section 10.13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181" w:lineRule="exact"/>
        <w:rPr>
          <w:rFonts w:ascii="Times New Roman" w:cs="Times New Roman" w:eastAsia="Times New Roman" w:hAnsi="Times New Roman"/>
          <w:sz w:val="22"/>
          <w:szCs w:val="22"/>
          <w:color w:val="auto"/>
        </w:rPr>
      </w:pPr>
    </w:p>
    <w:p>
      <w:pPr>
        <w:ind w:left="660" w:right="640" w:firstLine="1293"/>
        <w:spacing w:after="0" w:line="288" w:lineRule="auto"/>
        <w:tabs>
          <w:tab w:leader="none" w:pos="238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of any outstanding interest and fees due under the Loan Documents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allocated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aggregate unpaid amounts owing to each holder thereof;</w:t>
      </w:r>
    </w:p>
    <w:p>
      <w:pPr>
        <w:spacing w:after="0" w:line="135" w:lineRule="exact"/>
        <w:rPr>
          <w:rFonts w:ascii="Times New Roman" w:cs="Times New Roman" w:eastAsia="Times New Roman" w:hAnsi="Times New Roman"/>
          <w:sz w:val="22"/>
          <w:szCs w:val="22"/>
          <w:color w:val="auto"/>
        </w:rPr>
      </w:pPr>
    </w:p>
    <w:p>
      <w:pPr>
        <w:ind w:left="660" w:firstLine="1293"/>
        <w:spacing w:after="0" w:line="250" w:lineRule="auto"/>
        <w:tabs>
          <w:tab w:leader="none" w:pos="237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payment of principal on the Term Loans, Revolving Loans, unpaid Reimbursement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Obligations (together with amounts to be held by the Administrative Agent as collateral security for any outstanding L/C Obligations pursuant to Section 7.4 hereof (until the Administrative Agent is holding an amount of cash equal to the then outstanding amount of all Letters of Credit, to the extent the same have not been replaced or cancelled or otherwise provided for to the reasonable satisfaction of the L/C Issuers)), and Hedging Liability, the aggregate amount paid to (or held as collateral security for) the Lenders and, in the case of Hedging Liability, their Affiliates, to be allocated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aggregate unpaid amounts owing to each holder thereof;</w:t>
      </w:r>
    </w:p>
    <w:p>
      <w:pPr>
        <w:spacing w:after="0" w:line="181" w:lineRule="exact"/>
        <w:rPr>
          <w:rFonts w:ascii="Times New Roman" w:cs="Times New Roman" w:eastAsia="Times New Roman" w:hAnsi="Times New Roman"/>
          <w:sz w:val="22"/>
          <w:szCs w:val="22"/>
          <w:color w:val="auto"/>
        </w:rPr>
      </w:pPr>
    </w:p>
    <w:p>
      <w:pPr>
        <w:ind w:left="660" w:right="140" w:firstLine="1293"/>
        <w:spacing w:after="0" w:line="258" w:lineRule="auto"/>
        <w:tabs>
          <w:tab w:leader="none" w:pos="238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payment of all other unpaid Obligations and all other indebtedness, obligations,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liabilities of the Borrower and its Subsidiaries secured by the Collateral Documents (including, without limitation, Funds Transfer Liability, Deposit Account Liability and Data Processing Obligations) to be allocated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aggregate unpaid amounts owing to each holder thereof; and</w:t>
      </w:r>
    </w:p>
    <w:p>
      <w:pPr>
        <w:spacing w:after="0" w:line="168"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the Borrower or whoever else may be lawfully entitled thereto.</w:t>
      </w:r>
    </w:p>
    <w:p>
      <w:pPr>
        <w:spacing w:after="0" w:line="237" w:lineRule="exact"/>
        <w:rPr>
          <w:sz w:val="20"/>
          <w:szCs w:val="20"/>
          <w:color w:val="auto"/>
        </w:rPr>
      </w:pPr>
    </w:p>
    <w:p>
      <w:pPr>
        <w:ind w:right="360" w:firstLine="1297"/>
        <w:spacing w:after="0" w:line="271" w:lineRule="auto"/>
        <w:rPr>
          <w:sz w:val="20"/>
          <w:szCs w:val="20"/>
          <w:color w:val="auto"/>
        </w:rPr>
      </w:pPr>
      <w:r>
        <w:rPr>
          <w:rFonts w:ascii="Times New Roman" w:cs="Times New Roman" w:eastAsia="Times New Roman" w:hAnsi="Times New Roman"/>
          <w:sz w:val="22"/>
          <w:szCs w:val="22"/>
          <w:color w:val="auto"/>
        </w:rPr>
        <w:t>Notwithstanding the foregoing, no amounts received from any Guarantor shall be applied to any Excluded Swap Obligations of such Guarantor.</w:t>
      </w:r>
    </w:p>
    <w:p>
      <w:pPr>
        <w:spacing w:after="0" w:line="154" w:lineRule="exact"/>
        <w:rPr>
          <w:sz w:val="20"/>
          <w:szCs w:val="20"/>
          <w:color w:val="auto"/>
        </w:rPr>
      </w:pPr>
    </w:p>
    <w:p>
      <w:pPr>
        <w:ind w:right="28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i w:val="1"/>
          <w:iCs w:val="1"/>
          <w:color w:val="auto"/>
        </w:rPr>
        <w:t>Commitment Terminations</w:t>
      </w:r>
      <w:r>
        <w:rPr>
          <w:rFonts w:ascii="Times New Roman" w:cs="Times New Roman" w:eastAsia="Times New Roman" w:hAnsi="Times New Roman"/>
          <w:sz w:val="18"/>
          <w:szCs w:val="18"/>
          <w:color w:val="auto"/>
        </w:rPr>
        <w:t>. The Term B Loan Commitments shall automatically terminate upon the making, conversion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continuance, as applicable, of the Term B Loans on the Closing Date. The</w:t>
      </w:r>
    </w:p>
    <w:p>
      <w:pPr>
        <w:sectPr>
          <w:pgSz w:w="11900" w:h="16838" w:orient="portrait"/>
          <w:cols w:equalWidth="0" w:num="1">
            <w:col w:w="11380"/>
          </w:cols>
          <w:pgMar w:left="240" w:top="625" w:right="279" w:bottom="1440" w:gutter="0" w:footer="0" w:header="0"/>
        </w:sectPr>
      </w:pPr>
    </w:p>
    <w:bookmarkStart w:id="205" w:name="page206"/>
    <w:bookmarkEnd w:id="205"/>
    <w:p>
      <w:pPr>
        <w:spacing w:after="0" w:line="252" w:lineRule="auto"/>
        <w:rPr>
          <w:sz w:val="20"/>
          <w:szCs w:val="20"/>
          <w:color w:val="auto"/>
        </w:rPr>
      </w:pPr>
      <w:r>
        <w:rPr>
          <w:rFonts w:ascii="Times New Roman" w:cs="Times New Roman" w:eastAsia="Times New Roman" w:hAnsi="Times New Roman"/>
          <w:sz w:val="18"/>
          <w:szCs w:val="18"/>
          <w:color w:val="auto"/>
        </w:rPr>
        <w:t xml:space="preserve">U.S. Term B-1 Commitments and Additional U.S. Term B-1 Commitments shall automatically terminate upon the making, conversion or continuance, as applicable, of the U.S. Term B-1 Loans on the Amendment No. 1 Effective. The U.S. Term B-2 Commitments and Additional U.S. Term B-2 Commitments shall automatically terminate upon the making, conversion or continuance, as applicable, of the U.S. Term B-2 Loans on the Amendment No. 3 Effective Date. The U.S. Term B-3 Commitments and Additional U.S. Term B-3 Commitments shall automatically terminate upon the making, conversion or continuance, as applicable, of the U.S. Term B-3 Loans on the Amendment No. 5 Effective Date. The U.S. Term B-4 Commitments and Additional U.S. Term B-4 Commitments shall automatically terminate upon the making, conversion or continuance, as applicable, of the U.S. Term B-4 Loans on the Amendment No. 8 Effective Date. The Term A-1 Loan Commitments, Additional Term A-1 Commitments and Incremental Term A-1 Commitments shall automatically terminate upon the making, conversion or continuance, as applicable, of the Term A-1 Loans, Additional Term A-1 Loans and Incremental Term A-1 Loans on the Amendment No. 7 Effective Date. The Borrower shall have the right at any time and from time to time, upon three (3) Business Days’ prior written notice to the Administrative Agent (which notice may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to terminate the Revolving Credit Commitments in whole or in part, any partial termination to be (i) in an amount not less than $1.0 million or any greater amount that is an integral multiple of $0.1 million and (ii) allocated ratably among the Lenders in proportion to their respective Revolver Percentages;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Revolving Credit Commitments may not be reduced to an amount less than the sum of the aggregate principal amount of Revolving Loans and of L/C Obligations then outstanding;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all Revolving Credit Commitments shall terminate automatically on the Revolving Credit Termination Date. Any termination of the Revolving Credit Commitments below the L/C Sublimit then in effect shall reduce the L/C Sublimit by a like amount. The Administrative Agent shall give prompt notice to each Lender of any such termination (in whole or in part) of the Revolving Credit Commitments. Any termination of the Revolving Credit Commitments pursuant to this Section 2.10 may not be reinstated.</w:t>
      </w:r>
    </w:p>
    <w:p>
      <w:pPr>
        <w:spacing w:after="0" w:line="194"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i w:val="1"/>
          <w:iCs w:val="1"/>
          <w:color w:val="auto"/>
        </w:rPr>
        <w:t>Evidence of Indebtedness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firstLine="656"/>
        <w:spacing w:after="0" w:line="263" w:lineRule="auto"/>
        <w:tabs>
          <w:tab w:leader="none" w:pos="106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67" w:lineRule="exact"/>
        <w:rPr>
          <w:rFonts w:ascii="Times New Roman" w:cs="Times New Roman" w:eastAsia="Times New Roman" w:hAnsi="Times New Roman"/>
          <w:sz w:val="22"/>
          <w:szCs w:val="22"/>
          <w:color w:val="auto"/>
        </w:rPr>
      </w:pPr>
    </w:p>
    <w:p>
      <w:pPr>
        <w:ind w:right="60" w:firstLine="656"/>
        <w:spacing w:after="0" w:line="253" w:lineRule="auto"/>
        <w:tabs>
          <w:tab w:leader="none" w:pos="10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also maintain accounts in which it will record (i) the amount of each Loan made hereunder, with respect to Revolving Loans, the type thereof and, with respect to Eurodollar Loans,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75" w:lineRule="exact"/>
        <w:rPr>
          <w:rFonts w:ascii="Times New Roman" w:cs="Times New Roman" w:eastAsia="Times New Roman" w:hAnsi="Times New Roman"/>
          <w:sz w:val="22"/>
          <w:szCs w:val="22"/>
          <w:color w:val="auto"/>
        </w:rPr>
      </w:pPr>
    </w:p>
    <w:p>
      <w:pPr>
        <w:ind w:firstLine="656"/>
        <w:spacing w:after="0" w:line="265" w:lineRule="auto"/>
        <w:tabs>
          <w:tab w:leader="none" w:pos="106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maintained in the accounts maintained pursuant to clauses (a) and (b) above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existence and amounts of the Obligations therein recorded;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failure of the Administrative Agent or any Lender to</w:t>
      </w:r>
    </w:p>
    <w:p>
      <w:pPr>
        <w:sectPr>
          <w:pgSz w:w="11900" w:h="16838" w:orient="portrait"/>
          <w:cols w:equalWidth="0" w:num="1">
            <w:col w:w="11400"/>
          </w:cols>
          <w:pgMar w:left="240" w:top="621" w:right="259" w:bottom="1440" w:gutter="0" w:footer="0" w:header="0"/>
        </w:sectPr>
      </w:pPr>
    </w:p>
    <w:bookmarkStart w:id="206" w:name="page207"/>
    <w:bookmarkEnd w:id="206"/>
    <w:p>
      <w:pPr>
        <w:spacing w:after="0" w:line="271" w:lineRule="auto"/>
        <w:rPr>
          <w:sz w:val="20"/>
          <w:szCs w:val="20"/>
          <w:color w:val="auto"/>
        </w:rPr>
      </w:pPr>
      <w:r>
        <w:rPr>
          <w:rFonts w:ascii="Times New Roman" w:cs="Times New Roman" w:eastAsia="Times New Roman" w:hAnsi="Times New Roman"/>
          <w:sz w:val="22"/>
          <w:szCs w:val="22"/>
          <w:color w:val="auto"/>
        </w:rPr>
        <w:t>maintain such accounts or any error therein shall not in any manner affect the obligation of the Borrower to repay the Obligations in accordance with their terms.</w:t>
      </w:r>
    </w:p>
    <w:p>
      <w:pPr>
        <w:spacing w:after="0" w:line="158" w:lineRule="exact"/>
        <w:rPr>
          <w:sz w:val="20"/>
          <w:szCs w:val="20"/>
          <w:color w:val="auto"/>
        </w:rPr>
      </w:pPr>
    </w:p>
    <w:p>
      <w:pPr>
        <w:ind w:firstLine="656"/>
        <w:spacing w:after="0" w:line="247" w:lineRule="auto"/>
        <w:tabs>
          <w:tab w:leader="none" w:pos="10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request that its Loans be evidenced by a promissory note or notes in the forms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(in the case of its Term A-1 Loan and referred to herein as a “</w:t>
      </w:r>
      <w:r>
        <w:rPr>
          <w:rFonts w:ascii="Times New Roman" w:cs="Times New Roman" w:eastAsia="Times New Roman" w:hAnsi="Times New Roman"/>
          <w:sz w:val="22"/>
          <w:szCs w:val="22"/>
          <w:i w:val="1"/>
          <w:iCs w:val="1"/>
          <w:color w:val="auto"/>
        </w:rPr>
        <w:t>Term A-1 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(in the case of its U.S. Term B-4 Loan and referred to herein as a “</w:t>
      </w:r>
      <w:r>
        <w:rPr>
          <w:rFonts w:ascii="Times New Roman" w:cs="Times New Roman" w:eastAsia="Times New Roman" w:hAnsi="Times New Roman"/>
          <w:sz w:val="22"/>
          <w:szCs w:val="22"/>
          <w:i w:val="1"/>
          <w:iCs w:val="1"/>
          <w:color w:val="auto"/>
        </w:rPr>
        <w:t>U.S. Term B-4 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D-4</w:t>
      </w:r>
      <w:r>
        <w:rPr>
          <w:rFonts w:ascii="Times New Roman" w:cs="Times New Roman" w:eastAsia="Times New Roman" w:hAnsi="Times New Roman"/>
          <w:sz w:val="22"/>
          <w:szCs w:val="22"/>
          <w:color w:val="auto"/>
        </w:rPr>
        <w:t xml:space="preserve"> (in the case of its Revolving Loans and referred to herein as a “</w:t>
      </w:r>
      <w:r>
        <w:rPr>
          <w:rFonts w:ascii="Times New Roman" w:cs="Times New Roman" w:eastAsia="Times New Roman" w:hAnsi="Times New Roman"/>
          <w:sz w:val="22"/>
          <w:szCs w:val="22"/>
          <w:i w:val="1"/>
          <w:iCs w:val="1"/>
          <w:color w:val="auto"/>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Note</w:t>
      </w:r>
      <w:r>
        <w:rPr>
          <w:rFonts w:ascii="Times New Roman" w:cs="Times New Roman" w:eastAsia="Times New Roman" w:hAnsi="Times New Roman"/>
          <w:sz w:val="22"/>
          <w:szCs w:val="22"/>
          <w:color w:val="auto"/>
        </w:rPr>
        <w:t>”), as applicable (the Term A-1 Notes, U.S. Term B-4 Notes and Revolving Notes being hereinafter referred to collectively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i w:val="1"/>
          <w:iCs w:val="1"/>
          <w:color w:val="auto"/>
        </w:rPr>
        <w:t>Note</w:t>
      </w:r>
      <w:r>
        <w:rPr>
          <w:rFonts w:ascii="Times New Roman" w:cs="Times New Roman" w:eastAsia="Times New Roman" w:hAnsi="Times New Roman"/>
          <w:sz w:val="22"/>
          <w:szCs w:val="22"/>
          <w:color w:val="auto"/>
        </w:rPr>
        <w:t>”). In such event, the Borrower shall prepare, execute and deliver to such Lender a Note payable to such Lender in the amount of such Lender’s Percentage of the applicable Term Loan or Revolving Credit Commitment, as applicable. Thereafter, the Loans evidenced by such Note or Notes and interest thereon shall at all times (including after any assignment pursuant to Section 10.10) be represented by one (1) or more Notes, except to the extent that any such Lender or assignee subsequently returns any such Note for cancellation and requests that such Loans once again be evidenced as described in subsections (a) and (b) above.</w:t>
      </w:r>
    </w:p>
    <w:p>
      <w:pPr>
        <w:spacing w:after="0" w:line="18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i w:val="1"/>
          <w:iCs w:val="1"/>
          <w:color w:val="auto"/>
        </w:rPr>
        <w:t>Fees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right="20" w:firstLine="656"/>
        <w:spacing w:after="0" w:line="250" w:lineRule="auto"/>
        <w:tabs>
          <w:tab w:leader="none" w:pos="106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Credit Commitment Fee</w:t>
      </w:r>
      <w:r>
        <w:rPr>
          <w:rFonts w:ascii="Times New Roman" w:cs="Times New Roman" w:eastAsia="Times New Roman" w:hAnsi="Times New Roman"/>
          <w:sz w:val="22"/>
          <w:szCs w:val="22"/>
          <w:color w:val="auto"/>
        </w:rPr>
        <w:t>. The Borrower shall pay to the Administrative Agent for the ratable account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according to their Revolver Percentages a commitment fee at a rate per annum equal to the Applicable Margin (computed on the basis of a year of 360 days and the actual number of days elapsed) on the average daily Unused Revolving Credit Commitments (the “</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Commitment Fee shall accrue to the Unused Revolving Credit Commitment of a Defaulting Lender, or be payable for the benefit of such Lender, so long as such Lender shall be a Defaulting Lender. Such Commitment Fee shall be payable quarterly in arrears on each Fiscal Quarter End Date (commencing on the first such date occurring after the Escrow Release Date).</w:t>
      </w:r>
    </w:p>
    <w:p>
      <w:pPr>
        <w:spacing w:after="0" w:line="181" w:lineRule="exact"/>
        <w:rPr>
          <w:rFonts w:ascii="Times New Roman" w:cs="Times New Roman" w:eastAsia="Times New Roman" w:hAnsi="Times New Roman"/>
          <w:sz w:val="22"/>
          <w:szCs w:val="22"/>
          <w:color w:val="auto"/>
        </w:rPr>
      </w:pPr>
    </w:p>
    <w:p>
      <w:pPr>
        <w:ind w:right="20" w:firstLine="656"/>
        <w:spacing w:after="0" w:line="248" w:lineRule="auto"/>
        <w:tabs>
          <w:tab w:leader="none" w:pos="10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Letter of Credit Fees</w:t>
      </w:r>
      <w:r>
        <w:rPr>
          <w:rFonts w:ascii="Times New Roman" w:cs="Times New Roman" w:eastAsia="Times New Roman" w:hAnsi="Times New Roman"/>
          <w:sz w:val="22"/>
          <w:szCs w:val="22"/>
          <w:color w:val="auto"/>
        </w:rPr>
        <w:t>. Quarterly in arrears, on each Fiscal Quarter End Date, commencing on the first such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occurring after the Escrow Release Date, and on the Revolving Credit Termination Date, the Borrower shall pay to the L/C Issuer for its own account a fronting fee equal to 0.125% of the face amount of (or of the increase in the face amount of) each outstanding Letter of Credit. Quarterly in arrears, on each Fiscal Quarter End Date, commencing on the first such date occurring after the Escrow Release Date, and on the Revolving Credit Termination Date, the Borrower shall pay to the Administrative Agent, for the ratable benefit of the Lenders according to their Revolver Percentages, a letter of credit fee at a rate per annum equal to the Applicable Margin then in effect with respect to Eurodollar Loans under the Revolving Facility (computed on the basis of a year of 360 days and the actual number of days elapsed) during each day of such quarter applied to the daily average face amount of Letters of Credit outstanding during such quarter;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while any Event of Default under Section 7.1(a) (with respect to the late payment of principal, interest, Reimbursement</w:t>
      </w:r>
    </w:p>
    <w:p>
      <w:pPr>
        <w:sectPr>
          <w:pgSz w:w="11900" w:h="16838" w:orient="portrait"/>
          <w:cols w:equalWidth="0" w:num="1">
            <w:col w:w="11420"/>
          </w:cols>
          <w:pgMar w:left="240" w:top="625" w:right="239" w:bottom="1440" w:gutter="0" w:footer="0" w:header="0"/>
        </w:sectPr>
      </w:pPr>
    </w:p>
    <w:bookmarkStart w:id="207" w:name="page208"/>
    <w:bookmarkEnd w:id="207"/>
    <w:p>
      <w:pPr>
        <w:ind w:right="40"/>
        <w:spacing w:after="0" w:line="247" w:lineRule="auto"/>
        <w:rPr>
          <w:sz w:val="20"/>
          <w:szCs w:val="20"/>
          <w:color w:val="auto"/>
        </w:rPr>
      </w:pPr>
      <w:r>
        <w:rPr>
          <w:rFonts w:ascii="Times New Roman" w:cs="Times New Roman" w:eastAsia="Times New Roman" w:hAnsi="Times New Roman"/>
          <w:sz w:val="22"/>
          <w:szCs w:val="22"/>
          <w:color w:val="auto"/>
        </w:rPr>
        <w:t xml:space="preserve">Obligations or fees) or Section 7.1(j) or Section 7.1(k) exists or after acceleration (but without duplication of the rate set forth in Section 2.4(e)), such rate with respect to overdue fees shall increase by 2.00% over the rate otherwise payable and such fee shall be paid on demand subject, except in the case of any Event of Default under Section 7.1(j) or (k), to the request of the Administrative Agent at the request or with the consent of the Required Lenders;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no letter of credit fee shall accrue to the Revolver Percentage of a Defaulting Lender, or be payable for the benefit of such Lender, so long as such Lender shall be a Defaulting Lender. In addition, the Borrower shall pay to the L/C Issuers for their own account the L/C Issuers’ standard drawing, negotiation, amendment, transfer and other administrative fees for each Letter of Credit. Such standard fees referred to in the preceding sentence may be established by the L/C Issuers from time to time.</w:t>
      </w:r>
    </w:p>
    <w:p>
      <w:pPr>
        <w:spacing w:after="0" w:line="182"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Ticking Fees</w:t>
      </w:r>
      <w:r>
        <w:rPr>
          <w:rFonts w:ascii="Times New Roman" w:cs="Times New Roman" w:eastAsia="Times New Roman" w:hAnsi="Times New Roman"/>
          <w:sz w:val="22"/>
          <w:szCs w:val="22"/>
          <w:color w:val="auto"/>
        </w:rPr>
        <w:t>. The Borrower shall pay the ticking fees pursuant to the Fee Letter.</w:t>
      </w:r>
    </w:p>
    <w:p>
      <w:pPr>
        <w:spacing w:after="0" w:line="233" w:lineRule="exact"/>
        <w:rPr>
          <w:rFonts w:ascii="Times New Roman" w:cs="Times New Roman" w:eastAsia="Times New Roman" w:hAnsi="Times New Roman"/>
          <w:sz w:val="22"/>
          <w:szCs w:val="22"/>
          <w:color w:val="auto"/>
        </w:rPr>
      </w:pPr>
    </w:p>
    <w:p>
      <w:pPr>
        <w:ind w:right="220" w:firstLine="656"/>
        <w:spacing w:after="0" w:line="265" w:lineRule="auto"/>
        <w:tabs>
          <w:tab w:leader="none" w:pos="10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Administrative Agent Fees</w:t>
      </w:r>
      <w:r>
        <w:rPr>
          <w:rFonts w:ascii="Times New Roman" w:cs="Times New Roman" w:eastAsia="Times New Roman" w:hAnsi="Times New Roman"/>
          <w:sz w:val="22"/>
          <w:szCs w:val="22"/>
          <w:color w:val="auto"/>
        </w:rPr>
        <w:t>. The Borrower agrees to pay to the Administrative Agent, for its own account,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fees payable in the amounts and at the times separately agreed upon between the Borrower and the Administrative Agent.</w:t>
      </w:r>
    </w:p>
    <w:p>
      <w:pPr>
        <w:spacing w:after="0" w:line="161" w:lineRule="exact"/>
        <w:rPr>
          <w:rFonts w:ascii="Times New Roman" w:cs="Times New Roman" w:eastAsia="Times New Roman" w:hAnsi="Times New Roman"/>
          <w:sz w:val="22"/>
          <w:szCs w:val="22"/>
          <w:color w:val="auto"/>
        </w:rPr>
      </w:pPr>
    </w:p>
    <w:p>
      <w:pPr>
        <w:jc w:val="both"/>
        <w:ind w:firstLine="656"/>
        <w:spacing w:after="0" w:line="265" w:lineRule="auto"/>
        <w:tabs>
          <w:tab w:leader="none" w:pos="106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Fees Generally</w:t>
      </w:r>
      <w:r>
        <w:rPr>
          <w:rFonts w:ascii="Times New Roman" w:cs="Times New Roman" w:eastAsia="Times New Roman" w:hAnsi="Times New Roman"/>
          <w:sz w:val="22"/>
          <w:szCs w:val="22"/>
          <w:color w:val="auto"/>
        </w:rPr>
        <w:t>. All fees shall be paid on the dates due, in immediately available funds, to the Administrative Agent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if and as appropriate, among the applicable Lenders, except that the Borrower shall pay the fronting fees directly to the applicable L/C Issuer. Once paid when due and payable, none of the fees shall be refundable under any circumstances.</w:t>
      </w:r>
    </w:p>
    <w:p>
      <w:pPr>
        <w:spacing w:after="0" w:line="16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i w:val="1"/>
          <w:iCs w:val="1"/>
          <w:color w:val="auto"/>
        </w:rPr>
        <w:t>Incremental Credit Extensions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right="160" w:firstLine="1305"/>
        <w:spacing w:after="0" w:line="246" w:lineRule="auto"/>
        <w:tabs>
          <w:tab w:leader="none" w:pos="174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after the Escrow Release Date, subject to the terms and conditions set forth herein, the Borrower may, by notice to the Administrative Agent (whereupon the Administrative Agent shall promptly make such notice available to each of the Lenders), pursuant to an Incremental Amendment (“</w:t>
      </w:r>
      <w:r>
        <w:rPr>
          <w:rFonts w:ascii="Times New Roman" w:cs="Times New Roman" w:eastAsia="Times New Roman" w:hAnsi="Times New Roman"/>
          <w:sz w:val="22"/>
          <w:szCs w:val="22"/>
          <w:i w:val="1"/>
          <w:iCs w:val="1"/>
          <w:color w:val="auto"/>
        </w:rPr>
        <w:t>Incremental Amendment</w:t>
      </w:r>
      <w:r>
        <w:rPr>
          <w:rFonts w:ascii="Times New Roman" w:cs="Times New Roman" w:eastAsia="Times New Roman" w:hAnsi="Times New Roman"/>
          <w:sz w:val="22"/>
          <w:szCs w:val="22"/>
          <w:color w:val="auto"/>
        </w:rPr>
        <w:t>”) request to effect (i) one (1) or more additional term loan facilities hereunder or increases in the aggregate amount of any Term Facility (each such increase, a “</w:t>
      </w:r>
      <w:r>
        <w:rPr>
          <w:rFonts w:ascii="Times New Roman" w:cs="Times New Roman" w:eastAsia="Times New Roman" w:hAnsi="Times New Roman"/>
          <w:sz w:val="22"/>
          <w:szCs w:val="22"/>
          <w:i w:val="1"/>
          <w:iCs w:val="1"/>
          <w:color w:val="auto"/>
        </w:rPr>
        <w:t>Term Commitment Increase</w:t>
      </w:r>
      <w:r>
        <w:rPr>
          <w:rFonts w:ascii="Times New Roman" w:cs="Times New Roman" w:eastAsia="Times New Roman" w:hAnsi="Times New Roman"/>
          <w:sz w:val="22"/>
          <w:szCs w:val="22"/>
          <w:color w:val="auto"/>
        </w:rPr>
        <w:t>”) from one (1) or more Additional Term Lenders or (ii) additional revolving credit facilities (each such additional facility, an “</w:t>
      </w:r>
      <w:r>
        <w:rPr>
          <w:rFonts w:ascii="Times New Roman" w:cs="Times New Roman" w:eastAsia="Times New Roman" w:hAnsi="Times New Roman"/>
          <w:sz w:val="22"/>
          <w:szCs w:val="22"/>
          <w:i w:val="1"/>
          <w:iCs w:val="1"/>
          <w:color w:val="auto"/>
        </w:rPr>
        <w:t>Incremental Revolving Credit Facility</w:t>
      </w:r>
      <w:r>
        <w:rPr>
          <w:rFonts w:ascii="Times New Roman" w:cs="Times New Roman" w:eastAsia="Times New Roman" w:hAnsi="Times New Roman"/>
          <w:sz w:val="22"/>
          <w:szCs w:val="22"/>
          <w:color w:val="auto"/>
        </w:rPr>
        <w:t>”) or increases in the aggregate amount of the Revolving Credit Commitments (each such increase, a “</w:t>
      </w:r>
      <w:r>
        <w:rPr>
          <w:rFonts w:ascii="Times New Roman" w:cs="Times New Roman" w:eastAsia="Times New Roman" w:hAnsi="Times New Roman"/>
          <w:sz w:val="22"/>
          <w:szCs w:val="22"/>
          <w:i w:val="1"/>
          <w:iCs w:val="1"/>
          <w:color w:val="auto"/>
        </w:rPr>
        <w:t>Revolving Credit Commitment Increase</w:t>
      </w:r>
      <w:r>
        <w:rPr>
          <w:rFonts w:ascii="Times New Roman" w:cs="Times New Roman" w:eastAsia="Times New Roman" w:hAnsi="Times New Roman"/>
          <w:sz w:val="22"/>
          <w:szCs w:val="22"/>
          <w:color w:val="auto"/>
        </w:rPr>
        <w:t>” and together with any Term Commitment Increase, any Incremental Term Facility and any Incremental Revolving Credit Facility, a “</w:t>
      </w:r>
      <w:r>
        <w:rPr>
          <w:rFonts w:ascii="Times New Roman" w:cs="Times New Roman" w:eastAsia="Times New Roman" w:hAnsi="Times New Roman"/>
          <w:sz w:val="22"/>
          <w:szCs w:val="22"/>
          <w:i w:val="1"/>
          <w:iCs w:val="1"/>
          <w:color w:val="auto"/>
        </w:rPr>
        <w:t>Commitment Increase</w:t>
      </w:r>
      <w:r>
        <w:rPr>
          <w:rFonts w:ascii="Times New Roman" w:cs="Times New Roman" w:eastAsia="Times New Roman" w:hAnsi="Times New Roman"/>
          <w:sz w:val="22"/>
          <w:szCs w:val="22"/>
          <w:color w:val="auto"/>
        </w:rPr>
        <w:t xml:space="preserve">”) from Additional Revolving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otherwise provided below, upon the effectiveness of each Incremental Amendment:</w:t>
      </w:r>
    </w:p>
    <w:p>
      <w:pPr>
        <w:spacing w:after="0" w:line="189" w:lineRule="exact"/>
        <w:rPr>
          <w:sz w:val="20"/>
          <w:szCs w:val="20"/>
          <w:color w:val="auto"/>
        </w:rPr>
      </w:pPr>
    </w:p>
    <w:p>
      <w:pPr>
        <w:ind w:left="660" w:right="860" w:firstLine="645"/>
        <w:spacing w:after="0" w:line="284" w:lineRule="auto"/>
        <w:tabs>
          <w:tab w:leader="none" w:pos="178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by the Additional Lenders providing an Incremental Facility to finance an Acquisition or other investment permitted under this</w:t>
      </w:r>
    </w:p>
    <w:p>
      <w:pPr>
        <w:sectPr>
          <w:pgSz w:w="11900" w:h="16838" w:orient="portrait"/>
          <w:cols w:equalWidth="0" w:num="1">
            <w:col w:w="11400"/>
          </w:cols>
          <w:pgMar w:left="240" w:top="626" w:right="2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1"/>
          <w:szCs w:val="21"/>
          <w:color w:val="auto"/>
        </w:rPr>
        <w:t>Agreement, no Default or Event of Default shall have occurred and be continuing or would exist after giving effect thereto,</w:t>
      </w:r>
    </w:p>
    <w:p>
      <w:pPr>
        <w:spacing w:after="0" w:line="231" w:lineRule="exact"/>
        <w:rPr>
          <w:sz w:val="20"/>
          <w:szCs w:val="20"/>
          <w:color w:val="auto"/>
        </w:rPr>
      </w:pPr>
    </w:p>
    <w:p>
      <w:pPr>
        <w:ind w:firstLine="645"/>
        <w:spacing w:after="0" w:line="246" w:lineRule="auto"/>
        <w:tabs>
          <w:tab w:leader="none" w:pos="111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date of the incurrence or effectiveness of such Incremental Facility (in the case of the incurrence or effectiveness of an Incremental Revolving Credit Facility, assuming such Incremental Revolving Credit Facility has been drawn in full), the Borrower shall be in compliance, on a Pro Forma Basis, with the financial covenants set forth in Section 6.22 recomputed as of the last day of the most recently ended fiscal quarter for which financial statements have been or were required to be delivered pursuant to Section 6.1(a) or (b);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incurred in connection with an Acquisition, at the Borrower’s election, the Borrower’s compliance on a Pro Forma Basis with the financial covenants set forth in Section 6.22 may be determined at the time of the signing of any acquisition agreement with respect thereto or at the time of the closing of such acquisition;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if the Borrower has made the election to measure such compliance on the date of the signing of an acquisition agreement, in connection with the calculation of any ratio with respect to the incurrence of Indebtedness or Liens, or the making of investments, Distributions, Restricted Debt Payments, asset sales, fundamental changes or the designation of an Unrestricted Subsidiary on or following such date and until the earlier of the date on which such Acquisition is consummated or the definitive agreement for such Acquisition is terminated or expired (but not for the purposes of calculating any financial covenant), such ratio shall be calculated on a Pro Forma Basis assuming such Acquisition and any other Specified Transactions in connection therewith (including the incurrence of Indebtedness) have been consummated,</w:t>
      </w:r>
    </w:p>
    <w:p>
      <w:pPr>
        <w:spacing w:after="0" w:line="189" w:lineRule="exact"/>
        <w:rPr>
          <w:rFonts w:ascii="Times New Roman" w:cs="Times New Roman" w:eastAsia="Times New Roman" w:hAnsi="Times New Roman"/>
          <w:sz w:val="22"/>
          <w:szCs w:val="22"/>
          <w:color w:val="auto"/>
        </w:rPr>
      </w:pPr>
    </w:p>
    <w:p>
      <w:pPr>
        <w:ind w:right="340" w:firstLine="645"/>
        <w:spacing w:after="0" w:line="284" w:lineRule="auto"/>
        <w:tabs>
          <w:tab w:leader="none" w:pos="111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Term A Facility shall have a final maturity date no earlier than the Term A-1 Termination Date then in effect,</w:t>
      </w:r>
    </w:p>
    <w:p>
      <w:pPr>
        <w:spacing w:after="0" w:line="144" w:lineRule="exact"/>
        <w:rPr>
          <w:rFonts w:ascii="Times New Roman" w:cs="Times New Roman" w:eastAsia="Times New Roman" w:hAnsi="Times New Roman"/>
          <w:sz w:val="22"/>
          <w:szCs w:val="22"/>
          <w:color w:val="auto"/>
        </w:rPr>
      </w:pPr>
    </w:p>
    <w:p>
      <w:pPr>
        <w:ind w:right="20" w:firstLine="645"/>
        <w:spacing w:after="0" w:line="284" w:lineRule="auto"/>
        <w:tabs>
          <w:tab w:leader="none" w:pos="112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Term B Facility and each other Incremental Term Facility (other than an Incremental Term A Facility) shall have a final maturity date no earlier than the U.S. Term B-4 Termination Date then in effect,</w:t>
      </w:r>
    </w:p>
    <w:p>
      <w:pPr>
        <w:spacing w:after="0" w:line="144" w:lineRule="exact"/>
        <w:rPr>
          <w:rFonts w:ascii="Times New Roman" w:cs="Times New Roman" w:eastAsia="Times New Roman" w:hAnsi="Times New Roman"/>
          <w:sz w:val="22"/>
          <w:szCs w:val="22"/>
          <w:color w:val="auto"/>
        </w:rPr>
      </w:pPr>
    </w:p>
    <w:p>
      <w:pPr>
        <w:ind w:right="820" w:firstLine="645"/>
        <w:spacing w:after="0" w:line="284" w:lineRule="auto"/>
        <w:tabs>
          <w:tab w:leader="none" w:pos="110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any Incremental Term A Loans shall not be shorter than the Weighted Average Life to Maturity of the Term A-1 Loans then outstanding,</w:t>
      </w:r>
    </w:p>
    <w:p>
      <w:pPr>
        <w:spacing w:after="0" w:line="144" w:lineRule="exact"/>
        <w:rPr>
          <w:rFonts w:ascii="Times New Roman" w:cs="Times New Roman" w:eastAsia="Times New Roman" w:hAnsi="Times New Roman"/>
          <w:sz w:val="22"/>
          <w:szCs w:val="22"/>
          <w:color w:val="auto"/>
        </w:rPr>
      </w:pPr>
    </w:p>
    <w:p>
      <w:pPr>
        <w:ind w:right="140" w:firstLine="645"/>
        <w:spacing w:after="0" w:line="263" w:lineRule="auto"/>
        <w:tabs>
          <w:tab w:leader="none" w:pos="109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any Incremental Term B Loans and any other Incremental Term Loans (other than Incremental Term A Loans) shall not be shorter than the Weighted Average Life to Maturity of the Term B Loans then outstanding,</w:t>
      </w:r>
    </w:p>
    <w:p>
      <w:pPr>
        <w:sectPr>
          <w:pgSz w:w="11900" w:h="16838" w:orient="portrait"/>
          <w:cols w:equalWidth="0" w:num="1">
            <w:col w:w="10720"/>
          </w:cols>
          <w:pgMar w:left="900" w:top="625" w:right="279" w:bottom="1440" w:gutter="0" w:footer="0" w:header="0"/>
        </w:sectPr>
      </w:pPr>
    </w:p>
    <w:bookmarkStart w:id="209" w:name="page210"/>
    <w:bookmarkEnd w:id="209"/>
    <w:p>
      <w:pPr>
        <w:ind w:left="-540" w:right="60" w:firstLine="645"/>
        <w:spacing w:after="0" w:line="251" w:lineRule="auto"/>
        <w:tabs>
          <w:tab w:leader="none" w:pos="58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Incremental Revolving Loans will mature no earlier than, and will require no scheduled amortization or mandatory reduction of the commitments related thereto prior to, the Revolving Credit Termination Date then in effect and all other terms of any such Incremental Revolving Credit Facility (except with respect to margin, pricing and fees and as set forth in the foregoing clauses and clause (J) below and other than any terms which are applicable only after the then-existing maturity date with respect to the Revolving Facility) shall be substantially identical to the Revolving Facility or otherwise reasonably acceptable to the Administrative Agent,</w:t>
      </w:r>
    </w:p>
    <w:p>
      <w:pPr>
        <w:spacing w:after="0" w:line="181" w:lineRule="exact"/>
        <w:rPr>
          <w:rFonts w:ascii="Times New Roman" w:cs="Times New Roman" w:eastAsia="Times New Roman" w:hAnsi="Times New Roman"/>
          <w:sz w:val="22"/>
          <w:szCs w:val="22"/>
          <w:color w:val="auto"/>
        </w:rPr>
      </w:pPr>
    </w:p>
    <w:p>
      <w:pPr>
        <w:ind w:left="-540" w:firstLine="645"/>
        <w:spacing w:after="0" w:line="245" w:lineRule="auto"/>
        <w:tabs>
          <w:tab w:leader="none" w:pos="58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interest rate applicable to any Incremental Facility or Incremental Loans will be determined by the Borrower and the Additional Lenders providing such Incremental Facility or Incremental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Incremental Term Loans (other than Incremental Term A Loans) or Incremental Term Facilities (other than Incremental Term A Facilities) that are secured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and with respect to security with any then existing U.S. Term B-4 Loans (the “</w:t>
      </w:r>
      <w:r>
        <w:rPr>
          <w:rFonts w:ascii="Times New Roman" w:cs="Times New Roman" w:eastAsia="Times New Roman" w:hAnsi="Times New Roman"/>
          <w:sz w:val="22"/>
          <w:szCs w:val="22"/>
          <w:i w:val="1"/>
          <w:iCs w:val="1"/>
          <w:color w:val="auto"/>
        </w:rPr>
        <w:t>Relevant Existing Facility</w:t>
      </w:r>
      <w:r>
        <w:rPr>
          <w:rFonts w:ascii="Times New Roman" w:cs="Times New Roman" w:eastAsia="Times New Roman" w:hAnsi="Times New Roman"/>
          <w:sz w:val="22"/>
          <w:szCs w:val="22"/>
          <w:color w:val="auto"/>
        </w:rPr>
        <w:t xml:space="preserve">”), such interest rate will not be more than 0.50% higher than the corresponding interest rate applicable to the Relevant Existing Facility unless the interest rate with respect to the Relevant Existing Facility is adjusted to be equal to the interest rate with respect to the relevant Incremental Term Loans or Incremental Term Facility,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0.50%;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in determining the applicable interest rate under this clause (H): (w) original issue discount (“</w:t>
      </w:r>
      <w:r>
        <w:rPr>
          <w:rFonts w:ascii="Times New Roman" w:cs="Times New Roman" w:eastAsia="Times New Roman" w:hAnsi="Times New Roman"/>
          <w:sz w:val="22"/>
          <w:szCs w:val="22"/>
          <w:i w:val="1"/>
          <w:iCs w:val="1"/>
          <w:color w:val="auto"/>
        </w:rPr>
        <w:t>OID</w:t>
      </w:r>
      <w:r>
        <w:rPr>
          <w:rFonts w:ascii="Times New Roman" w:cs="Times New Roman" w:eastAsia="Times New Roman" w:hAnsi="Times New Roman"/>
          <w:sz w:val="22"/>
          <w:szCs w:val="22"/>
          <w:color w:val="auto"/>
        </w:rPr>
        <w:t>”) or upfront fees paid in connection with the Relevant Existing Facility or such Incremental Term Facility or Incremental Term Loans (based on a four-year average life to maturity), shall be included, (x) any amendments to or changes in the Applicable Margin with respect to the Relevant Existing Facility that became effective subsequent to the Amendment No. 7 Effective Date but prior to the time of (or concurrently with) the addition of such Incremental Term Facility or Incremental Term Loans shall be included, (y) arrangement, commitment, structuring and underwriting fees and any amendment fees paid or payable to the Joint Lead Arrangers (or their affiliates) in their respective capacities as such in connection with the Relevant Existing Facility or to one or more arrangers (or their affiliates) in their capacities as such applicable to such Incremental Term Facility or Incremental Term Loans shall be excluded and (z) if such Incremental Term Facility or Incremental Term Loans include any interest rate floor greater than that applicable to the Relevant Existing Facility, and such floor is applicable to the Relevant Existing Facility on the date of determination, such excess amount shall be equated to interest margin for determining the increase,</w:t>
      </w:r>
    </w:p>
    <w:p>
      <w:pPr>
        <w:spacing w:after="0" w:line="194" w:lineRule="exact"/>
        <w:rPr>
          <w:rFonts w:ascii="Times New Roman" w:cs="Times New Roman" w:eastAsia="Times New Roman" w:hAnsi="Times New Roman"/>
          <w:sz w:val="22"/>
          <w:szCs w:val="22"/>
          <w:color w:val="auto"/>
        </w:rPr>
      </w:pPr>
    </w:p>
    <w:p>
      <w:pPr>
        <w:ind w:left="-540" w:right="240" w:firstLine="645"/>
        <w:spacing w:after="0" w:line="254" w:lineRule="auto"/>
        <w:tabs>
          <w:tab w:leader="none" w:pos="50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Incremental Facilities shall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or junior in right of payment and right of security in respect of the Collateral (if any) with the Term Loans and the Revolving Loans or may be unsecured;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such Incremental Facilities are subordinated in right of payment or right of security, or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security and subject to separate documentation, they shall be subject to intercreditor arrangements reasonably satisfactory to the Administrative Agent,</w:t>
      </w:r>
    </w:p>
    <w:p>
      <w:pPr>
        <w:sectPr>
          <w:pgSz w:w="11900" w:h="16838" w:orient="portrait"/>
          <w:cols w:equalWidth="0" w:num="1">
            <w:col w:w="10220"/>
          </w:cols>
          <w:pgMar w:left="1440" w:top="626" w:right="239" w:bottom="1440" w:gutter="0" w:footer="0" w:header="0"/>
        </w:sectPr>
      </w:pPr>
    </w:p>
    <w:bookmarkStart w:id="210" w:name="page211"/>
    <w:bookmarkEnd w:id="210"/>
    <w:p>
      <w:pPr>
        <w:ind w:left="1064" w:hanging="415"/>
        <w:spacing w:after="0"/>
        <w:tabs>
          <w:tab w:leader="none" w:pos="106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Incremental Facility shall be guaranteed by any Person which is not a Loan Party,</w:t>
      </w:r>
    </w:p>
    <w:p>
      <w:pPr>
        <w:spacing w:after="0" w:line="233" w:lineRule="exact"/>
        <w:rPr>
          <w:rFonts w:ascii="Times New Roman" w:cs="Times New Roman" w:eastAsia="Times New Roman" w:hAnsi="Times New Roman"/>
          <w:sz w:val="22"/>
          <w:szCs w:val="22"/>
          <w:color w:val="auto"/>
        </w:rPr>
      </w:pPr>
    </w:p>
    <w:p>
      <w:pPr>
        <w:ind w:left="4" w:right="60" w:firstLine="645"/>
        <w:spacing w:after="0" w:line="268" w:lineRule="auto"/>
        <w:tabs>
          <w:tab w:leader="none" w:pos="1132"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mandatory prepayment (other than scheduled amortization payments) of Incremental Term Loans that are </w:t>
      </w:r>
      <w:r>
        <w:rPr>
          <w:rFonts w:ascii="Times New Roman" w:cs="Times New Roman" w:eastAsia="Times New Roman" w:hAnsi="Times New Roman"/>
          <w:sz w:val="21"/>
          <w:szCs w:val="21"/>
          <w:i w:val="1"/>
          <w:iCs w:val="1"/>
          <w:color w:val="auto"/>
        </w:rPr>
        <w:t xml:space="preserve">pari passu </w:t>
      </w:r>
      <w:r>
        <w:rPr>
          <w:rFonts w:ascii="Times New Roman" w:cs="Times New Roman" w:eastAsia="Times New Roman" w:hAnsi="Times New Roman"/>
          <w:sz w:val="21"/>
          <w:szCs w:val="21"/>
          <w:color w:val="auto"/>
        </w:rPr>
        <w:t>in right of payment with any then-existing Term Loans shall be made on a</w:t>
      </w:r>
      <w:r>
        <w:rPr>
          <w:rFonts w:ascii="Times New Roman" w:cs="Times New Roman" w:eastAsia="Times New Roman" w:hAnsi="Times New Roman"/>
          <w:sz w:val="21"/>
          <w:szCs w:val="21"/>
          <w:i w:val="1"/>
          <w:iCs w:val="1"/>
          <w:color w:val="auto"/>
        </w:rPr>
        <w:t xml:space="preserve"> pro rata </w:t>
      </w:r>
      <w:r>
        <w:rPr>
          <w:rFonts w:ascii="Times New Roman" w:cs="Times New Roman" w:eastAsia="Times New Roman" w:hAnsi="Times New Roman"/>
          <w:sz w:val="21"/>
          <w:szCs w:val="21"/>
          <w:color w:val="auto"/>
        </w:rPr>
        <w:t>basis with such then-existing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Term Loans (and all other then-existing Incremental Term Loans requiring ratable prepayment), except that the Borrower and the Additional Lenders in respect of such Incremental Term Loans shall be permitted, in their sole discretion, to elect to prepay or receive, as applicable, any prepayments on a less than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(but not on a greater than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w:t>
      </w:r>
    </w:p>
    <w:p>
      <w:pPr>
        <w:spacing w:after="0" w:line="164" w:lineRule="exact"/>
        <w:rPr>
          <w:rFonts w:ascii="Times New Roman" w:cs="Times New Roman" w:eastAsia="Times New Roman" w:hAnsi="Times New Roman"/>
          <w:sz w:val="21"/>
          <w:szCs w:val="21"/>
          <w:color w:val="auto"/>
        </w:rPr>
      </w:pPr>
    </w:p>
    <w:p>
      <w:pPr>
        <w:ind w:left="4" w:right="120" w:firstLine="645"/>
        <w:spacing w:after="0" w:line="251" w:lineRule="auto"/>
        <w:tabs>
          <w:tab w:leader="none" w:pos="110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a certificate of a financial officer certifying to the effect set forth in subclauses (A) and (B) above, together with reasonably detailed calculations demonstrating compliance with subclause (B) above (which calculations shall, if made as of the last day of any fiscal quarter of the Borrower for which the Borrower has not delivered to the Administrative Agent the financial statements and Compliance Certificate required to be delivered by Section 6.1(e), be accompanied by a reasonably detailed calculation of Consolidated Adjusted EBITDA and Interest Expense for the relevant period),</w:t>
      </w:r>
    </w:p>
    <w:p>
      <w:pPr>
        <w:spacing w:after="0" w:line="181" w:lineRule="exact"/>
        <w:rPr>
          <w:rFonts w:ascii="Times New Roman" w:cs="Times New Roman" w:eastAsia="Times New Roman" w:hAnsi="Times New Roman"/>
          <w:sz w:val="22"/>
          <w:szCs w:val="22"/>
          <w:color w:val="auto"/>
        </w:rPr>
      </w:pPr>
    </w:p>
    <w:p>
      <w:pPr>
        <w:ind w:left="4" w:right="40" w:firstLine="645"/>
        <w:spacing w:after="0" w:line="284" w:lineRule="auto"/>
        <w:tabs>
          <w:tab w:leader="none" w:pos="116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or other payments owing pursuant to Section 10.13 or as otherwise agreed in writing in respect of such Commitment Increase to the Administrative Agent and the Additional Lenders shall have been paid, and</w:t>
      </w:r>
    </w:p>
    <w:p>
      <w:pPr>
        <w:spacing w:after="0" w:line="144" w:lineRule="exact"/>
        <w:rPr>
          <w:rFonts w:ascii="Times New Roman" w:cs="Times New Roman" w:eastAsia="Times New Roman" w:hAnsi="Times New Roman"/>
          <w:sz w:val="22"/>
          <w:szCs w:val="22"/>
          <w:color w:val="auto"/>
        </w:rPr>
      </w:pPr>
    </w:p>
    <w:p>
      <w:pPr>
        <w:ind w:left="4" w:firstLine="645"/>
        <w:spacing w:after="0" w:line="249" w:lineRule="auto"/>
        <w:tabs>
          <w:tab w:leader="none" w:pos="113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other terms and conditions (excluding those referenced in clauses (A) through (M)) of such Incremental Facility shall be substantially identical to, or (taken as a whole) not materially more favorable (as reasonably determined by the Borrower) to the lenders providing such Incremental Facility than those applicable to the Term Loans (except for covenants or other provisions applicable only to periods after the latest final maturity date other than existing Term Loans or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the terms of any Incremental Term Loans are not substantially identical to the terms applicable to the relevant Term Facility (except with respect to pricing and fees and to the extent permitted by the foregoing clauses above and other than any terms which are applicable only after the then-existing maturity date with respect to the relevant Term Facility), such terms shall be reasonably satisfactory to the Administrative Agent.</w:t>
      </w:r>
    </w:p>
    <w:p>
      <w:pPr>
        <w:spacing w:after="0" w:line="182" w:lineRule="exact"/>
        <w:rPr>
          <w:rFonts w:ascii="Times New Roman" w:cs="Times New Roman" w:eastAsia="Times New Roman" w:hAnsi="Times New Roman"/>
          <w:sz w:val="22"/>
          <w:szCs w:val="22"/>
          <w:color w:val="auto"/>
        </w:rPr>
      </w:pPr>
    </w:p>
    <w:p>
      <w:pPr>
        <w:ind w:left="-656" w:right="180" w:firstLine="656"/>
        <w:spacing w:after="0" w:line="253" w:lineRule="auto"/>
        <w:tabs>
          <w:tab w:leader="none" w:pos="42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contrary herein, the aggregate principal amount of all Commitment Increases incurred after the Amendment No. 7 Effective Date shall not exceed (i) (A) during a Secured Covenants Period, $1,500.0 million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aggregate principal amount of Incremental Equivalent Debt incurred pursuant to Section 6.14(I)(u) in reliance on this clause (i) of the Incremental Cap) or (B) during an Unsecured Covenants Period, $2,000.0 million (the applicable amount under this clause (i), the “</w:t>
      </w:r>
      <w:r>
        <w:rPr>
          <w:rFonts w:ascii="Times New Roman" w:cs="Times New Roman" w:eastAsia="Times New Roman" w:hAnsi="Times New Roman"/>
          <w:sz w:val="22"/>
          <w:szCs w:val="22"/>
          <w:i w:val="1"/>
          <w:iCs w:val="1"/>
          <w:color w:val="auto"/>
        </w:rPr>
        <w:t>Fixed Dollar Incremental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during</w:t>
      </w:r>
    </w:p>
    <w:p>
      <w:pPr>
        <w:sectPr>
          <w:pgSz w:w="11900" w:h="16838" w:orient="portrait"/>
          <w:cols w:equalWidth="0" w:num="1">
            <w:col w:w="10764"/>
          </w:cols>
          <w:pgMar w:left="896" w:top="625" w:right="239" w:bottom="1440" w:gutter="0" w:footer="0" w:header="0"/>
        </w:sectPr>
      </w:pPr>
    </w:p>
    <w:bookmarkStart w:id="211" w:name="page212"/>
    <w:bookmarkEnd w:id="211"/>
    <w:p>
      <w:pPr>
        <w:spacing w:after="0" w:line="256" w:lineRule="auto"/>
        <w:rPr>
          <w:sz w:val="20"/>
          <w:szCs w:val="20"/>
          <w:color w:val="auto"/>
        </w:rPr>
      </w:pPr>
      <w:r>
        <w:rPr>
          <w:rFonts w:ascii="Times New Roman" w:cs="Times New Roman" w:eastAsia="Times New Roman" w:hAnsi="Times New Roman"/>
          <w:sz w:val="21"/>
          <w:szCs w:val="21"/>
          <w:color w:val="auto"/>
        </w:rPr>
        <w:t>any Secured Covenants Period, an unlimited amount so long as in the case of this clause (ii), the Senior Secured Leverage Ratio does not exceed 2.50:1.00, determined on a Pro Forma Basis after giving effect to such Commitment Increase assuming (x) that all such Indebtedness is secured even if not so secured and (y) in the case of an Incremental Revolving Credit Facility, such Incremental Revolving Credit Facility has been drawn in full and any related transaction as of the last day of the most recently ended period of four consecutive fiscal quarters for which financial statements have been or were required to be delivered pursuant to Section 6.1(a) or (b) (such amount under this clause (ii), the “</w:t>
      </w:r>
      <w:r>
        <w:rPr>
          <w:rFonts w:ascii="Times New Roman" w:cs="Times New Roman" w:eastAsia="Times New Roman" w:hAnsi="Times New Roman"/>
          <w:sz w:val="21"/>
          <w:szCs w:val="21"/>
          <w:i w:val="1"/>
          <w:iCs w:val="1"/>
          <w:color w:val="auto"/>
        </w:rPr>
        <w:t>Ratio-Based Incremental 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incurred in connection with an Acquisition, at the Borrower’s election, the Borrower’s compliance on a Pro Forma Basis with the Senior Secured Leverage Ratio under this clause (ii) may be determined at the time of the signing of any acquisition agreement with respect thereto or at the time of the closing of such acquisition;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if the Borrower has made the election to measure such compliance on the date of the signing of an acquisition agreement, in connection with the calculation of any ratio with respect to the incurrence of Indebtedness or Liens, or the making of investments, Distributions, Restricted Debt Payments, asset sales, fundamental changes or the designation of an Unrestricted Subsidiary on or following such date and until the earlier of the date on which such Acquisition is consummated or the definitive agreement for such Acquisition is terminated or expires (but not for the purposes of calculating any financial covenant), such ratio shall be calculated on a Pro Forma Basis assuming such Acquisition and any other Specified Transactions in connection therewith (including the incurrence of Indebtedness) have been consummated;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(x) any Incremental Facility may be incurred under either clause (i) or clause (ii) as selected by the Borrower in its sole discretion, including by designating any portion of any Incremental Facility in excess of an amount permitted to be incurred under clause (ii) at the time of such incurrence as incurred under clause (i), and unless the Borrower otherwise elects, any portion of any Commitment Increase that could be established in reliance on this clause (ii) at the time of incurrence shall be deemed to have been incurred in reliance on the Ratio-Based Incremental Amount without reducing the Fixed Dollar Incremental Amount (the total aggregate amount described under clauses (i) and (ii) hereof, the “</w:t>
      </w:r>
      <w:r>
        <w:rPr>
          <w:rFonts w:ascii="Times New Roman" w:cs="Times New Roman" w:eastAsia="Times New Roman" w:hAnsi="Times New Roman"/>
          <w:sz w:val="21"/>
          <w:szCs w:val="21"/>
          <w:i w:val="1"/>
          <w:iCs w:val="1"/>
          <w:color w:val="auto"/>
        </w:rPr>
        <w:t>Incremental Cap</w:t>
      </w:r>
      <w:r>
        <w:rPr>
          <w:rFonts w:ascii="Times New Roman" w:cs="Times New Roman" w:eastAsia="Times New Roman" w:hAnsi="Times New Roman"/>
          <w:sz w:val="21"/>
          <w:szCs w:val="21"/>
          <w:color w:val="auto"/>
        </w:rPr>
        <w:t xml:space="preserve">”), (y) the Borrower may redesignate any Incremental Facility originally designated as incurred under clause (i) as having been incurred under clause (ii), so long as at the time of such redesignation, the Borrower would be permitted to incur such Incremental Facility under clause (ii) and (z) upon and following any Secured Covenant Reinstatement Event, the full amount of the Fixed Dollar Incremental Amount may be incurred without reduction for the aggregate principal amount of any Incremental Facilities incurred under the Fixed Dollar Incremental Amount prior to such Secured Covenant Reinstatement Event. Each Commitment Increase shall be in a minimum principal amount of $50.0 million and integral multiples of $1.0 million in excess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amount may be less than $50.0 million if such amount represents all the remaining availability under the aggregate principal amount of Commitment Increases set forth above. No Lender shall be obligated to provide any Commitment Increase unless it so agrees.</w:t>
      </w:r>
    </w:p>
    <w:p>
      <w:pPr>
        <w:sectPr>
          <w:pgSz w:w="11900" w:h="16838" w:orient="portrait"/>
          <w:cols w:equalWidth="0" w:num="1">
            <w:col w:w="11400"/>
          </w:cols>
          <w:pgMar w:left="240" w:top="625" w:right="259" w:bottom="1440" w:gutter="0" w:footer="0" w:header="0"/>
        </w:sectPr>
      </w:pPr>
    </w:p>
    <w:bookmarkStart w:id="212" w:name="page213"/>
    <w:bookmarkEnd w:id="212"/>
    <w:p>
      <w:pPr>
        <w:ind w:left="-656" w:right="680" w:firstLine="656"/>
        <w:spacing w:after="0" w:line="284" w:lineRule="auto"/>
        <w:tabs>
          <w:tab w:leader="none" w:pos="41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notice from the Borrower pursuant to this Section 2.14 shall set forth the requested amount of the relevant Commitment Increase.</w:t>
      </w:r>
    </w:p>
    <w:p>
      <w:pPr>
        <w:spacing w:after="0" w:line="144" w:lineRule="exact"/>
        <w:rPr>
          <w:rFonts w:ascii="Times New Roman" w:cs="Times New Roman" w:eastAsia="Times New Roman" w:hAnsi="Times New Roman"/>
          <w:sz w:val="22"/>
          <w:szCs w:val="22"/>
          <w:color w:val="auto"/>
        </w:rPr>
      </w:pPr>
    </w:p>
    <w:p>
      <w:pPr>
        <w:ind w:left="-656" w:right="400" w:firstLine="656"/>
        <w:spacing w:after="0" w:line="284" w:lineRule="auto"/>
        <w:tabs>
          <w:tab w:leader="none" w:pos="42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implementation of any Incremental Revolving Credit Facility or Revolving Credit Commitment Increase pursuant to this Section 2.14:</w:t>
      </w:r>
    </w:p>
    <w:p>
      <w:pPr>
        <w:spacing w:after="0" w:line="144" w:lineRule="exact"/>
        <w:rPr>
          <w:rFonts w:ascii="Times New Roman" w:cs="Times New Roman" w:eastAsia="Times New Roman" w:hAnsi="Times New Roman"/>
          <w:sz w:val="22"/>
          <w:szCs w:val="22"/>
          <w:color w:val="auto"/>
        </w:rPr>
      </w:pPr>
    </w:p>
    <w:p>
      <w:pPr>
        <w:ind w:left="4" w:firstLine="888"/>
        <w:spacing w:after="0" w:line="246" w:lineRule="auto"/>
        <w:tabs>
          <w:tab w:leader="none" w:pos="1279"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Revolving Credit Commitment Increase, (A) each Revolving Lender immediately prior to such increase will automatically and without further act be deemed to have assigned to each relevant Additional Revolving Lender, and each relevant Additional Revolving Lender will automatically and without further act be deemed to have assumed a portion of such Revolving Lender’s Participating Interests such that, after giving effect to each deemed assignment and assumption of participations, all of the Revolving Lenders’ (including each Additional Revolving Lender’s) Participating Interests shall be held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on the basis of their Revolver Percentage (after giving effect to any Revolving Credit Commitment Increase) and (B) the existing Revolving Lenders of the applicable Class shall assign Revolving Loans to certain other Revolving Lenders of such Class (including the Additional Revolving Lenders providing the relevant Revolving Credit Commitment Increase), and such other Revolving Lenders (including the Additional Revolving Lenders providing the relevant Revolving Credit Commitment Increase) shall purchase such Revolving Loans, in each case to the extent necessary so that all of the Revolving Lenders of such Class participate in each outstanding Borrowing of Revolving Loans of such Class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on the basis of their Revolver Percentage (after giving effect to any Revolving Credit Commitment Increase); it being understood and agreed that the minimum borrowing,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borrowing and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payment requirements contained elsewhere in this Agreement shall not apply to the transactions effected pursuant to the immediately preceding sentence; and</w:t>
      </w:r>
    </w:p>
    <w:p>
      <w:pPr>
        <w:spacing w:after="0" w:line="189" w:lineRule="exact"/>
        <w:rPr>
          <w:rFonts w:ascii="Times New Roman" w:cs="Times New Roman" w:eastAsia="Times New Roman" w:hAnsi="Times New Roman"/>
          <w:sz w:val="22"/>
          <w:szCs w:val="22"/>
          <w:color w:val="auto"/>
        </w:rPr>
      </w:pPr>
    </w:p>
    <w:p>
      <w:pPr>
        <w:ind w:left="4" w:right="120" w:firstLine="888"/>
        <w:spacing w:after="0" w:line="247" w:lineRule="auto"/>
        <w:tabs>
          <w:tab w:leader="none" w:pos="1339"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Incremental Revolving Credit Facility, (A) the borrowing and repayment (except for (x) payments of interest and fees at different rates on the existing Revolving Facilities and such Incremental Revolving Credit Facility, (y) repayments required upon the maturity date of the then-existing Revolving Facility and such Incremental Revolving Credit Facility and (z) repayments made in connection with any permanent repayment and termination of commitments (subject to clause (C) below)) of Incremental Revolving Loans after the effective date of such Incremental Revolving Credit Facility shall be made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with the then-existing Revolving Facility and any other then outstanding Incremental Revolving Credit Facility, (B) all letters of credit made or issued, as applicable, under such Incremental Revolving Credit Facility shall be participated in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by all Revolving Lenders under such Incremental Revolving Credit Facility and (C) the permanent repayment of Loans with respect to, and termination of commitments under, such Incremental Revolving Credit Facility shall be made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with the then-existing Revolving Facility and</w:t>
      </w:r>
    </w:p>
    <w:p>
      <w:pPr>
        <w:sectPr>
          <w:pgSz w:w="11900" w:h="16838" w:orient="portrait"/>
          <w:cols w:equalWidth="0" w:num="1">
            <w:col w:w="10744"/>
          </w:cols>
          <w:pgMar w:left="896" w:top="626" w:right="259" w:bottom="1440" w:gutter="0" w:footer="0" w:header="0"/>
        </w:sectPr>
      </w:pPr>
    </w:p>
    <w:bookmarkStart w:id="213" w:name="page214"/>
    <w:bookmarkEnd w:id="213"/>
    <w:p>
      <w:pPr>
        <w:ind w:left="4" w:right="320"/>
        <w:spacing w:after="0" w:line="257" w:lineRule="auto"/>
        <w:rPr>
          <w:sz w:val="20"/>
          <w:szCs w:val="20"/>
          <w:color w:val="auto"/>
        </w:rPr>
      </w:pPr>
      <w:r>
        <w:rPr>
          <w:rFonts w:ascii="Times New Roman" w:cs="Times New Roman" w:eastAsia="Times New Roman" w:hAnsi="Times New Roman"/>
          <w:sz w:val="22"/>
          <w:szCs w:val="22"/>
          <w:color w:val="auto"/>
        </w:rPr>
        <w:t xml:space="preserve">any other then-outstanding Incremental Revolving Credit Facility, except that the Borrower shall be permitted to permanently repay and terminate commitments under any revolving facility on a greater than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as compared with any other revolving facility with a later maturity date than such revolving facility.</w:t>
      </w:r>
    </w:p>
    <w:p>
      <w:pPr>
        <w:spacing w:after="0" w:line="173" w:lineRule="exact"/>
        <w:rPr>
          <w:sz w:val="20"/>
          <w:szCs w:val="20"/>
          <w:color w:val="auto"/>
        </w:rPr>
      </w:pPr>
    </w:p>
    <w:p>
      <w:pPr>
        <w:ind w:left="-656" w:right="320" w:firstLine="656"/>
        <w:spacing w:after="0" w:line="257" w:lineRule="auto"/>
        <w:tabs>
          <w:tab w:leader="none" w:pos="41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on the date of each Incremental Revolving Credit Facility the maximum amount of Letter of Credit Usage permitted hereunder shall increase by an amount, if any, agreed upon by the Administrative Agent, the L/C Issuers and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Letter of Credit Usage shall not exceed the Revolving Credit Commitment after giving effect to the Incremental Revolving Credit Facility.</w:t>
      </w:r>
    </w:p>
    <w:p>
      <w:pPr>
        <w:spacing w:after="0" w:line="172" w:lineRule="exact"/>
        <w:rPr>
          <w:rFonts w:ascii="Times New Roman" w:cs="Times New Roman" w:eastAsia="Times New Roman" w:hAnsi="Times New Roman"/>
          <w:sz w:val="22"/>
          <w:szCs w:val="22"/>
          <w:color w:val="auto"/>
        </w:rPr>
      </w:pPr>
    </w:p>
    <w:p>
      <w:pPr>
        <w:ind w:left="-656" w:firstLine="656"/>
        <w:spacing w:after="0" w:line="257" w:lineRule="auto"/>
        <w:tabs>
          <w:tab w:leader="none" w:pos="38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Incremental Amendment may, subject to Section 2.14(a), without the consent of any other Lenders, effect such amendments to this Agreement and the other Loan Documents as may be necessary, in the reasonable opinion of the Administrative Agent and the Borrower, to effect the provisions of this Section 2.14 (including, in connection with a Revolving Credit Commitment Increase, to reallocate Revolving Exposure on a pro rata basis among the relevant Revolving Lenders).</w:t>
      </w:r>
    </w:p>
    <w:p>
      <w:pPr>
        <w:spacing w:after="0" w:line="168" w:lineRule="exact"/>
        <w:rPr>
          <w:sz w:val="20"/>
          <w:szCs w:val="20"/>
          <w:color w:val="auto"/>
        </w:rPr>
      </w:pPr>
    </w:p>
    <w:p>
      <w:pPr>
        <w:ind w:left="4"/>
        <w:spacing w:after="0"/>
        <w:tabs>
          <w:tab w:leader="none" w:pos="1243"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i w:val="1"/>
          <w:iCs w:val="1"/>
          <w:color w:val="auto"/>
        </w:rPr>
        <w:t>Extensions of Term Loans and Revolving Credit Commitments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656" w:right="60" w:firstLine="656"/>
        <w:spacing w:after="0" w:line="259" w:lineRule="auto"/>
        <w:tabs>
          <w:tab w:leader="none" w:pos="412"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pursuant to one (1) or more offers (each, an “</w:t>
      </w:r>
      <w:r>
        <w:rPr>
          <w:rFonts w:ascii="Times New Roman" w:cs="Times New Roman" w:eastAsia="Times New Roman" w:hAnsi="Times New Roman"/>
          <w:sz w:val="21"/>
          <w:szCs w:val="21"/>
          <w:i w:val="1"/>
          <w:iCs w:val="1"/>
          <w:color w:val="auto"/>
        </w:rPr>
        <w:t>Extension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Offer</w:t>
      </w:r>
      <w:r>
        <w:rPr>
          <w:rFonts w:ascii="Times New Roman" w:cs="Times New Roman" w:eastAsia="Times New Roman" w:hAnsi="Times New Roman"/>
          <w:sz w:val="21"/>
          <w:szCs w:val="21"/>
          <w:color w:val="auto"/>
        </w:rPr>
        <w:t>”) made from time to time by the Borrower after the Escrow Release Date to all Lenders holding Term A-1 Loans or U.S.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Term B-4 Loans, as applicable, with a like maturity date or Revolving Credit Commitments with a like maturity date, in each case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(based on the aggregate outstanding principal amount of the respective Term Loans or Revolving Credit Commitments with a like maturity date, as the case may be) and on the same terms to each such Lender, the Borrower is hereby permitted to consummate from time to time transactions with individual Lenders that accept the terms contained in such Extension Offers to extend the maturity date of all or a portion of each such Lender’s Term Loans and/or Revolving Credit Commitments and otherwise modify the terms of such Term Loans and/or Revolving Credit Commitments pursuant to the terms of the relevant Extension Offer (including by increasing the interest rate or fees payable in respect of such Term Loans and/or Revolving Credit Commitments (and related outstandings) and/or modifying the amortization schedule in respect of such Term Loans) (each, an “</w:t>
      </w:r>
      <w:r>
        <w:rPr>
          <w:rFonts w:ascii="Times New Roman" w:cs="Times New Roman" w:eastAsia="Times New Roman" w:hAnsi="Times New Roman"/>
          <w:sz w:val="21"/>
          <w:szCs w:val="21"/>
          <w:i w:val="1"/>
          <w:iCs w:val="1"/>
          <w:color w:val="auto"/>
        </w:rPr>
        <w:t>Extension</w:t>
      </w:r>
      <w:r>
        <w:rPr>
          <w:rFonts w:ascii="Times New Roman" w:cs="Times New Roman" w:eastAsia="Times New Roman" w:hAnsi="Times New Roman"/>
          <w:sz w:val="21"/>
          <w:szCs w:val="21"/>
          <w:color w:val="auto"/>
        </w:rPr>
        <w:t>,” and each group of Term Loans or Revolving Credit Commitments, as applicable, in each case as so extended, as well as the original Term Loans and the original Revolving Credit Commitments (in each case not so extended), being a “</w:t>
      </w:r>
      <w:r>
        <w:rPr>
          <w:rFonts w:ascii="Times New Roman" w:cs="Times New Roman" w:eastAsia="Times New Roman" w:hAnsi="Times New Roman"/>
          <w:sz w:val="21"/>
          <w:szCs w:val="21"/>
          <w:i w:val="1"/>
          <w:iCs w:val="1"/>
          <w:color w:val="auto"/>
        </w:rPr>
        <w:t>tranche</w:t>
      </w:r>
      <w:r>
        <w:rPr>
          <w:rFonts w:ascii="Times New Roman" w:cs="Times New Roman" w:eastAsia="Times New Roman" w:hAnsi="Times New Roman"/>
          <w:sz w:val="21"/>
          <w:szCs w:val="21"/>
          <w:color w:val="auto"/>
        </w:rPr>
        <w:t>”; any Extended Term Loans shall constitute a separate tranche of Term Loans from the tranche of Term Loans from which they were converted and any Extended Revolving Credit Commitments shall constitute a separate tranche of Revolving Credit Commitments from the tranche of Revolving Credit Commitments from which they were converted), so long as the following terms are satisfied:</w:t>
      </w:r>
    </w:p>
    <w:p>
      <w:pPr>
        <w:sectPr>
          <w:pgSz w:w="11900" w:h="16838" w:orient="portrait"/>
          <w:cols w:equalWidth="0" w:num="1">
            <w:col w:w="10744"/>
          </w:cols>
          <w:pgMar w:left="896" w:top="625" w:right="259" w:bottom="1440" w:gutter="0" w:footer="0" w:header="0"/>
        </w:sectPr>
      </w:pPr>
    </w:p>
    <w:bookmarkStart w:id="214" w:name="page215"/>
    <w:bookmarkEnd w:id="214"/>
    <w:p>
      <w:pPr>
        <w:ind w:left="-540" w:right="320" w:firstLine="888"/>
        <w:spacing w:after="0" w:line="284" w:lineRule="auto"/>
        <w:tabs>
          <w:tab w:leader="none" w:pos="73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at the time the offering document in respect of an Extension Offer is delivered to the Lenders;</w:t>
      </w:r>
    </w:p>
    <w:p>
      <w:pPr>
        <w:spacing w:after="0" w:line="144" w:lineRule="exact"/>
        <w:rPr>
          <w:rFonts w:ascii="Times New Roman" w:cs="Times New Roman" w:eastAsia="Times New Roman" w:hAnsi="Times New Roman"/>
          <w:sz w:val="22"/>
          <w:szCs w:val="22"/>
          <w:color w:val="auto"/>
        </w:rPr>
      </w:pPr>
    </w:p>
    <w:p>
      <w:pPr>
        <w:ind w:left="-540" w:firstLine="888"/>
        <w:spacing w:after="0" w:line="245" w:lineRule="auto"/>
        <w:tabs>
          <w:tab w:leader="none" w:pos="79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interest rates, fees and final maturity (which shall be determined by the Borrower and set forth in the relevant Extension Offer), the Revolving Credit Commitment of any Lender that agrees to an extension with respect to such Revolving Credit Commitment extended pursuant to an Extension (an “</w:t>
      </w:r>
      <w:r>
        <w:rPr>
          <w:rFonts w:ascii="Times New Roman" w:cs="Times New Roman" w:eastAsia="Times New Roman" w:hAnsi="Times New Roman"/>
          <w:sz w:val="22"/>
          <w:szCs w:val="22"/>
          <w:i w:val="1"/>
          <w:iCs w:val="1"/>
          <w:color w:val="auto"/>
        </w:rPr>
        <w:t>Extended Revolving Credit Commitment</w:t>
      </w:r>
      <w:r>
        <w:rPr>
          <w:rFonts w:ascii="Times New Roman" w:cs="Times New Roman" w:eastAsia="Times New Roman" w:hAnsi="Times New Roman"/>
          <w:sz w:val="22"/>
          <w:szCs w:val="22"/>
          <w:color w:val="auto"/>
        </w:rPr>
        <w:t>”; and the Loans thereunder, “</w:t>
      </w:r>
      <w:r>
        <w:rPr>
          <w:rFonts w:ascii="Times New Roman" w:cs="Times New Roman" w:eastAsia="Times New Roman" w:hAnsi="Times New Roman"/>
          <w:sz w:val="22"/>
          <w:szCs w:val="22"/>
          <w:i w:val="1"/>
          <w:iCs w:val="1"/>
          <w:color w:val="auto"/>
        </w:rPr>
        <w:t>Extended Revolving Loans</w:t>
      </w:r>
      <w:r>
        <w:rPr>
          <w:rFonts w:ascii="Times New Roman" w:cs="Times New Roman" w:eastAsia="Times New Roman" w:hAnsi="Times New Roman"/>
          <w:sz w:val="22"/>
          <w:szCs w:val="22"/>
          <w:color w:val="auto"/>
        </w:rPr>
        <w:t xml:space="preserve">”), and the related outstandings, shall be a Revolving Credit Commitment (or related outstandings, as the case may be) with the same terms (or terms not less favorable to existing Lenders) as the original Revolving Credit Commitments (and related outstandings);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(x) subject to the provisions of Section 2.3(k) to the extent dealing with Letters of Credit which mature or expire after a maturity date when there exist Extended Revolving Credit Commitments with a longer maturity date, all Letters of Credit shall be participated in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by all Lenders with Extended Revolving Credit Commitments in accordance with their Revolver Percentages (and except as provided in Section 2.3(k), without giving effect to changes thereto on an earlier maturity date with respect to Letters of Credit theretofore incurred or issued), (y) all borrowings and repayments (except for (A) payments of interest and fees at different rates on Extended Revolving Credit Commitments (and related outstandings), (B) repayments required upon the maturity date of the non-extending Revolving Credit Commitments and (C) repayments made in connection with a permanent repayment and reduction or termination of commitments) of Extended Revolving Loans after the applicable Extension date shall be made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with all other Revolving Credit Commitments and (z) at no time shall there be Revolving Credit Commitments hereunder (including Extended Revolving Credit Commitments, any commitments with respect to any Incremental Revolving Credit Facility and any original Revolving Credit Commitments) that have more than three (3) different maturity dates;</w:t>
      </w:r>
    </w:p>
    <w:p>
      <w:pPr>
        <w:spacing w:after="0" w:line="199" w:lineRule="exact"/>
        <w:rPr>
          <w:rFonts w:ascii="Times New Roman" w:cs="Times New Roman" w:eastAsia="Times New Roman" w:hAnsi="Times New Roman"/>
          <w:sz w:val="22"/>
          <w:szCs w:val="22"/>
          <w:color w:val="auto"/>
        </w:rPr>
      </w:pPr>
    </w:p>
    <w:p>
      <w:pPr>
        <w:ind w:left="-540" w:firstLine="888"/>
        <w:spacing w:after="0" w:line="251" w:lineRule="auto"/>
        <w:tabs>
          <w:tab w:leader="none" w:pos="85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interest rates, fees, amortization, final maturity date, premium, required prepayment dates and participation in prepayments (which shall, subject to immediately succeeding clauses (iv), (v) and (vi), be determined by the Borrower and set forth in the relevant Extension Offer), the Term Loans of any Lender that agrees to an extension with respect to such Term Loans extended pursuant to any Extension (any such extended Term Loans, “</w:t>
      </w:r>
      <w:r>
        <w:rPr>
          <w:rFonts w:ascii="Times New Roman" w:cs="Times New Roman" w:eastAsia="Times New Roman" w:hAnsi="Times New Roman"/>
          <w:sz w:val="22"/>
          <w:szCs w:val="22"/>
          <w:i w:val="1"/>
          <w:iCs w:val="1"/>
          <w:color w:val="auto"/>
        </w:rPr>
        <w:t>Extended Term Loans</w:t>
      </w:r>
      <w:r>
        <w:rPr>
          <w:rFonts w:ascii="Times New Roman" w:cs="Times New Roman" w:eastAsia="Times New Roman" w:hAnsi="Times New Roman"/>
          <w:sz w:val="22"/>
          <w:szCs w:val="22"/>
          <w:color w:val="auto"/>
        </w:rPr>
        <w:t>”) shall have the same terms as the tranche of Term Loans subject to such Extension Offer until the maturity of such Term Loans;</w:t>
      </w:r>
    </w:p>
    <w:p>
      <w:pPr>
        <w:spacing w:after="0" w:line="181" w:lineRule="exact"/>
        <w:rPr>
          <w:rFonts w:ascii="Times New Roman" w:cs="Times New Roman" w:eastAsia="Times New Roman" w:hAnsi="Times New Roman"/>
          <w:sz w:val="22"/>
          <w:szCs w:val="22"/>
          <w:color w:val="auto"/>
        </w:rPr>
      </w:pPr>
    </w:p>
    <w:p>
      <w:pPr>
        <w:ind w:left="-540" w:right="760" w:firstLine="888"/>
        <w:spacing w:after="0" w:line="263" w:lineRule="auto"/>
        <w:tabs>
          <w:tab w:leader="none" w:pos="84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final maturity date of any Extended Term A Loans shall be no earlier than the Term A-1 Termination Date and (B) the final maturity date of any Extended Term B Loans shall be no earlier than the Term B Termination Date;</w:t>
      </w:r>
    </w:p>
    <w:p>
      <w:pPr>
        <w:sectPr>
          <w:pgSz w:w="11900" w:h="16838" w:orient="portrait"/>
          <w:cols w:equalWidth="0" w:num="1">
            <w:col w:w="10200"/>
          </w:cols>
          <w:pgMar w:left="1440" w:top="625" w:right="259" w:bottom="1440" w:gutter="0" w:footer="0" w:header="0"/>
        </w:sectPr>
      </w:pPr>
    </w:p>
    <w:bookmarkStart w:id="215" w:name="page216"/>
    <w:bookmarkEnd w:id="215"/>
    <w:p>
      <w:pPr>
        <w:ind w:left="4" w:right="40" w:firstLine="888"/>
        <w:spacing w:after="0" w:line="257" w:lineRule="auto"/>
        <w:tabs>
          <w:tab w:leader="none" w:pos="1327"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Weighted Average Life to Maturity of any Extended Term A Loans shall be no shorter than the remaining Weighted Average Life to Maturity of the Term A-1 Loans extended thereby and (B) the Weighted Average Life to Maturity of any Extended Term B Loans shall be no shorter than the remaining Weighted Average Life to Maturity of the Term B Loans extended thereby;</w:t>
      </w:r>
    </w:p>
    <w:p>
      <w:pPr>
        <w:spacing w:after="0" w:line="168" w:lineRule="exact"/>
        <w:rPr>
          <w:rFonts w:ascii="Times New Roman" w:cs="Times New Roman" w:eastAsia="Times New Roman" w:hAnsi="Times New Roman"/>
          <w:sz w:val="22"/>
          <w:szCs w:val="22"/>
          <w:color w:val="auto"/>
        </w:rPr>
      </w:pPr>
    </w:p>
    <w:p>
      <w:pPr>
        <w:jc w:val="both"/>
        <w:ind w:left="4" w:right="140" w:firstLine="888"/>
        <w:spacing w:after="0" w:line="265" w:lineRule="auto"/>
        <w:tabs>
          <w:tab w:leader="none" w:pos="1387"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Extended Term Loans may participate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or a less than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(but not greater than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any voluntary or mandatory repayments or prepayments in respect of the applicable Term Facility, in each case as specified in the respective Extension Offer;</w:t>
      </w:r>
    </w:p>
    <w:p>
      <w:pPr>
        <w:spacing w:after="0" w:line="165" w:lineRule="exact"/>
        <w:rPr>
          <w:rFonts w:ascii="Times New Roman" w:cs="Times New Roman" w:eastAsia="Times New Roman" w:hAnsi="Times New Roman"/>
          <w:sz w:val="22"/>
          <w:szCs w:val="22"/>
          <w:color w:val="auto"/>
        </w:rPr>
      </w:pPr>
    </w:p>
    <w:p>
      <w:pPr>
        <w:ind w:left="4" w:firstLine="888"/>
        <w:spacing w:after="0" w:line="250" w:lineRule="auto"/>
        <w:tabs>
          <w:tab w:leader="none" w:pos="1447"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principal amount of Term Loans (calculated on the face amount thereof) or Revolving Credit Commitments, as the case may be, in respect of which Lenders shall have accepted the relevant Extension Offer shall exceed the maximum aggregate principal amount of Term Loans or Revolving Credit Commitments, as the case may be, offered to be extended by the Borrower pursuant to such Extension Offer, then the Term Loans or Revolving Loans, as the case may be, of such Lenders shall be extended ratably up to such maximum amount based on the respective principal amounts (but not to exceed actual holdings of record) with respect to which such Lenders have accepted such Extension Offer;</w:t>
      </w:r>
    </w:p>
    <w:p>
      <w:pPr>
        <w:spacing w:after="0" w:line="181" w:lineRule="exact"/>
        <w:rPr>
          <w:rFonts w:ascii="Times New Roman" w:cs="Times New Roman" w:eastAsia="Times New Roman" w:hAnsi="Times New Roman"/>
          <w:sz w:val="22"/>
          <w:szCs w:val="22"/>
          <w:color w:val="auto"/>
        </w:rPr>
      </w:pPr>
    </w:p>
    <w:p>
      <w:pPr>
        <w:ind w:left="1504" w:hanging="612"/>
        <w:spacing w:after="0"/>
        <w:tabs>
          <w:tab w:leader="none" w:pos="150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Extensions shall be in a minimum amount of $50.0 million;</w:t>
      </w:r>
    </w:p>
    <w:p>
      <w:pPr>
        <w:spacing w:after="0" w:line="233" w:lineRule="exact"/>
        <w:rPr>
          <w:rFonts w:ascii="Times New Roman" w:cs="Times New Roman" w:eastAsia="Times New Roman" w:hAnsi="Times New Roman"/>
          <w:sz w:val="22"/>
          <w:szCs w:val="22"/>
          <w:color w:val="auto"/>
        </w:rPr>
      </w:pPr>
    </w:p>
    <w:p>
      <w:pPr>
        <w:ind w:left="1384" w:hanging="492"/>
        <w:spacing w:after="0"/>
        <w:tabs>
          <w:tab w:leader="none" w:pos="138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Extension Condition shall be satisfied or waived by the Borrower; and</w:t>
      </w:r>
    </w:p>
    <w:p>
      <w:pPr>
        <w:spacing w:after="0" w:line="233" w:lineRule="exact"/>
        <w:rPr>
          <w:rFonts w:ascii="Times New Roman" w:cs="Times New Roman" w:eastAsia="Times New Roman" w:hAnsi="Times New Roman"/>
          <w:sz w:val="22"/>
          <w:szCs w:val="22"/>
          <w:color w:val="auto"/>
        </w:rPr>
      </w:pPr>
    </w:p>
    <w:p>
      <w:pPr>
        <w:ind w:left="1324" w:hanging="432"/>
        <w:spacing w:after="0"/>
        <w:tabs>
          <w:tab w:leader="none" w:pos="132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Extension shall be consistent with the foregoing.</w:t>
      </w:r>
    </w:p>
    <w:p>
      <w:pPr>
        <w:spacing w:after="0" w:line="233" w:lineRule="exact"/>
        <w:rPr>
          <w:rFonts w:ascii="Times New Roman" w:cs="Times New Roman" w:eastAsia="Times New Roman" w:hAnsi="Times New Roman"/>
          <w:sz w:val="22"/>
          <w:szCs w:val="22"/>
          <w:color w:val="auto"/>
        </w:rPr>
      </w:pPr>
    </w:p>
    <w:p>
      <w:pPr>
        <w:ind w:left="-656" w:firstLine="656"/>
        <w:spacing w:after="0" w:line="247" w:lineRule="auto"/>
        <w:tabs>
          <w:tab w:leader="none" w:pos="42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all Extensions consummated by the Borrower pursuant to this Section 2.15, (i) such Extensions shall not constitute voluntary or mandatory payments or prepayments or commitment reductions for purposes of Section 2.8, 2.9, 2.10 or 2.12, (ii) the amortization schedules (insofar as such schedule affects payments due to Lenders participating in the relevant Facility) set forth in Section 2.7 shall be adjusted to give effect to the Extension of the relevant Facility and (iii) except as required by clause (a)(viii) above, no Extension Offer is required to be in any minimum amount or any minimum increment;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may at its election specify as a condition (a “</w:t>
      </w: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to consummating any such Extension that a minimum amount (to be determined and specified in the relevant Extension Offer in the Borrower’s sole discretion and which may be waived by the Borrower) of Term Loans or Revolving Credit Commitments (as applicable) of any or all applicable tranches to be tendered. The Administrative Agent and the Lenders hereby consent to the transactions contemplated by this Section 2.15 (including, for the avoidance of doubt, payment of any</w:t>
      </w:r>
    </w:p>
    <w:p>
      <w:pPr>
        <w:sectPr>
          <w:pgSz w:w="11900" w:h="16838" w:orient="portrait"/>
          <w:cols w:equalWidth="0" w:num="1">
            <w:col w:w="10744"/>
          </w:cols>
          <w:pgMar w:left="896" w:top="625" w:right="259" w:bottom="1440" w:gutter="0" w:footer="0" w:header="0"/>
        </w:sectPr>
      </w:pPr>
    </w:p>
    <w:bookmarkStart w:id="216" w:name="page217"/>
    <w:bookmarkEnd w:id="216"/>
    <w:p>
      <w:pPr>
        <w:jc w:val="both"/>
        <w:spacing w:after="0" w:line="252" w:lineRule="auto"/>
        <w:rPr>
          <w:sz w:val="20"/>
          <w:szCs w:val="20"/>
          <w:color w:val="auto"/>
        </w:rPr>
      </w:pPr>
      <w:r>
        <w:rPr>
          <w:rFonts w:ascii="Times New Roman" w:cs="Times New Roman" w:eastAsia="Times New Roman" w:hAnsi="Times New Roman"/>
          <w:sz w:val="22"/>
          <w:szCs w:val="22"/>
          <w:color w:val="auto"/>
        </w:rPr>
        <w:t>interest, fees or premium in respect of any Extended Term Loans and/or Extended Revolving Credit Commitments on such terms as may be set forth in the relevant Extension Offer) and hereby waive the requirements of any provision of this Agreement (including Section 2.8, 2.9, 2.10 or 2.12) or any other Loan Document that may otherwise prohibit any such Extension or any other transaction contemplated by this Section 2.15.</w:t>
      </w:r>
    </w:p>
    <w:p>
      <w:pPr>
        <w:spacing w:after="0" w:line="180" w:lineRule="exact"/>
        <w:rPr>
          <w:sz w:val="20"/>
          <w:szCs w:val="20"/>
          <w:color w:val="auto"/>
        </w:rPr>
      </w:pPr>
    </w:p>
    <w:p>
      <w:pPr>
        <w:ind w:firstLine="656"/>
        <w:spacing w:after="0" w:line="245" w:lineRule="auto"/>
        <w:tabs>
          <w:tab w:leader="none" w:pos="106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consent of any Lender or the Administrative Agent shall be required to effectuate any Extension, other than (A) the consent of each Lender agreeing to such Extension with respect to one (1) or more of its Term Loans and/or Revolving Credit Commitments (or a portion thereof) and (B) with respect to any Extension of the Revolving Credit Commitments (or a portion thereof), the consent of the L/C Issuers, which consent shall not be unreasonably withheld or delayed. All Extended Term Loans and Extended Revolving Credit Commitments and all obligations in respect thereof shall be Obligations under this Agreement and the other Loan Documents that are secured by the Collateral and guaranteed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all other applicable Obligations under this Agreement and the other Loan Documents. The Lenders hereby irrevocably authorize the Administrative Agent to enter into amendments to this Agreement and the other Loan Documents with the Borrower as may be necessary in order to establish new tranches or sub-tranches in respect of Revolving Credit Commitments or Term Loans so extended and such technical amendments as may be necessary or appropriate in the reasonable opinion of the Administrative Agent and the Borrower in connection with the establishment of such new tranches or sub-tranches, in each case on terms consistent with this Section 2.15. In addition, if so provided in such amendment and with the consent of the L/C Issuers, participants in Letters of Credit expiring on or after the latest maturity date (but in no event later than the date that is five (5) Business Days prior to the Final Revolving Termination Date) in respect of the Revolving Credit Commitments shall be re-allocated from Lenders holding non-extended Revolving Credit Commitments to Lenders holding Extended Revolving Credit Commitments in accordance with the terms of such amendment;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participation interests shall, upon receipt thereof by the relevant Lenders holding Revolving Credit Commitments, be deemed to be participation interests in respect of such Revolving Credit Commitments and the terms of such participation interests (including, without limitation, the commission applicable thereto) shall be adjusted accordingly. Without limiting the foregoing, in connection with any Extensions the respective Loan Parties shall (at their expense) amend (and the Administrative Agent is hereby directed to amend) any mortgage entered into in accordance with Section 4.2 that has a maturity date prior to the later of the Final Maturity Date and the Final Revolving Termination Date so that such maturity date is extended to the later of the Final Maturity Date and the Final Revolving Termination Date (or such later date as may be advised by local counsel to the Administrative Agent).</w:t>
      </w:r>
    </w:p>
    <w:p>
      <w:pPr>
        <w:spacing w:after="0" w:line="191" w:lineRule="exact"/>
        <w:rPr>
          <w:rFonts w:ascii="Times New Roman" w:cs="Times New Roman" w:eastAsia="Times New Roman" w:hAnsi="Times New Roman"/>
          <w:sz w:val="22"/>
          <w:szCs w:val="22"/>
          <w:color w:val="auto"/>
        </w:rPr>
      </w:pPr>
    </w:p>
    <w:p>
      <w:pPr>
        <w:ind w:right="260" w:firstLine="656"/>
        <w:spacing w:after="0" w:line="263" w:lineRule="auto"/>
        <w:tabs>
          <w:tab w:leader="none" w:pos="10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Extension, the Borrower shall provide the Administrative Agent at least ten (10) Business Days’ (or such shorter period as may be agreed by the Administrative Agent) prior written notice thereof, and shall agree to such procedures (including regarding timing, rounding and other adjustments and to ensure reasonable administrative</w:t>
      </w:r>
    </w:p>
    <w:p>
      <w:pPr>
        <w:sectPr>
          <w:pgSz w:w="11900" w:h="16838" w:orient="portrait"/>
          <w:cols w:equalWidth="0" w:num="1">
            <w:col w:w="11400"/>
          </w:cols>
          <w:pgMar w:left="240" w:top="625" w:right="259" w:bottom="1440" w:gutter="0" w:footer="0" w:header="0"/>
        </w:sectPr>
      </w:pPr>
    </w:p>
    <w:bookmarkStart w:id="217" w:name="page218"/>
    <w:bookmarkEnd w:id="217"/>
    <w:p>
      <w:pPr>
        <w:ind w:right="920"/>
        <w:spacing w:after="0" w:line="271" w:lineRule="auto"/>
        <w:rPr>
          <w:sz w:val="20"/>
          <w:szCs w:val="20"/>
          <w:color w:val="auto"/>
        </w:rPr>
      </w:pPr>
      <w:r>
        <w:rPr>
          <w:rFonts w:ascii="Times New Roman" w:cs="Times New Roman" w:eastAsia="Times New Roman" w:hAnsi="Times New Roman"/>
          <w:sz w:val="22"/>
          <w:szCs w:val="22"/>
          <w:color w:val="auto"/>
        </w:rPr>
        <w:t>management of the credit facilities hereunder after such Extension), if any, as may be established by, or acceptable to, the Administrative Agent, in each case acting reasonably to accomplish the purposes of this Section 2.15.</w:t>
      </w:r>
    </w:p>
    <w:p>
      <w:pPr>
        <w:spacing w:after="0" w:line="15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i w:val="1"/>
          <w:iCs w:val="1"/>
          <w:color w:val="auto"/>
        </w:rPr>
        <w:t>Refinancing Facilities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56"/>
        <w:spacing w:after="0" w:line="265" w:lineRule="auto"/>
        <w:tabs>
          <w:tab w:leader="none" w:pos="106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the Borrower may by written notice to the Administrative Agent establish one or more additional tranches of term loans under this Agreement (such loans, “</w:t>
      </w:r>
      <w:r>
        <w:rPr>
          <w:rFonts w:ascii="Times New Roman" w:cs="Times New Roman" w:eastAsia="Times New Roman" w:hAnsi="Times New Roman"/>
          <w:sz w:val="21"/>
          <w:szCs w:val="21"/>
          <w:i w:val="1"/>
          <w:iCs w:val="1"/>
          <w:color w:val="auto"/>
        </w:rPr>
        <w:t>Refinancing Term Loans</w:t>
      </w:r>
      <w:r>
        <w:rPr>
          <w:rFonts w:ascii="Times New Roman" w:cs="Times New Roman" w:eastAsia="Times New Roman" w:hAnsi="Times New Roman"/>
          <w:sz w:val="21"/>
          <w:szCs w:val="21"/>
          <w:color w:val="auto"/>
        </w:rPr>
        <w:t>”), all Net Cash Proceeds of which are used to refinance in whole or in part any Class of Term Loans pursuant to Section 2.8(c)(i). Each such notice shall specify the date (each, a “</w:t>
      </w:r>
      <w:r>
        <w:rPr>
          <w:rFonts w:ascii="Times New Roman" w:cs="Times New Roman" w:eastAsia="Times New Roman" w:hAnsi="Times New Roman"/>
          <w:sz w:val="21"/>
          <w:szCs w:val="21"/>
          <w:i w:val="1"/>
          <w:iCs w:val="1"/>
          <w:color w:val="auto"/>
        </w:rPr>
        <w:t>Refinancing Effective Date</w:t>
      </w:r>
      <w:r>
        <w:rPr>
          <w:rFonts w:ascii="Times New Roman" w:cs="Times New Roman" w:eastAsia="Times New Roman" w:hAnsi="Times New Roman"/>
          <w:sz w:val="21"/>
          <w:szCs w:val="21"/>
          <w:color w:val="auto"/>
        </w:rPr>
        <w:t xml:space="preserve">”) on which the Borrower proposes that the Refinancing Term Loans shall be made, which shall be a date not earlier than five (5) Business Days after the date on which such notice is delivered to the Administrative Agent (or such shorter period agreed to by the Administrative Agent in its sole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69" w:lineRule="exact"/>
        <w:rPr>
          <w:rFonts w:ascii="Times New Roman" w:cs="Times New Roman" w:eastAsia="Times New Roman" w:hAnsi="Times New Roman"/>
          <w:sz w:val="21"/>
          <w:szCs w:val="21"/>
          <w:color w:val="auto"/>
        </w:rPr>
      </w:pPr>
    </w:p>
    <w:p>
      <w:pPr>
        <w:ind w:left="660" w:firstLine="888"/>
        <w:spacing w:after="0" w:line="284" w:lineRule="auto"/>
        <w:tabs>
          <w:tab w:leader="none" w:pos="1935"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and after giving effect to the borrowing of such Refinancing Term Loans on the Refinancing Effective Date each of the conditions set forth in Section 3.1 shall be satisfied;</w:t>
      </w:r>
    </w:p>
    <w:p>
      <w:pPr>
        <w:spacing w:after="0" w:line="144" w:lineRule="exact"/>
        <w:rPr>
          <w:rFonts w:ascii="Times New Roman" w:cs="Times New Roman" w:eastAsia="Times New Roman" w:hAnsi="Times New Roman"/>
          <w:sz w:val="22"/>
          <w:szCs w:val="22"/>
          <w:color w:val="auto"/>
        </w:rPr>
      </w:pPr>
    </w:p>
    <w:p>
      <w:pPr>
        <w:ind w:left="660" w:firstLine="888"/>
        <w:spacing w:after="0" w:line="284" w:lineRule="auto"/>
        <w:tabs>
          <w:tab w:leader="none" w:pos="2117"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maturity date of the Refinancing Term Loans shall be no earlier than the maturity date of the refinanced Term Loans;</w:t>
      </w:r>
    </w:p>
    <w:p>
      <w:pPr>
        <w:spacing w:after="0" w:line="144" w:lineRule="exact"/>
        <w:rPr>
          <w:rFonts w:ascii="Times New Roman" w:cs="Times New Roman" w:eastAsia="Times New Roman" w:hAnsi="Times New Roman"/>
          <w:sz w:val="22"/>
          <w:szCs w:val="22"/>
          <w:color w:val="auto"/>
        </w:rPr>
      </w:pPr>
    </w:p>
    <w:p>
      <w:pPr>
        <w:ind w:left="660" w:right="20" w:firstLine="888"/>
        <w:spacing w:after="0" w:line="284" w:lineRule="auto"/>
        <w:tabs>
          <w:tab w:leader="none" w:pos="209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such Refinancing Term Loans shall be no shorter than the then-remaining Weighted Average Life to Maturity of the refinanced Term Loans;</w:t>
      </w:r>
    </w:p>
    <w:p>
      <w:pPr>
        <w:spacing w:after="0" w:line="144" w:lineRule="exact"/>
        <w:rPr>
          <w:rFonts w:ascii="Times New Roman" w:cs="Times New Roman" w:eastAsia="Times New Roman" w:hAnsi="Times New Roman"/>
          <w:sz w:val="22"/>
          <w:szCs w:val="22"/>
          <w:color w:val="auto"/>
        </w:rPr>
      </w:pPr>
    </w:p>
    <w:p>
      <w:pPr>
        <w:jc w:val="both"/>
        <w:ind w:left="660" w:firstLine="888"/>
        <w:spacing w:after="0" w:line="263" w:lineRule="auto"/>
        <w:tabs>
          <w:tab w:leader="none" w:pos="2097"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principal amount of the Refinancing Term Loans shall not exceed the outstanding principal amount of the refinanced Term Loans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amounts used to pay fees, premiums, costs and expenses (including original issue discount) and accrued interest associated therewith;</w:t>
      </w:r>
    </w:p>
    <w:p>
      <w:pPr>
        <w:spacing w:after="0" w:line="167" w:lineRule="exact"/>
        <w:rPr>
          <w:rFonts w:ascii="Times New Roman" w:cs="Times New Roman" w:eastAsia="Times New Roman" w:hAnsi="Times New Roman"/>
          <w:sz w:val="22"/>
          <w:szCs w:val="22"/>
          <w:color w:val="auto"/>
        </w:rPr>
      </w:pPr>
    </w:p>
    <w:p>
      <w:pPr>
        <w:jc w:val="both"/>
        <w:ind w:left="660" w:firstLine="888"/>
        <w:spacing w:after="0" w:line="248" w:lineRule="auto"/>
        <w:tabs>
          <w:tab w:leader="none" w:pos="2037"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other terms applicable to such Refinancing Term Loans (other than provisions relating to original issue discount, upfront fees, interest rates and any other pricing terms (which original issue discount, upfront fees, interest rates and other pricing terms shall not be subject to the provisions set forth in Section 2.14(a)(H)) and optional prepayment or mandatory prepayment or redemption terms, which shall be as agreed between the Borrower and the Lenders providing such Refinancing Term Loans) shall be substantially similar to, or no less favorable to the Borrower and its Subsidiaries, when taken as a whole, than (as reasonably determined by the Borrower), the terms, taken as a whole, applicable to the Term Loans being refinanced (except to the extent such covenants and other terms apply solely to any period after the latest maturity date applicable to the Term Loans being refinanced unless less favorable terms are added for the benefit of the existing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ectPr>
          <w:pgSz w:w="11900" w:h="16838" w:orient="portrait"/>
          <w:cols w:equalWidth="0" w:num="1">
            <w:col w:w="11420"/>
          </w:cols>
          <w:pgMar w:left="240" w:top="626" w:right="239" w:bottom="1440" w:gutter="0" w:footer="0" w:header="0"/>
        </w:sectPr>
      </w:pPr>
    </w:p>
    <w:bookmarkStart w:id="218" w:name="page219"/>
    <w:bookmarkEnd w:id="218"/>
    <w:p>
      <w:pPr>
        <w:jc w:val="both"/>
        <w:ind w:left="4"/>
        <w:spacing w:after="0" w:line="248" w:lineRule="auto"/>
        <w:rPr>
          <w:sz w:val="20"/>
          <w:szCs w:val="20"/>
          <w:color w:val="auto"/>
        </w:rPr>
      </w:pPr>
      <w:r>
        <w:rPr>
          <w:rFonts w:ascii="Times New Roman" w:cs="Times New Roman" w:eastAsia="Times New Roman" w:hAnsi="Times New Roman"/>
          <w:sz w:val="22"/>
          <w:szCs w:val="22"/>
          <w:color w:val="auto"/>
        </w:rPr>
        <w:t>a certificate of a Responsible Officer of the Borrower delivered to the Administrative Agent for posting to the Lenders at least five (5) Business Days prior to the incurrence of such Refinancing Term Loans, together with a reasonably detailed description of the material terms and conditions of such Indebtedness or drafts of the documentation relating thereto, stating that the Borrower has determined in good faith that such terms and conditions satisfy the requirements in this clause (v) shall be conclusive evidence that such terms and conditions satisfy the requirements in this clause (v) unless the Required Lenders through the Administrative Agent notify the Borrower within such five (5) Business Day period that they disagree with such determination (including a reasonable description of the basis upon which they disagree);</w:t>
      </w:r>
    </w:p>
    <w:p>
      <w:pPr>
        <w:spacing w:after="0" w:line="182" w:lineRule="exact"/>
        <w:rPr>
          <w:sz w:val="20"/>
          <w:szCs w:val="20"/>
          <w:color w:val="auto"/>
        </w:rPr>
      </w:pPr>
    </w:p>
    <w:p>
      <w:pPr>
        <w:ind w:left="4" w:firstLine="888"/>
        <w:spacing w:after="0" w:line="284" w:lineRule="auto"/>
        <w:tabs>
          <w:tab w:leader="none" w:pos="140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Refinancing Term Loans secured by Liens on the Collateral that rank pari passu or junior in right of security to the Term Loans, such Liens will be subject to a customary intercreditor agreement;</w:t>
      </w:r>
    </w:p>
    <w:p>
      <w:pPr>
        <w:spacing w:after="0" w:line="144" w:lineRule="exact"/>
        <w:rPr>
          <w:rFonts w:ascii="Times New Roman" w:cs="Times New Roman" w:eastAsia="Times New Roman" w:hAnsi="Times New Roman"/>
          <w:sz w:val="22"/>
          <w:szCs w:val="22"/>
          <w:color w:val="auto"/>
        </w:rPr>
      </w:pPr>
    </w:p>
    <w:p>
      <w:pPr>
        <w:ind w:left="4" w:firstLine="888"/>
        <w:spacing w:after="0" w:line="284" w:lineRule="auto"/>
        <w:tabs>
          <w:tab w:leader="none" w:pos="1555"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no borrower (other than the Borrower) and no guarantors (other than the Guarantors) in respect of such Refinancing Term Loans; and</w:t>
      </w:r>
    </w:p>
    <w:p>
      <w:pPr>
        <w:spacing w:after="0" w:line="144" w:lineRule="exact"/>
        <w:rPr>
          <w:rFonts w:ascii="Times New Roman" w:cs="Times New Roman" w:eastAsia="Times New Roman" w:hAnsi="Times New Roman"/>
          <w:sz w:val="22"/>
          <w:szCs w:val="22"/>
          <w:color w:val="auto"/>
        </w:rPr>
      </w:pPr>
    </w:p>
    <w:p>
      <w:pPr>
        <w:ind w:left="1504" w:hanging="612"/>
        <w:spacing w:after="0"/>
        <w:tabs>
          <w:tab w:leader="none" w:pos="1504"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Refinancing Term Loans shall not be secured by any assets of the Borrower and its Subsidiaries other than</w:t>
      </w:r>
    </w:p>
    <w:p>
      <w:pPr>
        <w:spacing w:after="0" w:line="41" w:lineRule="exact"/>
        <w:rPr>
          <w:rFonts w:ascii="Times New Roman" w:cs="Times New Roman" w:eastAsia="Times New Roman" w:hAnsi="Times New Roman"/>
          <w:sz w:val="21"/>
          <w:szCs w:val="21"/>
          <w:color w:val="auto"/>
        </w:rPr>
      </w:pPr>
    </w:p>
    <w:p>
      <w:pPr>
        <w:ind w:left="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Collateral.</w:t>
      </w:r>
    </w:p>
    <w:p>
      <w:pPr>
        <w:spacing w:after="0" w:line="207" w:lineRule="exact"/>
        <w:rPr>
          <w:rFonts w:ascii="Times New Roman" w:cs="Times New Roman" w:eastAsia="Times New Roman" w:hAnsi="Times New Roman"/>
          <w:sz w:val="21"/>
          <w:szCs w:val="21"/>
          <w:color w:val="auto"/>
        </w:rPr>
      </w:pPr>
    </w:p>
    <w:p>
      <w:pPr>
        <w:jc w:val="both"/>
        <w:ind w:left="-656" w:firstLine="656"/>
        <w:spacing w:after="0" w:line="250" w:lineRule="auto"/>
        <w:tabs>
          <w:tab w:leader="none" w:pos="49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approach any Lender or any other person that would be an Eligible Assignee to provide all or a portion of the Refinancing Term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any Refinancing Term Loans may, to the extent provided in the applicable Refinancing Amendment governing such Refinancing Term Loans, be designated as an increase in any previously established Class of Term Loans made to the Borrower.</w:t>
      </w:r>
    </w:p>
    <w:p>
      <w:pPr>
        <w:spacing w:after="0" w:line="181" w:lineRule="exact"/>
        <w:rPr>
          <w:rFonts w:ascii="Times New Roman" w:cs="Times New Roman" w:eastAsia="Times New Roman" w:hAnsi="Times New Roman"/>
          <w:sz w:val="22"/>
          <w:szCs w:val="22"/>
          <w:color w:val="auto"/>
        </w:rPr>
      </w:pPr>
    </w:p>
    <w:p>
      <w:pPr>
        <w:jc w:val="both"/>
        <w:ind w:left="-656" w:firstLine="656"/>
        <w:spacing w:after="0" w:line="249" w:lineRule="auto"/>
        <w:tabs>
          <w:tab w:leader="none" w:pos="42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Borrower may by written notice to the Administrative Agent establish one or more additional Facilities (“</w:t>
      </w:r>
      <w:r>
        <w:rPr>
          <w:rFonts w:ascii="Times New Roman" w:cs="Times New Roman" w:eastAsia="Times New Roman" w:hAnsi="Times New Roman"/>
          <w:sz w:val="22"/>
          <w:szCs w:val="22"/>
          <w:i w:val="1"/>
          <w:iCs w:val="1"/>
          <w:color w:val="auto"/>
        </w:rPr>
        <w:t>Replacement Revolving Facilities</w:t>
      </w:r>
      <w:r>
        <w:rPr>
          <w:rFonts w:ascii="Times New Roman" w:cs="Times New Roman" w:eastAsia="Times New Roman" w:hAnsi="Times New Roman"/>
          <w:sz w:val="22"/>
          <w:szCs w:val="22"/>
          <w:color w:val="auto"/>
        </w:rPr>
        <w:t>”) providing for revolving commitments (“</w:t>
      </w:r>
      <w:r>
        <w:rPr>
          <w:rFonts w:ascii="Times New Roman" w:cs="Times New Roman" w:eastAsia="Times New Roman" w:hAnsi="Times New Roman"/>
          <w:sz w:val="22"/>
          <w:szCs w:val="22"/>
          <w:i w:val="1"/>
          <w:iCs w:val="1"/>
          <w:color w:val="auto"/>
        </w:rPr>
        <w:t>Replacement Revolving Credit Commitments</w:t>
      </w:r>
      <w:r>
        <w:rPr>
          <w:rFonts w:ascii="Times New Roman" w:cs="Times New Roman" w:eastAsia="Times New Roman" w:hAnsi="Times New Roman"/>
          <w:sz w:val="22"/>
          <w:szCs w:val="22"/>
          <w:color w:val="auto"/>
        </w:rPr>
        <w:t>” and the revolving loans thereunder, “</w:t>
      </w:r>
      <w:r>
        <w:rPr>
          <w:rFonts w:ascii="Times New Roman" w:cs="Times New Roman" w:eastAsia="Times New Roman" w:hAnsi="Times New Roman"/>
          <w:sz w:val="22"/>
          <w:szCs w:val="22"/>
          <w:i w:val="1"/>
          <w:iCs w:val="1"/>
          <w:color w:val="auto"/>
        </w:rPr>
        <w:t>Replacement Revolving Loans</w:t>
      </w:r>
      <w:r>
        <w:rPr>
          <w:rFonts w:ascii="Times New Roman" w:cs="Times New Roman" w:eastAsia="Times New Roman" w:hAnsi="Times New Roman"/>
          <w:sz w:val="22"/>
          <w:szCs w:val="22"/>
          <w:color w:val="auto"/>
        </w:rPr>
        <w:t>”), which replace in whole or in part any Class of Revolving Credit Commitments under this Agreement. Each such notice shall specify the date (each, a “</w:t>
      </w:r>
      <w:r>
        <w:rPr>
          <w:rFonts w:ascii="Times New Roman" w:cs="Times New Roman" w:eastAsia="Times New Roman" w:hAnsi="Times New Roman"/>
          <w:sz w:val="22"/>
          <w:szCs w:val="22"/>
          <w:i w:val="1"/>
          <w:iCs w:val="1"/>
          <w:color w:val="auto"/>
        </w:rPr>
        <w:t>Replacement Revolving Facility Effective Date</w:t>
      </w:r>
      <w:r>
        <w:rPr>
          <w:rFonts w:ascii="Times New Roman" w:cs="Times New Roman" w:eastAsia="Times New Roman" w:hAnsi="Times New Roman"/>
          <w:sz w:val="22"/>
          <w:szCs w:val="22"/>
          <w:color w:val="auto"/>
        </w:rPr>
        <w:t xml:space="preserve">”) on which the Borrower proposes that the Replacement Revolving Credit Commitments shall become effective, which shall be a date not less than five (5) Business Days after the date on which such notice is delivered to the Administrative Agent (or such shorter period agreed to by the Administrative Agent in its reasonable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ectPr>
          <w:pgSz w:w="11900" w:h="16838" w:orient="portrait"/>
          <w:cols w:equalWidth="0" w:num="1">
            <w:col w:w="10764"/>
          </w:cols>
          <w:pgMar w:left="896" w:top="625" w:right="239" w:bottom="1440" w:gutter="0" w:footer="0" w:header="0"/>
        </w:sectPr>
      </w:pPr>
    </w:p>
    <w:bookmarkStart w:id="219" w:name="page220"/>
    <w:bookmarkEnd w:id="219"/>
    <w:p>
      <w:pPr>
        <w:ind w:left="-540" w:right="20" w:firstLine="888"/>
        <w:spacing w:after="0" w:line="284" w:lineRule="auto"/>
        <w:tabs>
          <w:tab w:leader="none" w:pos="77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and after giving effect to the establishment of such Replacement Revolving Credit Commitments on the Replacement Revolving Facility Effective Date, each of the conditions set forth in Section 3.1 shall be satisfied;</w:t>
      </w:r>
    </w:p>
    <w:p>
      <w:pPr>
        <w:spacing w:after="0" w:line="144" w:lineRule="exact"/>
        <w:rPr>
          <w:rFonts w:ascii="Times New Roman" w:cs="Times New Roman" w:eastAsia="Times New Roman" w:hAnsi="Times New Roman"/>
          <w:sz w:val="22"/>
          <w:szCs w:val="22"/>
          <w:color w:val="auto"/>
        </w:rPr>
      </w:pPr>
    </w:p>
    <w:p>
      <w:pPr>
        <w:jc w:val="both"/>
        <w:ind w:left="-540" w:firstLine="888"/>
        <w:spacing w:after="0" w:line="253" w:lineRule="auto"/>
        <w:tabs>
          <w:tab w:leader="none" w:pos="97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effect to the establishment of any Replacement Revolving Credit Commitments and any concurrent reduction in the aggregate amount of any other Revolving Credit Commitments, the aggregate amount of Revolving Credit Commitments shall not exceed the aggregate amount of the Revolving Credit Commitments outstanding immediately prior to the applicable Replacement Revolving Facility Effective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amounts used to pay fees, premiums, costs and expenses (including original issue discount) and accrued interest associated therewith;</w:t>
      </w:r>
    </w:p>
    <w:p>
      <w:pPr>
        <w:spacing w:after="0" w:line="179" w:lineRule="exact"/>
        <w:rPr>
          <w:rFonts w:ascii="Times New Roman" w:cs="Times New Roman" w:eastAsia="Times New Roman" w:hAnsi="Times New Roman"/>
          <w:sz w:val="22"/>
          <w:szCs w:val="22"/>
          <w:color w:val="auto"/>
        </w:rPr>
      </w:pPr>
    </w:p>
    <w:p>
      <w:pPr>
        <w:jc w:val="both"/>
        <w:ind w:left="-540" w:firstLine="888"/>
        <w:spacing w:after="0" w:line="263" w:lineRule="auto"/>
        <w:tabs>
          <w:tab w:leader="none" w:pos="92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Replacement Revolving Credit Commitments shall have a final maturity date (or require commitment reductions or amortizations) prior to the Revolving Credit Termination Date for the Revolving Credit Commitments being replaced;</w:t>
      </w:r>
    </w:p>
    <w:p>
      <w:pPr>
        <w:spacing w:after="0" w:line="167" w:lineRule="exact"/>
        <w:rPr>
          <w:rFonts w:ascii="Times New Roman" w:cs="Times New Roman" w:eastAsia="Times New Roman" w:hAnsi="Times New Roman"/>
          <w:sz w:val="22"/>
          <w:szCs w:val="22"/>
          <w:color w:val="auto"/>
        </w:rPr>
      </w:pPr>
    </w:p>
    <w:p>
      <w:pPr>
        <w:jc w:val="both"/>
        <w:ind w:left="-540" w:firstLine="888"/>
        <w:spacing w:after="0" w:line="245" w:lineRule="auto"/>
        <w:tabs>
          <w:tab w:leader="none" w:pos="84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Credit Commitments and (y) the amount of any letter of credit sublimit and swingline commitment under such Replacement Revolving Facility, which shall be as agreed between the Borrower, the Lenders providing such Replacement Revolving Credit Commitments, the Administrative Agent and the replacement issuing bank and replacement swingline lender, if any, under such Replacement Revolving Credit Commitments), when taken as a whole, shall be substantially similar to, or no less favorable to the Borrower and its Subsidiaries than (as reasonably determined by the Borrower), those, taken as a whole, applicable to the Revolving Credit Commitments so replaced (except to the extent such covenants and other terms apply solely to any period after the latest Revolving Credit Termination Date in effect at the time of incurrence or added for the benefit of the existing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certificate of a Responsible Officer of the Borrower delivered to the Administrative Agent for posting to the Lenders at least five (5) Business Days prior to the incurrence of such Replacement Revolving Credit Commitments, together with a reasonably detailed description of the material terms and conditions of such Replacement Revolving Credit Commitments or drafts of the documentation relating thereto, stating that the Borrower has determined in good faith that such terms and conditions satisfy the requirements in this clause (iv) shall be conclusive evidence that such terms and conditions satisfy the requirements in this clause (iv) unless the Required Lenders through the Administrative Agent notify the Borrower within such five (5) Business Day period that they disagree with such determination (including a reasonable description of the basis upon which they disagree);</w:t>
      </w:r>
    </w:p>
    <w:p>
      <w:pPr>
        <w:sectPr>
          <w:pgSz w:w="11900" w:h="16838" w:orient="portrait"/>
          <w:cols w:equalWidth="0" w:num="1">
            <w:col w:w="10220"/>
          </w:cols>
          <w:pgMar w:left="1440" w:top="625" w:right="239" w:bottom="1440" w:gutter="0" w:footer="0" w:header="0"/>
        </w:sectPr>
      </w:pPr>
    </w:p>
    <w:bookmarkStart w:id="220" w:name="page221"/>
    <w:bookmarkEnd w:id="220"/>
    <w:p>
      <w:pPr>
        <w:ind w:left="4" w:firstLine="888"/>
        <w:spacing w:after="0" w:line="284" w:lineRule="auto"/>
        <w:tabs>
          <w:tab w:leader="none" w:pos="1327"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no borrower (other than the Borrower) and no guarantors (other than the Guarantors) in respect of such Replacement Revolving Facility;</w:t>
      </w:r>
    </w:p>
    <w:p>
      <w:pPr>
        <w:spacing w:after="0" w:line="144" w:lineRule="exact"/>
        <w:rPr>
          <w:rFonts w:ascii="Times New Roman" w:cs="Times New Roman" w:eastAsia="Times New Roman" w:hAnsi="Times New Roman"/>
          <w:sz w:val="22"/>
          <w:szCs w:val="22"/>
          <w:color w:val="auto"/>
        </w:rPr>
      </w:pPr>
    </w:p>
    <w:p>
      <w:pPr>
        <w:ind w:left="4" w:firstLine="888"/>
        <w:spacing w:after="0" w:line="284" w:lineRule="auto"/>
        <w:tabs>
          <w:tab w:leader="none" w:pos="1455"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Replacement Revolving Credit Commitments and extensions of credit thereunder shall not be secured by any asset of the Borrower and its Subsidiaries other than the Collateral; and</w:t>
      </w:r>
    </w:p>
    <w:p>
      <w:pPr>
        <w:spacing w:after="0" w:line="144" w:lineRule="exact"/>
        <w:rPr>
          <w:rFonts w:ascii="Times New Roman" w:cs="Times New Roman" w:eastAsia="Times New Roman" w:hAnsi="Times New Roman"/>
          <w:sz w:val="22"/>
          <w:szCs w:val="22"/>
          <w:color w:val="auto"/>
        </w:rPr>
      </w:pPr>
    </w:p>
    <w:p>
      <w:pPr>
        <w:ind w:left="4" w:right="20" w:firstLine="888"/>
        <w:spacing w:after="0" w:line="284" w:lineRule="auto"/>
        <w:tabs>
          <w:tab w:leader="none" w:pos="1461"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Replacement Revolving Facility is secured by Liens on the Collateral that rank pari passu or junior in right of security to the Revolving Loans, such Liens will be subject to a customary intercreditor agreement.</w:t>
      </w:r>
    </w:p>
    <w:p>
      <w:pPr>
        <w:spacing w:after="0" w:line="144" w:lineRule="exact"/>
        <w:rPr>
          <w:rFonts w:ascii="Times New Roman" w:cs="Times New Roman" w:eastAsia="Times New Roman" w:hAnsi="Times New Roman"/>
          <w:sz w:val="22"/>
          <w:szCs w:val="22"/>
          <w:color w:val="auto"/>
        </w:rPr>
      </w:pPr>
    </w:p>
    <w:p>
      <w:pPr>
        <w:jc w:val="both"/>
        <w:ind w:left="-656" w:firstLine="656"/>
        <w:spacing w:after="0" w:line="245" w:lineRule="auto"/>
        <w:tabs>
          <w:tab w:leader="none" w:pos="42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the Borrower may establish Replacement Revolving Credit Commitments to refinance and/or replace all or any portion of a Term Loan hereunder (regardless of whether such Term Loan is repaid with the proceeds of Replacement Revolving Loans or otherwise), so long as the aggregate amount of such Replacement Revolving Credit Commitments does not exceed the aggregate amount of Term Loans repaid at the time of establishment thereof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amounts used to pay fees, premiums, costs and expenses (including original issue discount) and accrued interest associated therewith (it being understood that such Replacement Revolving Credit Commitment may be provided by the Lenders holding the Term Loans being repaid and/or by any other person that would be a permitted assignee hereunder) so long as (i) before and after giving effect to the establishment such Replacement Revolving Credit Commitments on the Replacement Revolving Facility Effective Date each of the conditions set forth in Section 3.1 shall be satisfied to the extent required by the relevant agreement governing such Replacement Revolving Credit Commitments, (ii) the remaining life to termination of such Replacement Revolving Credit Commitments shall be no shorter than the Weighted Average Life to Maturity then applicable to the refinanced Term Loans, (iii) the final termination date of the Replacement Revolving Credit Commitments shall be no earlier than the termination date of the refinanced Term Loans, (iv) with respect to Replacement Revolving Loans secured by Liens on Collateral that rank pari passu or junior in right of security to the Revolving Loans, such Liens will be subject to a customary intercreditor agreement, (v) there shall be no borrower (other than the Borrower) and no guarantors (other than the Guarantors) in respect of such Replacement Revolving Facility; and (vi)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Credit Commitments and (y) the amount of any letter of credit sublimit and swingline commitment under such Replacement Revolving Facility, which shall be as agreed between the Borrower, the Lenders providing such Replacement Revolving Credit Commitments, the Administrative Agent and the replacement issuing bank and replacement swingline lender, if any, under such Replacement Revolving Credit Commitments), when taken as a whole, shall be substantially similar to, or no more restrictive to the Borrower and its Subsidiaries than (as reasonably determined by the Borrower), those applicable to the Term Loans being refinanced (except to the extent such covenants and other terms apply solely to any period after the latest maturity date</w:t>
      </w:r>
    </w:p>
    <w:p>
      <w:pPr>
        <w:sectPr>
          <w:pgSz w:w="11900" w:h="16838" w:orient="portrait"/>
          <w:cols w:equalWidth="0" w:num="1">
            <w:col w:w="10764"/>
          </w:cols>
          <w:pgMar w:left="896" w:top="625" w:right="239" w:bottom="1440" w:gutter="0" w:footer="0" w:header="0"/>
        </w:sectPr>
      </w:pPr>
    </w:p>
    <w:bookmarkStart w:id="221" w:name="page222"/>
    <w:bookmarkEnd w:id="221"/>
    <w:p>
      <w:pPr>
        <w:jc w:val="both"/>
        <w:spacing w:after="0" w:line="263" w:lineRule="auto"/>
        <w:rPr>
          <w:sz w:val="20"/>
          <w:szCs w:val="20"/>
          <w:color w:val="auto"/>
        </w:rPr>
      </w:pPr>
      <w:r>
        <w:rPr>
          <w:rFonts w:ascii="Times New Roman" w:cs="Times New Roman" w:eastAsia="Times New Roman" w:hAnsi="Times New Roman"/>
          <w:sz w:val="21"/>
          <w:szCs w:val="21"/>
          <w:color w:val="auto"/>
        </w:rPr>
        <w:t>applicable to the Term Loans being refinanced or are added for the benefit of the Lenders). Solely to the extent that an L/C Issuer is not a replacement issuing bank under a Replacement Revolving Facility, it is understood and agreed that such L/C Issuer shall not be required to issue any letters of credit under such Replacement Revolving Facility and, to the extent it is necessary for such L/C Issuer to withdraw as an L/C Issuer at the time of the establishment of such Replacement Revolving Facility, such withdrawal shall be on terms and conditions reasonably satisfactory to such L/C Issuer in its sole discretion. The Borrower agrees to reimburse each L/C Issuer in full upon demand, for any reasonable and documented out-of-pocket cost or expense attributable to such withdrawal.</w:t>
      </w:r>
    </w:p>
    <w:p>
      <w:pPr>
        <w:spacing w:after="0" w:line="168" w:lineRule="exact"/>
        <w:rPr>
          <w:sz w:val="20"/>
          <w:szCs w:val="20"/>
          <w:color w:val="auto"/>
        </w:rPr>
      </w:pPr>
    </w:p>
    <w:p>
      <w:pPr>
        <w:jc w:val="both"/>
        <w:ind w:firstLine="656"/>
        <w:spacing w:after="0" w:line="249" w:lineRule="auto"/>
        <w:tabs>
          <w:tab w:leader="none" w:pos="108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approach any Lender or any other person that would be an Eligible Assignee of a Revolving Credit Commitment to provide all or a portion of the Replacement Revolving Credit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Lender offered or approached to provide all or a portion of the Replacement Revolving Credit Commitments may elect or decline, in its sole discretion, to provide a Replacement Revolving Credit Commitment. Any Replacement Revolving Credit Commitment made on any Replacement Revolving Facility Effective Date shall be designated an additional Class of Revolving Credit Commitments for all purposes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Replacement Revolving Credit Commitments may, to the extent provided in the applicable Refinancing Amendment, be designated as an increase in any previously established Class of Revolving Credit Commitments.</w:t>
      </w:r>
    </w:p>
    <w:p>
      <w:pPr>
        <w:spacing w:after="0" w:line="182" w:lineRule="exact"/>
        <w:rPr>
          <w:rFonts w:ascii="Times New Roman" w:cs="Times New Roman" w:eastAsia="Times New Roman" w:hAnsi="Times New Roman"/>
          <w:sz w:val="22"/>
          <w:szCs w:val="22"/>
          <w:color w:val="auto"/>
        </w:rPr>
      </w:pPr>
    </w:p>
    <w:p>
      <w:pPr>
        <w:ind w:right="120" w:firstLine="656"/>
        <w:spacing w:after="0" w:line="258" w:lineRule="auto"/>
        <w:tabs>
          <w:tab w:leader="none" w:pos="1044"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each Lender providing the applicable Refinancing Term Loans and/or Replacement Revolving Credit Commitments (as applicable) shall execute and deliver to the Administrative Agent an amendment to this Agreement (a “</w:t>
      </w:r>
      <w:r>
        <w:rPr>
          <w:rFonts w:ascii="Times New Roman" w:cs="Times New Roman" w:eastAsia="Times New Roman" w:hAnsi="Times New Roman"/>
          <w:sz w:val="21"/>
          <w:szCs w:val="21"/>
          <w:i w:val="1"/>
          <w:iCs w:val="1"/>
          <w:color w:val="auto"/>
        </w:rPr>
        <w:t>Refinancing Amendment</w:t>
      </w:r>
      <w:r>
        <w:rPr>
          <w:rFonts w:ascii="Times New Roman" w:cs="Times New Roman" w:eastAsia="Times New Roman" w:hAnsi="Times New Roman"/>
          <w:sz w:val="21"/>
          <w:szCs w:val="21"/>
          <w:color w:val="auto"/>
        </w:rPr>
        <w:t>”) and such other documentation as the Administrative Agent shall reasonably specify to evidence such Refinancing Term Loans and/or Replacement Revolving Credit Commitments (as applicable). For purposes of this Agreement and the other Loan Documents, (A) if a Lender is providing a Refinancing Term Loan, such Lender will be deemed to have a Term Loan having the terms of such Refinancing Term Loan and (B) if a Lender is providing a Replacement Revolving Credit Commitment, such Lender will be deemed to have a Revolving Credit Commitment having the terms of such Replacement Revolving Credit Commitment. Notwithstanding anything to the contrary set forth in this Agreement or any other Loan Document (including without limitation this Section 2.16), (i) no Refinancing Term Loan or Replacement Revolving Credit Commitment is required to be in any minimum amount or any minimum increment, (ii) there shall be no condition to any incurrence of any Refinancing Term Loan or Replacement Revolving Credit Commitment at any time or from time to time other than those set forth in clauses (a) or (c) above, as applicable, and (iii) all Refinancing Term Loans, Replacement Revolving Credit Commitments and all obligations in respect thereof shall be Obligations under this Agreement and the other Loan Documents that rank equally and ratably in right of security with the Term Loans and other Obligations (other than Incremental Term Loans and Refinancing Term Loans that rank junior in right of security with the Term Loans, and except to the extent any such Refinancing Term Loans are secured by the Collateral on a junior lien basis in accordance with the provisions above).</w:t>
      </w:r>
    </w:p>
    <w:p>
      <w:pPr>
        <w:sectPr>
          <w:pgSz w:w="11900" w:h="16838" w:orient="portrait"/>
          <w:cols w:equalWidth="0" w:num="1">
            <w:col w:w="11420"/>
          </w:cols>
          <w:pgMar w:left="240" w:top="625" w:right="239" w:bottom="1440" w:gutter="0" w:footer="0" w:header="0"/>
        </w:sectPr>
      </w:pPr>
    </w:p>
    <w:bookmarkStart w:id="222" w:name="page223"/>
    <w:bookmarkEnd w:id="222"/>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i w:val="1"/>
          <w:iCs w:val="1"/>
          <w:color w:val="auto"/>
        </w:rPr>
        <w:t>Escrow of Loan Proceeds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360" w:firstLine="656"/>
        <w:spacing w:after="0" w:line="263" w:lineRule="auto"/>
        <w:tabs>
          <w:tab w:leader="none" w:pos="106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Borrower shall enter into the Escrow Agreement, pursuant to which the Borrower will deposit, or will cause to be deposited, the proceeds of the Term B Loans into the Escrow Account. The Borrower shall grant the Collateral Agent, for the benefit of the Secured Parties, a first priority security interest in the Escrow Account Funds.</w:t>
      </w:r>
    </w:p>
    <w:p>
      <w:pPr>
        <w:spacing w:after="0" w:line="167" w:lineRule="exact"/>
        <w:rPr>
          <w:rFonts w:ascii="Times New Roman" w:cs="Times New Roman" w:eastAsia="Times New Roman" w:hAnsi="Times New Roman"/>
          <w:sz w:val="22"/>
          <w:szCs w:val="22"/>
          <w:color w:val="auto"/>
        </w:rPr>
      </w:pPr>
    </w:p>
    <w:p>
      <w:pPr>
        <w:ind w:right="200" w:firstLine="656"/>
        <w:spacing w:after="0" w:line="257" w:lineRule="auto"/>
        <w:tabs>
          <w:tab w:leader="none" w:pos="10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funds held in the Escrow Account will be (i) released to the Borrower or such other Person as the Borrower directs, in accordance with the Escrow Agreement, upon delivery by the Borrower to the Escrow Agent and the Administrative Agent of a certificate of a Responsible Officer certifying that, prior to or substantially concurrently with the release of funds from the Escrow Account, the Escrow Release Conditions have been satisfied or (ii) [reserved].</w:t>
      </w:r>
    </w:p>
    <w:p>
      <w:pPr>
        <w:spacing w:after="0" w:line="172" w:lineRule="exact"/>
        <w:rPr>
          <w:rFonts w:ascii="Times New Roman" w:cs="Times New Roman" w:eastAsia="Times New Roman" w:hAnsi="Times New Roman"/>
          <w:sz w:val="22"/>
          <w:szCs w:val="22"/>
          <w:color w:val="auto"/>
        </w:rPr>
      </w:pPr>
    </w:p>
    <w:p>
      <w:pPr>
        <w:ind w:right="80" w:firstLine="656"/>
        <w:spacing w:after="0" w:line="257" w:lineRule="auto"/>
        <w:tabs>
          <w:tab w:leader="none" w:pos="106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release of the funds held in the Escrow Account pursuant to Section 2.17(b)(i) hereof, all fees and expenses required to be paid hereunder in connection with the occurrence of the Closing Date and the Escrow Release Date, to the extent invoiced in reasonable detail at least three (3) Business Days before the Closing Date (except as otherwise reasonably agreed to by the Borrower), shall be paid in full from the funds in the Escrow Account.</w:t>
      </w:r>
    </w:p>
    <w:p>
      <w:pPr>
        <w:spacing w:after="0" w:line="168" w:lineRule="exact"/>
        <w:rPr>
          <w:sz w:val="20"/>
          <w:szCs w:val="20"/>
          <w:color w:val="auto"/>
        </w:rPr>
      </w:pPr>
    </w:p>
    <w:p>
      <w:pPr>
        <w:ind w:right="20"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i w:val="1"/>
          <w:iCs w:val="1"/>
          <w:color w:val="auto"/>
        </w:rPr>
        <w:t>Defaulting Lenders</w:t>
      </w:r>
      <w:r>
        <w:rPr>
          <w:rFonts w:ascii="Times New Roman" w:cs="Times New Roman" w:eastAsia="Times New Roman" w:hAnsi="Times New Roman"/>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40" w:lineRule="exact"/>
        <w:rPr>
          <w:sz w:val="20"/>
          <w:szCs w:val="20"/>
          <w:color w:val="auto"/>
        </w:rPr>
      </w:pPr>
    </w:p>
    <w:p>
      <w:pPr>
        <w:ind w:left="1080" w:hanging="424"/>
        <w:spacing w:after="0"/>
        <w:tabs>
          <w:tab w:leader="none" w:pos="10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shall cease to accrue for such Defaulting Lender pursuant to Section 2.13.</w:t>
      </w:r>
    </w:p>
    <w:p>
      <w:pPr>
        <w:spacing w:after="0" w:line="233" w:lineRule="exact"/>
        <w:rPr>
          <w:rFonts w:ascii="Times New Roman" w:cs="Times New Roman" w:eastAsia="Times New Roman" w:hAnsi="Times New Roman"/>
          <w:sz w:val="22"/>
          <w:szCs w:val="22"/>
          <w:color w:val="auto"/>
        </w:rPr>
      </w:pPr>
    </w:p>
    <w:p>
      <w:pPr>
        <w:ind w:right="220" w:firstLine="656"/>
        <w:spacing w:after="0" w:line="267" w:lineRule="auto"/>
        <w:tabs>
          <w:tab w:leader="none" w:pos="108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Commitments, Loans and Revolving Exposure of such Defaulting Lender shall not be included in determining whether the Required Lenders, Required RC Lenders or Required RC/TLA Lenders have taken or may take any action hereunder (including any consent to any amendment, waiver or other modification pursuant to Section 10.11);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Section</w:t>
      </w:r>
    </w:p>
    <w:p>
      <w:pPr>
        <w:spacing w:after="0" w:line="1" w:lineRule="exact"/>
        <w:rPr>
          <w:rFonts w:ascii="Times New Roman" w:cs="Times New Roman" w:eastAsia="Times New Roman" w:hAnsi="Times New Roman"/>
          <w:sz w:val="21"/>
          <w:szCs w:val="21"/>
          <w:color w:val="auto"/>
        </w:rPr>
      </w:pPr>
    </w:p>
    <w:p>
      <w:pPr>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2.18(b) shall not apply to the vote of a Defaulting Lender in the case of an amendment, waiver or other modification effecting (i) an increase or extension of such Defaulting Lender’s Revolving Credit Commitment or (ii) the reduction or excuse of principal amount of, or interest or fees payable on, such Defaulting Lender’s Loans or the postponement of the scheduled date of payment of such principal amount, interest or fees to such Defaulting Lender.</w:t>
      </w:r>
    </w:p>
    <w:p>
      <w:pPr>
        <w:spacing w:after="0" w:line="185"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Letters of Credit exist at the time such Lender becomes a Defaulting Lender then:</w:t>
      </w:r>
    </w:p>
    <w:p>
      <w:pPr>
        <w:spacing w:after="0" w:line="233" w:lineRule="exact"/>
        <w:rPr>
          <w:rFonts w:ascii="Times New Roman" w:cs="Times New Roman" w:eastAsia="Times New Roman" w:hAnsi="Times New Roman"/>
          <w:sz w:val="22"/>
          <w:szCs w:val="22"/>
          <w:color w:val="auto"/>
        </w:rPr>
      </w:pPr>
    </w:p>
    <w:p>
      <w:pPr>
        <w:ind w:left="660" w:right="740" w:firstLine="888"/>
        <w:spacing w:after="0" w:line="263" w:lineRule="auto"/>
        <w:tabs>
          <w:tab w:leader="none" w:pos="1935"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Defaulting Lender’s L/C Exposure shall be reallocated among the non-Defaulting Lenders in accordance with their respective Revolver Percentages (but excluding the Revolving Credit Commitments of all the Defaulting Lenders from both the</w:t>
      </w:r>
    </w:p>
    <w:p>
      <w:pPr>
        <w:sectPr>
          <w:pgSz w:w="11900" w:h="16838" w:orient="portrait"/>
          <w:cols w:equalWidth="0" w:num="1">
            <w:col w:w="11400"/>
          </w:cols>
          <w:pgMar w:left="240" w:top="621" w:right="259" w:bottom="1440" w:gutter="0" w:footer="0" w:header="0"/>
        </w:sectPr>
      </w:pPr>
    </w:p>
    <w:bookmarkStart w:id="223" w:name="page224"/>
    <w:bookmarkEnd w:id="223"/>
    <w:p>
      <w:pPr>
        <w:ind w:left="4"/>
        <w:spacing w:after="0" w:line="249" w:lineRule="auto"/>
        <w:rPr>
          <w:sz w:val="20"/>
          <w:szCs w:val="20"/>
          <w:color w:val="auto"/>
        </w:rPr>
      </w:pPr>
      <w:r>
        <w:rPr>
          <w:rFonts w:ascii="Times New Roman" w:cs="Times New Roman" w:eastAsia="Times New Roman" w:hAnsi="Times New Roman"/>
          <w:sz w:val="22"/>
          <w:szCs w:val="22"/>
          <w:color w:val="auto"/>
        </w:rPr>
        <w:t>numerator and the denominator) but only to the extent (x) the sum of all the Revolving Exposure owed to all non-Defaulting Lenders does not exceed the total of all non-Defaulting Lenders’ unused Revolving Credit Commitments, (y) the representations and warranties of each Loan Party set forth in the Loan Documents to which it is a party are true and correct at such time, except to the extent that any such representation and warranty relates to an earlier date (in which case such representation and warranty shall be true and correct as of such earlier date), and (z) no Default shall have occurred and be continuing at such time;</w:t>
      </w:r>
    </w:p>
    <w:p>
      <w:pPr>
        <w:spacing w:after="0" w:line="181" w:lineRule="exact"/>
        <w:rPr>
          <w:sz w:val="20"/>
          <w:szCs w:val="20"/>
          <w:color w:val="auto"/>
        </w:rPr>
      </w:pPr>
    </w:p>
    <w:p>
      <w:pPr>
        <w:ind w:left="4" w:right="60" w:firstLine="888"/>
        <w:spacing w:after="0" w:line="257" w:lineRule="auto"/>
        <w:tabs>
          <w:tab w:leader="none" w:pos="1339"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reallocation described in clause (i) above cannot, or can only partially, be effected, the Borrower shall, within two Business Days following notice by the Administrative Agent, cash collateralize for the benefit of relevant L/C Issuers such Defaulting Lender’s L/C Exposure (after giving effect to any partial reallocation pursuant to clause (i) above) for so long as any Letters of Credit are outstanding;</w:t>
      </w:r>
    </w:p>
    <w:p>
      <w:pPr>
        <w:spacing w:after="0" w:line="172" w:lineRule="exact"/>
        <w:rPr>
          <w:rFonts w:ascii="Times New Roman" w:cs="Times New Roman" w:eastAsia="Times New Roman" w:hAnsi="Times New Roman"/>
          <w:sz w:val="22"/>
          <w:szCs w:val="22"/>
          <w:color w:val="auto"/>
        </w:rPr>
      </w:pPr>
    </w:p>
    <w:p>
      <w:pPr>
        <w:ind w:left="1404" w:hanging="512"/>
        <w:spacing w:after="0"/>
        <w:tabs>
          <w:tab w:leader="none" w:pos="1404"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cash collateralizes any portion of such Defaulting Lender’s L/C Exposure pursuant clause</w:t>
      </w:r>
    </w:p>
    <w:p>
      <w:pPr>
        <w:spacing w:after="0" w:line="29" w:lineRule="exact"/>
        <w:rPr>
          <w:rFonts w:ascii="Times New Roman" w:cs="Times New Roman" w:eastAsia="Times New Roman" w:hAnsi="Times New Roman"/>
          <w:sz w:val="22"/>
          <w:szCs w:val="22"/>
          <w:color w:val="auto"/>
        </w:rPr>
      </w:pPr>
    </w:p>
    <w:p>
      <w:pPr>
        <w:ind w:left="4" w:right="340" w:hanging="4"/>
        <w:spacing w:after="0" w:line="251" w:lineRule="auto"/>
        <w:tabs>
          <w:tab w:leader="none" w:pos="32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 Borrower shall not be required to pay any fees to such Defaulting Lender pursuant to Section 2.13(b) with respect to such Defaulting Lender’s L/C Exposure during the period such Defaulting Lender’s L/C Exposure is cash collateralized by the Borrower;</w:t>
      </w:r>
    </w:p>
    <w:p>
      <w:pPr>
        <w:spacing w:after="0" w:line="179" w:lineRule="exact"/>
        <w:rPr>
          <w:rFonts w:ascii="Times New Roman" w:cs="Times New Roman" w:eastAsia="Times New Roman" w:hAnsi="Times New Roman"/>
          <w:sz w:val="22"/>
          <w:szCs w:val="22"/>
          <w:color w:val="auto"/>
        </w:rPr>
      </w:pPr>
    </w:p>
    <w:p>
      <w:pPr>
        <w:ind w:left="4" w:right="260" w:firstLine="888"/>
        <w:spacing w:after="0" w:line="263" w:lineRule="auto"/>
        <w:tabs>
          <w:tab w:leader="none" w:pos="1387"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L/C Exposures of the non-Defaulting Lenders are reallocated pursuant to clause (i) above, then the fees payable to the Revolving Lenders pursuant to Section 2.13(a) and Section 2.13(b) shall be adjusted to reflect such non-Defaulting Lenders’ L/C Exposure as reallocated; and</w:t>
      </w:r>
    </w:p>
    <w:p>
      <w:pPr>
        <w:spacing w:after="0" w:line="167" w:lineRule="exact"/>
        <w:rPr>
          <w:rFonts w:ascii="Times New Roman" w:cs="Times New Roman" w:eastAsia="Times New Roman" w:hAnsi="Times New Roman"/>
          <w:sz w:val="22"/>
          <w:szCs w:val="22"/>
          <w:color w:val="auto"/>
        </w:rPr>
      </w:pPr>
    </w:p>
    <w:p>
      <w:pPr>
        <w:ind w:left="4" w:right="60" w:firstLine="888"/>
        <w:spacing w:after="0" w:line="257" w:lineRule="auto"/>
        <w:tabs>
          <w:tab w:leader="none" w:pos="1327"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Defaulting Lender’s L/C Exposure is neither cash collateralized nor reallocated pursuant to clauses (i) or (ii) above, then, without prejudice to any rights or remedies of the L/C Issuers or any Revolving Lender hereunder, all letter of credit fees payable under Section 2.13(b) with respect to such Defaulting Lender’s L/C Exposure shall be payable to each applicable L/C Issuer until such L/C Exposure is cash collateralized and/or reallocated.</w:t>
      </w:r>
    </w:p>
    <w:p>
      <w:pPr>
        <w:spacing w:after="0" w:line="172" w:lineRule="exact"/>
        <w:rPr>
          <w:sz w:val="20"/>
          <w:szCs w:val="20"/>
          <w:color w:val="auto"/>
        </w:rPr>
      </w:pPr>
    </w:p>
    <w:p>
      <w:pPr>
        <w:ind w:left="-656" w:right="260" w:firstLine="656"/>
        <w:spacing w:after="0" w:line="268" w:lineRule="auto"/>
        <w:tabs>
          <w:tab w:leader="none" w:pos="424"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such Defaulting Lender is a Defaulting Lender, the L/C Issuers shall not be required to issue, amend or increase any Letter of Credit, unless it is satisfied that the related L/C Exposure will be 100% covered by the unused Revolving Credit Commitments of the non-Defaulting Lenders and/or cash collateral will be provided by the Borrower in accordance with Section 2.18(c)(ii), and the participating interests in any such newly issued or increased Letter of Credit shall be allocated among non-Defaulting Lenders in a manner consistent with Section 2.18(c)(i) (and such Defaulting Lender shall not participate therein).</w:t>
      </w:r>
    </w:p>
    <w:p>
      <w:pPr>
        <w:sectPr>
          <w:pgSz w:w="11900" w:h="16838" w:orient="portrait"/>
          <w:cols w:equalWidth="0" w:num="1">
            <w:col w:w="10764"/>
          </w:cols>
          <w:pgMar w:left="896" w:top="626" w:right="239" w:bottom="1440" w:gutter="0" w:footer="0" w:header="0"/>
        </w:sectPr>
      </w:pPr>
    </w:p>
    <w:bookmarkStart w:id="224" w:name="page225"/>
    <w:bookmarkEnd w:id="224"/>
    <w:p>
      <w:pPr>
        <w:spacing w:after="0" w:line="258" w:lineRule="exact"/>
        <w:rPr>
          <w:sz w:val="20"/>
          <w:szCs w:val="20"/>
          <w:color w:val="auto"/>
        </w:rPr>
      </w:pPr>
      <w:r>
        <w:rPr>
          <w:rFonts w:ascii="Times New Roman" w:cs="Times New Roman" w:eastAsia="Times New Roman" w:hAnsi="Times New Roman"/>
          <w:sz w:val="21"/>
          <w:szCs w:val="21"/>
          <w:color w:val="auto"/>
        </w:rPr>
        <w:t xml:space="preserve">The rights and remedies against a Defaulting Lender under this Agreement are in addition to other rights and remedies that Borrower may have against such Defaulting Lender with respect to any funding default and that the Administrative Agent or any Lender may have against such Defaulting Lender with respect to any funding default. In the event that the Administrative Agent, the Borrower and each applicable L/C Issuer each agrees that a Defaulting Lender has adequately remedied all matters that caused such Lender to be a Defaulting Lender, then the Revolving Exposure shall be readjusted to reflect the inclusion of such Lender’s unused Revolving Credit Commitment and on such date such Lender shall purchase at par such of the Revolving Loans of the other Lenders or take such other actions as the Administrative Agent may determine to be necessary to cause such outstanding Revolving Loans and funded and unfunded participations in Letters of Credit to be held on a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basis by the Revolving Lenders (including such Lender) in accordance with their applicable percentages, whereupon such Lender will cease to be a Defaulting Lender and will be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Defaulting Lender and any applicable cash collateral shall be promptly returned to the Borrower and any L/C Exposure of such Lender reallocated pursuant to the requirements above shall be reallocated back to such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subject to Section 10.26 and except to the extent otherwise expressly agreed by the affected parties, no change hereunder from Defaulting Lender to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Defaulting Lender will constitute a waiver or release of any claim of any party hereunder arising from such Lender’s having been a Defaulting Lender.</w:t>
      </w:r>
    </w:p>
    <w:p>
      <w:pPr>
        <w:spacing w:after="0" w:line="19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ARTICLE 3.</w:t>
      </w:r>
      <w:r>
        <w:rPr>
          <w:sz w:val="20"/>
          <w:szCs w:val="20"/>
          <w:color w:val="auto"/>
        </w:rPr>
        <w:tab/>
      </w:r>
      <w:r>
        <w:rPr>
          <w:rFonts w:ascii="Times New Roman" w:cs="Times New Roman" w:eastAsia="Times New Roman" w:hAnsi="Times New Roman"/>
          <w:sz w:val="21"/>
          <w:szCs w:val="21"/>
          <w:b w:val="1"/>
          <w:bCs w:val="1"/>
          <w:u w:val="single" w:color="auto"/>
          <w:color w:val="auto"/>
        </w:rPr>
        <w:t>CONDITIONS PRECEDENT</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right="26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i w:val="1"/>
          <w:iCs w:val="1"/>
          <w:color w:val="auto"/>
        </w:rPr>
        <w:t>All Credit Extensions</w:t>
      </w:r>
      <w:r>
        <w:rPr>
          <w:rFonts w:ascii="Times New Roman" w:cs="Times New Roman" w:eastAsia="Times New Roman" w:hAnsi="Times New Roman"/>
          <w:sz w:val="18"/>
          <w:szCs w:val="18"/>
          <w:color w:val="auto"/>
        </w:rPr>
        <w:t>. At the time of each Credit Extension made after the Escrow Release Date under the Revolving Facility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hereunder:</w:t>
      </w:r>
    </w:p>
    <w:p>
      <w:pPr>
        <w:spacing w:after="0" w:line="192" w:lineRule="exact"/>
        <w:rPr>
          <w:sz w:val="20"/>
          <w:szCs w:val="20"/>
          <w:color w:val="auto"/>
        </w:rPr>
      </w:pPr>
    </w:p>
    <w:p>
      <w:pPr>
        <w:ind w:left="660" w:firstLine="1293"/>
        <w:spacing w:after="0" w:line="263" w:lineRule="auto"/>
        <w:tabs>
          <w:tab w:leader="none" w:pos="237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set forth herein and in the other Loan Documents shall be and remain true and correct in all material respects (or in all respects, if qualified by a materiality threshold) as of said time, except to the extent the same expressly relate to an earlier date;</w:t>
      </w:r>
    </w:p>
    <w:p>
      <w:pPr>
        <w:spacing w:after="0" w:line="167"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 or would occur as a result of such</w:t>
      </w:r>
    </w:p>
    <w:p>
      <w:pPr>
        <w:spacing w:after="0" w:line="41"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Credit Extension;</w:t>
      </w:r>
    </w:p>
    <w:p>
      <w:pPr>
        <w:spacing w:after="0" w:line="207" w:lineRule="exact"/>
        <w:rPr>
          <w:rFonts w:ascii="Times New Roman" w:cs="Times New Roman" w:eastAsia="Times New Roman" w:hAnsi="Times New Roman"/>
          <w:sz w:val="21"/>
          <w:szCs w:val="21"/>
          <w:color w:val="auto"/>
        </w:rPr>
      </w:pPr>
    </w:p>
    <w:p>
      <w:pPr>
        <w:ind w:left="660" w:right="100" w:firstLine="1293"/>
        <w:spacing w:after="0" w:line="309" w:lineRule="auto"/>
        <w:tabs>
          <w:tab w:leader="none" w:pos="2376"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any requested extension of credit, the aggregate principal amount of all Revolving Loans and L/C Obligations under this Agreement shall not exceed the aggregate Revolving Credit Commitments; and</w:t>
      </w:r>
    </w:p>
    <w:p>
      <w:pPr>
        <w:spacing w:after="0" w:line="120" w:lineRule="exact"/>
        <w:rPr>
          <w:rFonts w:ascii="Times New Roman" w:cs="Times New Roman" w:eastAsia="Times New Roman" w:hAnsi="Times New Roman"/>
          <w:sz w:val="21"/>
          <w:szCs w:val="21"/>
          <w:color w:val="auto"/>
        </w:rPr>
      </w:pPr>
    </w:p>
    <w:p>
      <w:pPr>
        <w:ind w:left="660" w:right="420" w:firstLine="1293"/>
        <w:spacing w:after="0" w:line="263" w:lineRule="auto"/>
        <w:tabs>
          <w:tab w:leader="none" w:pos="238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 the case of a Borrowing, the Administrative Agent shall have received the notice required by Section 2.5 hereof, (ii) in the case of the issuance of any Letter of Credit the applicable L/C Issuer shall have received a duly completed Application, and/or (iii) in the case of an extension or increase in the amount of a Letter</w:t>
      </w:r>
    </w:p>
    <w:p>
      <w:pPr>
        <w:sectPr>
          <w:pgSz w:w="11900" w:h="16838" w:orient="portrait"/>
          <w:cols w:equalWidth="0" w:num="1">
            <w:col w:w="11400"/>
          </w:cols>
          <w:pgMar w:left="240" w:top="625" w:right="259" w:bottom="1440" w:gutter="0" w:footer="0" w:header="0"/>
        </w:sectPr>
      </w:pPr>
    </w:p>
    <w:bookmarkStart w:id="225" w:name="page226"/>
    <w:bookmarkEnd w:id="225"/>
    <w:p>
      <w:pPr>
        <w:ind w:left="660"/>
        <w:spacing w:after="0"/>
        <w:rPr>
          <w:sz w:val="20"/>
          <w:szCs w:val="20"/>
          <w:color w:val="auto"/>
        </w:rPr>
      </w:pPr>
      <w:r>
        <w:rPr>
          <w:rFonts w:ascii="Times New Roman" w:cs="Times New Roman" w:eastAsia="Times New Roman" w:hAnsi="Times New Roman"/>
          <w:sz w:val="22"/>
          <w:szCs w:val="22"/>
          <w:color w:val="auto"/>
        </w:rPr>
        <w:t>of Credit, a written request therefor in a form reasonably acceptable to the applicable L/C Issuer.</w:t>
      </w:r>
    </w:p>
    <w:p>
      <w:pPr>
        <w:spacing w:after="0" w:line="220" w:lineRule="exact"/>
        <w:rPr>
          <w:sz w:val="20"/>
          <w:szCs w:val="20"/>
          <w:color w:val="auto"/>
        </w:rPr>
      </w:pPr>
    </w:p>
    <w:p>
      <w:pPr>
        <w:ind w:right="380" w:firstLine="1297"/>
        <w:spacing w:after="0" w:line="252" w:lineRule="auto"/>
        <w:rPr>
          <w:sz w:val="20"/>
          <w:szCs w:val="20"/>
          <w:color w:val="auto"/>
        </w:rPr>
      </w:pPr>
      <w:r>
        <w:rPr>
          <w:rFonts w:ascii="Times New Roman" w:cs="Times New Roman" w:eastAsia="Times New Roman" w:hAnsi="Times New Roman"/>
          <w:sz w:val="22"/>
          <w:szCs w:val="22"/>
          <w:color w:val="auto"/>
        </w:rPr>
        <w:t>Each request for a Borrowing covered under this Section 3.1 and each request for the issuance of, increase in the amount of, or extension of the expiration date of, a Letter of Credit covered under this Section 3.1 shall be deemed to be a representation and warranty by the Borrower on the date of such Credit Extension as to the facts specified in subsections (a) through (d), both inclusive, of this Section 3.1.</w:t>
      </w:r>
    </w:p>
    <w:p>
      <w:pPr>
        <w:spacing w:after="0" w:line="176" w:lineRule="exact"/>
        <w:rPr>
          <w:sz w:val="20"/>
          <w:szCs w:val="20"/>
          <w:color w:val="auto"/>
        </w:rPr>
      </w:pPr>
    </w:p>
    <w:p>
      <w:pPr>
        <w:jc w:val="both"/>
        <w:ind w:right="8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i w:val="1"/>
          <w:iCs w:val="1"/>
          <w:color w:val="auto"/>
        </w:rPr>
        <w:t>Initial Credit Extensions and Effectiveness on Closing Date</w:t>
      </w:r>
      <w:r>
        <w:rPr>
          <w:rFonts w:ascii="Times New Roman" w:cs="Times New Roman" w:eastAsia="Times New Roman" w:hAnsi="Times New Roman"/>
          <w:sz w:val="18"/>
          <w:szCs w:val="18"/>
          <w:color w:val="auto"/>
        </w:rPr>
        <w:t>. The obligations of each Term B Lender to make their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B Loans on the Closing Date and the effectiveness of the Revolving Credit Commitments and Term A Loan Commitments hereunder are subject solely to the satisfaction or waiver of the following conditions precedent:</w:t>
      </w:r>
    </w:p>
    <w:p>
      <w:pPr>
        <w:spacing w:after="0" w:line="175" w:lineRule="exact"/>
        <w:rPr>
          <w:sz w:val="20"/>
          <w:szCs w:val="20"/>
          <w:color w:val="auto"/>
        </w:rPr>
      </w:pPr>
    </w:p>
    <w:p>
      <w:pPr>
        <w:ind w:left="660" w:right="160" w:firstLine="1293"/>
        <w:spacing w:after="0" w:line="284" w:lineRule="auto"/>
        <w:tabs>
          <w:tab w:leader="none" w:pos="237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each of the following, each of which shall be originals or facsimiles (or delivered by other electronic transmission, including pdf) unless otherwise specified:</w:t>
      </w:r>
    </w:p>
    <w:p>
      <w:pPr>
        <w:spacing w:after="0" w:line="144" w:lineRule="exact"/>
        <w:rPr>
          <w:rFonts w:ascii="Times New Roman" w:cs="Times New Roman" w:eastAsia="Times New Roman" w:hAnsi="Times New Roman"/>
          <w:sz w:val="22"/>
          <w:szCs w:val="22"/>
          <w:color w:val="auto"/>
        </w:rPr>
      </w:pPr>
    </w:p>
    <w:p>
      <w:pPr>
        <w:ind w:left="3020" w:hanging="419"/>
        <w:spacing w:after="0"/>
        <w:tabs>
          <w:tab w:leader="none" w:pos="302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of this Agreement signed on behalf of the Borrower;</w:t>
      </w:r>
    </w:p>
    <w:p>
      <w:pPr>
        <w:spacing w:after="0" w:line="219" w:lineRule="exact"/>
        <w:rPr>
          <w:rFonts w:ascii="Times New Roman" w:cs="Times New Roman" w:eastAsia="Times New Roman" w:hAnsi="Times New Roman"/>
          <w:sz w:val="22"/>
          <w:szCs w:val="22"/>
          <w:color w:val="auto"/>
        </w:rPr>
      </w:pPr>
    </w:p>
    <w:p>
      <w:pPr>
        <w:jc w:val="both"/>
        <w:ind w:left="1300" w:right="120" w:firstLine="1301"/>
        <w:spacing w:after="0" w:line="265" w:lineRule="auto"/>
        <w:tabs>
          <w:tab w:leader="none" w:pos="3077"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copies of the certificate of formation, certificate of incorporation, certificate of organization, operating agreement, articles of incorporation, memorandum and articles of association and bylaws, as applicable (or comparable organizational documents) of the Borrower and each WDC Guarantor and any amendments thereto, certified in each instance by its Director, Secretary, Assistant Secretary or Chief Financial Officer and, with respect to organizational documents filed with a Governmental Authority, by the applicable Governmental Authority;</w:t>
      </w:r>
    </w:p>
    <w:p>
      <w:pPr>
        <w:spacing w:after="0" w:line="165" w:lineRule="exact"/>
        <w:rPr>
          <w:rFonts w:ascii="Times New Roman" w:cs="Times New Roman" w:eastAsia="Times New Roman" w:hAnsi="Times New Roman"/>
          <w:sz w:val="21"/>
          <w:szCs w:val="21"/>
          <w:color w:val="auto"/>
        </w:rPr>
      </w:pPr>
    </w:p>
    <w:p>
      <w:pPr>
        <w:ind w:left="1300" w:right="460" w:firstLine="1301"/>
        <w:spacing w:after="0" w:line="284" w:lineRule="auto"/>
        <w:tabs>
          <w:tab w:leader="none" w:pos="310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B Note executed by the Borrower in favor of each Lender that has requested such a Note at least ten (10) Business Days in advance of the Closing Date;</w:t>
      </w:r>
    </w:p>
    <w:p>
      <w:pPr>
        <w:spacing w:after="0" w:line="144" w:lineRule="exact"/>
        <w:rPr>
          <w:rFonts w:ascii="Times New Roman" w:cs="Times New Roman" w:eastAsia="Times New Roman" w:hAnsi="Times New Roman"/>
          <w:sz w:val="22"/>
          <w:szCs w:val="22"/>
          <w:color w:val="auto"/>
        </w:rPr>
      </w:pPr>
    </w:p>
    <w:p>
      <w:pPr>
        <w:ind w:left="1300" w:firstLine="1301"/>
        <w:spacing w:after="0" w:line="251" w:lineRule="auto"/>
        <w:tabs>
          <w:tab w:leader="none" w:pos="308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resolutions of the board of directors, manager or similar governing body of the Borrower and each WDC Guarantor approving and authorizing the execution, delivery and performance of the Loan Documents to which it is a party, together with specimen signatures of the persons authorized to execute such documents on the Borrower’s and such WDC Guarantor’s behalf, all certified as of the Closing Date in each instance by its Director, Secretary, Assistant Secretary or Chief Financial Officer as being in full force and effect without modification or amendment;</w:t>
      </w:r>
    </w:p>
    <w:p>
      <w:pPr>
        <w:sectPr>
          <w:pgSz w:w="11900" w:h="16838" w:orient="portrait"/>
          <w:cols w:equalWidth="0" w:num="1">
            <w:col w:w="11420"/>
          </w:cols>
          <w:pgMar w:left="240" w:top="625" w:right="239" w:bottom="1440" w:gutter="0" w:footer="0" w:header="0"/>
        </w:sectPr>
      </w:pPr>
    </w:p>
    <w:bookmarkStart w:id="226" w:name="page227"/>
    <w:bookmarkEnd w:id="226"/>
    <w:p>
      <w:pPr>
        <w:ind w:left="644" w:right="300" w:firstLine="1301"/>
        <w:spacing w:after="0" w:line="263" w:lineRule="auto"/>
        <w:tabs>
          <w:tab w:leader="none" w:pos="2372"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certificates of good standing (if available) for the Borrower and each WDC Guarantor from the office of the secretary of state or other appropriate governmental department or agency of the state of its formation, incorporation or organization;</w:t>
      </w:r>
    </w:p>
    <w:p>
      <w:pPr>
        <w:spacing w:after="0" w:line="167" w:lineRule="exact"/>
        <w:rPr>
          <w:rFonts w:ascii="Times New Roman" w:cs="Times New Roman" w:eastAsia="Times New Roman" w:hAnsi="Times New Roman"/>
          <w:sz w:val="22"/>
          <w:szCs w:val="22"/>
          <w:color w:val="auto"/>
        </w:rPr>
      </w:pPr>
    </w:p>
    <w:p>
      <w:pPr>
        <w:ind w:left="2444" w:hanging="499"/>
        <w:spacing w:after="0"/>
        <w:tabs>
          <w:tab w:leader="none" w:pos="2444"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Guaranty, duly executed by each WDC Guarantor;</w:t>
      </w:r>
    </w:p>
    <w:p>
      <w:pPr>
        <w:spacing w:after="0" w:line="233" w:lineRule="exact"/>
        <w:rPr>
          <w:rFonts w:ascii="Times New Roman" w:cs="Times New Roman" w:eastAsia="Times New Roman" w:hAnsi="Times New Roman"/>
          <w:sz w:val="22"/>
          <w:szCs w:val="22"/>
          <w:color w:val="auto"/>
        </w:rPr>
      </w:pPr>
    </w:p>
    <w:p>
      <w:pPr>
        <w:ind w:left="644" w:firstLine="1301"/>
        <w:spacing w:after="0" w:line="257" w:lineRule="auto"/>
        <w:tabs>
          <w:tab w:leader="none" w:pos="2492"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 favorable written opinion (addressed to the Administrative Agent and the Lenders) of Cleary Gottlieb Steen &amp; Hamilton LLP, special counsel to the Borrower and WDC Guarantors and (B) a favorable written opinion (addressed to the Administrative Agent and the Lenders) of Young Conaway Stargatt &amp; Taylor, LLP, local counsel to the Borrower and the WDC Guarantors in the state of Delaware; and</w:t>
      </w:r>
    </w:p>
    <w:p>
      <w:pPr>
        <w:spacing w:after="0" w:line="172" w:lineRule="exact"/>
        <w:rPr>
          <w:rFonts w:ascii="Times New Roman" w:cs="Times New Roman" w:eastAsia="Times New Roman" w:hAnsi="Times New Roman"/>
          <w:sz w:val="22"/>
          <w:szCs w:val="22"/>
          <w:color w:val="auto"/>
        </w:rPr>
      </w:pPr>
    </w:p>
    <w:p>
      <w:pPr>
        <w:ind w:left="644" w:right="360" w:firstLine="1301"/>
        <w:spacing w:after="0" w:line="284" w:lineRule="auto"/>
        <w:tabs>
          <w:tab w:leader="none" w:pos="2552"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Agreement, duly executed by the Borrower, each WDC Guarantor, the Escrow Agent and the Administrative Agent.</w:t>
      </w:r>
    </w:p>
    <w:p>
      <w:pPr>
        <w:spacing w:after="0" w:line="144" w:lineRule="exact"/>
        <w:rPr>
          <w:rFonts w:ascii="Times New Roman" w:cs="Times New Roman" w:eastAsia="Times New Roman" w:hAnsi="Times New Roman"/>
          <w:sz w:val="22"/>
          <w:szCs w:val="22"/>
          <w:color w:val="auto"/>
        </w:rPr>
      </w:pPr>
    </w:p>
    <w:p>
      <w:pPr>
        <w:ind w:left="4" w:right="120" w:firstLine="1293"/>
        <w:spacing w:after="0" w:line="284" w:lineRule="auto"/>
        <w:tabs>
          <w:tab w:leader="none" w:pos="1732"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Specified Representations of the Borrower and the WDC Guarantors shall be true and correct in all material respects on and as of the Closing Date;</w:t>
      </w:r>
    </w:p>
    <w:p>
      <w:pPr>
        <w:spacing w:after="0" w:line="144" w:lineRule="exact"/>
        <w:rPr>
          <w:rFonts w:ascii="Times New Roman" w:cs="Times New Roman" w:eastAsia="Times New Roman" w:hAnsi="Times New Roman"/>
          <w:sz w:val="22"/>
          <w:szCs w:val="22"/>
          <w:color w:val="auto"/>
        </w:rPr>
      </w:pPr>
    </w:p>
    <w:p>
      <w:pPr>
        <w:ind w:left="4" w:right="160" w:firstLine="1293"/>
        <w:spacing w:after="0" w:line="253" w:lineRule="auto"/>
        <w:tabs>
          <w:tab w:leader="none" w:pos="172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no later than 3 Business Days in advance of the Closing Date, all documentation and other information about the Borrower as shall have been reasonably requested in writing at least ten (10) Business Days prior to the Closing Date by the Lenders through the Joint Lead Arrangers that is required by regulatory authorities under applicable “know your customer” and anti-money laundering rules and regulations, including without limitation the Patriot Act;</w:t>
      </w:r>
    </w:p>
    <w:p>
      <w:pPr>
        <w:spacing w:after="0" w:line="179" w:lineRule="exact"/>
        <w:rPr>
          <w:rFonts w:ascii="Times New Roman" w:cs="Times New Roman" w:eastAsia="Times New Roman" w:hAnsi="Times New Roman"/>
          <w:sz w:val="22"/>
          <w:szCs w:val="22"/>
          <w:color w:val="auto"/>
        </w:rPr>
      </w:pPr>
    </w:p>
    <w:p>
      <w:pPr>
        <w:ind w:left="4" w:right="20" w:firstLine="1293"/>
        <w:spacing w:after="0" w:line="259" w:lineRule="auto"/>
        <w:tabs>
          <w:tab w:leader="none" w:pos="1732"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(A)(i) the audited consolidated balance sheets and related audited consolidated statements of income, comprehensive income, cash flows and shareholders’ equity of the Borrower as of and for the fiscal years ended July 3, 2015, June 27, 2014 and June 28, 2013 (and the Administrative Agent acknowledges receipt of such audited financial statements), and (ii) the audited consolidated balance sheets and related audited consolidated statements of operations, comprehensive income, equity and cash flows of the Target as of and for the fiscal years ended January 3, 2016, December 28, 2014 and December 29, 2013 (and the Administrative Agent acknowledges receipt of such audited financial statements, (B) the unaudited consolidated balance sheets and related unaudited statements of income, comprehensive income and cash flows of the Borrower for the fiscal quarters ended October 2, 2015 and January 1, 2016 (and the Administrative Agent acknowledges receipt of such financial statements) and</w:t>
      </w:r>
    </w:p>
    <w:p>
      <w:pPr>
        <w:spacing w:after="0" w:line="1" w:lineRule="exact"/>
        <w:rPr>
          <w:rFonts w:ascii="Times New Roman" w:cs="Times New Roman" w:eastAsia="Times New Roman" w:hAnsi="Times New Roman"/>
          <w:sz w:val="21"/>
          <w:szCs w:val="21"/>
          <w:color w:val="auto"/>
        </w:rPr>
      </w:pPr>
    </w:p>
    <w:p>
      <w:pPr>
        <w:ind w:left="4" w:right="20" w:hanging="4"/>
        <w:spacing w:after="0" w:line="248" w:lineRule="auto"/>
        <w:tabs>
          <w:tab w:leader="none" w:pos="34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 forma consolidated balance sheet of the Borrower and its Subsidiaries (including the Target) as of January 1, 2016 and related pro forma statements of income of the Borrower and its Subsidiaries (including the Target)</w:t>
      </w:r>
    </w:p>
    <w:p>
      <w:pPr>
        <w:sectPr>
          <w:pgSz w:w="11900" w:h="16838" w:orient="portrait"/>
          <w:cols w:equalWidth="0" w:num="1">
            <w:col w:w="10724"/>
          </w:cols>
          <w:pgMar w:left="896" w:top="625" w:right="279" w:bottom="1440" w:gutter="0" w:footer="0" w:header="0"/>
        </w:sectPr>
      </w:pPr>
    </w:p>
    <w:bookmarkStart w:id="227" w:name="page228"/>
    <w:bookmarkEnd w:id="227"/>
    <w:p>
      <w:pPr>
        <w:ind w:left="660" w:right="140"/>
        <w:spacing w:after="0" w:line="261" w:lineRule="auto"/>
        <w:rPr>
          <w:sz w:val="20"/>
          <w:szCs w:val="20"/>
          <w:color w:val="auto"/>
        </w:rPr>
      </w:pPr>
      <w:r>
        <w:rPr>
          <w:rFonts w:ascii="Times New Roman" w:cs="Times New Roman" w:eastAsia="Times New Roman" w:hAnsi="Times New Roman"/>
          <w:sz w:val="21"/>
          <w:szCs w:val="21"/>
          <w:color w:val="auto"/>
        </w:rPr>
        <w:t xml:space="preserve">for the six months ended January 1, 2016 and for the six months ended January 2, 2015, prepared after giving effect to the Schrader Acquisition and the Financing Transactions (as defined in the Senior Notes Offering Memorandum) as if those events had occurred on such date (in the case of such balance sheet) or June 28, 2014, the first day of the Borrower’s fiscal year ended July 3, 2015 (in the case of the statement of income);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each such pro forma financial statement shall be prepared in good faith by the Borrower and (ii) no such pro forma financial statement shall be required to include adjustments for purchase accounting (including adjustments of the type contemplated by Financial Accounting Standards Board Accounting Standards Codification 805, Business Combinations (formerly SFAS 141R));</w:t>
      </w:r>
    </w:p>
    <w:p>
      <w:pPr>
        <w:spacing w:after="0" w:line="174" w:lineRule="exact"/>
        <w:rPr>
          <w:sz w:val="20"/>
          <w:szCs w:val="20"/>
          <w:color w:val="auto"/>
        </w:rPr>
      </w:pPr>
    </w:p>
    <w:p>
      <w:pPr>
        <w:ind w:left="660" w:right="140" w:firstLine="1293"/>
        <w:spacing w:after="0" w:line="253" w:lineRule="auto"/>
        <w:tabs>
          <w:tab w:leader="none" w:pos="237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made arrangements reasonably satisfactory to the Joint Lead Arrangers for the payment of (which amounts may be offset against the proceeds of the Term B Loans) all fees and expenses required to be paid hereunder or under any separate written agreement among the Borrower and the Joint Lead Arrangers to the extent invoiced at least three (3) Business Days prior to the Closing Date (or such later date as the Borrower may reasonably agree);</w:t>
      </w:r>
    </w:p>
    <w:p>
      <w:pPr>
        <w:spacing w:after="0" w:line="179" w:lineRule="exact"/>
        <w:rPr>
          <w:rFonts w:ascii="Times New Roman" w:cs="Times New Roman" w:eastAsia="Times New Roman" w:hAnsi="Times New Roman"/>
          <w:sz w:val="22"/>
          <w:szCs w:val="22"/>
          <w:color w:val="auto"/>
        </w:rPr>
      </w:pPr>
    </w:p>
    <w:p>
      <w:pPr>
        <w:ind w:left="660" w:firstLine="1293"/>
        <w:spacing w:after="0" w:line="263" w:lineRule="auto"/>
        <w:tabs>
          <w:tab w:leader="none" w:pos="235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actions not identified in clause (a) above that are necessary to establish that the Collateral Agent (for the benefit of the Secured Parties) will have a perfected Lien (subject to Permitted Liens) on the Escrow Account Funds shall have been taken; and</w:t>
      </w:r>
    </w:p>
    <w:p>
      <w:pPr>
        <w:spacing w:after="0" w:line="167" w:lineRule="exact"/>
        <w:rPr>
          <w:rFonts w:ascii="Times New Roman" w:cs="Times New Roman" w:eastAsia="Times New Roman" w:hAnsi="Times New Roman"/>
          <w:sz w:val="22"/>
          <w:szCs w:val="22"/>
          <w:color w:val="auto"/>
        </w:rPr>
      </w:pPr>
    </w:p>
    <w:p>
      <w:pPr>
        <w:ind w:left="660" w:right="420" w:firstLine="1293"/>
        <w:spacing w:after="0" w:line="284" w:lineRule="auto"/>
        <w:tabs>
          <w:tab w:leader="none" w:pos="238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Borrowing to be made on the Closing Date, the Administrative Agent shall have received the notice required by Section 2.5.</w:t>
      </w:r>
    </w:p>
    <w:p>
      <w:pPr>
        <w:spacing w:after="0" w:line="144" w:lineRule="exact"/>
        <w:rPr>
          <w:sz w:val="20"/>
          <w:szCs w:val="20"/>
          <w:color w:val="auto"/>
        </w:rPr>
      </w:pPr>
    </w:p>
    <w:p>
      <w:pPr>
        <w:ind w:right="20" w:firstLine="1297"/>
        <w:spacing w:after="0" w:line="248" w:lineRule="auto"/>
        <w:rPr>
          <w:sz w:val="20"/>
          <w:szCs w:val="20"/>
          <w:color w:val="auto"/>
        </w:rPr>
      </w:pPr>
      <w:r>
        <w:rPr>
          <w:rFonts w:ascii="Times New Roman" w:cs="Times New Roman" w:eastAsia="Times New Roman" w:hAnsi="Times New Roman"/>
          <w:sz w:val="22"/>
          <w:szCs w:val="22"/>
          <w:color w:val="auto"/>
        </w:rPr>
        <w:t>For purposes of determining compliance with the conditions specified in this Section 3.2, each Lender that has signed this Agreement shall be deemed to have consented to, approved or accepted or to be satisfied with, each document or other matter required thereunder to be consented to or approved by or acceptable or satisfactory to a Lender unless an officer of the Administrative Agent responsible for the transactions contemplated by this Agreement shall have received notice from such Lender prior to the proposed Closing Date specifying its objection thereto in reasonable detail. The Administrative Agent shall promptly notify the Lenders and the Borrower in writing of the occurrence of the Closing Date and such notification shall be conclusive and binding.</w:t>
      </w:r>
    </w:p>
    <w:p>
      <w:pPr>
        <w:spacing w:after="0" w:line="178" w:lineRule="exact"/>
        <w:rPr>
          <w:sz w:val="20"/>
          <w:szCs w:val="20"/>
          <w:color w:val="auto"/>
        </w:rPr>
      </w:pPr>
    </w:p>
    <w:p>
      <w:pPr>
        <w:ind w:right="20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i w:val="1"/>
          <w:iCs w:val="1"/>
          <w:color w:val="auto"/>
        </w:rPr>
        <w:t>Escrow Release Date</w:t>
      </w:r>
      <w:r>
        <w:rPr>
          <w:rFonts w:ascii="Times New Roman" w:cs="Times New Roman" w:eastAsia="Times New Roman" w:hAnsi="Times New Roman"/>
          <w:sz w:val="18"/>
          <w:szCs w:val="18"/>
          <w:color w:val="auto"/>
        </w:rPr>
        <w:t>. (i) The L/C Issuers, the Term A Lenders and the Revolving Lenders shall not be obligated to make their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respective Credit Extensions on the Escrow Release Date, (ii) the Borrower agrees that it shall not direct the Escrow Agent to release the Escrow Account Funds and (iii) the Escrow Release Date shall not occur, until:</w:t>
      </w:r>
    </w:p>
    <w:p>
      <w:pPr>
        <w:spacing w:after="0" w:line="175" w:lineRule="exact"/>
        <w:rPr>
          <w:sz w:val="20"/>
          <w:szCs w:val="20"/>
          <w:color w:val="auto"/>
        </w:rPr>
      </w:pPr>
    </w:p>
    <w:p>
      <w:pPr>
        <w:ind w:right="260" w:firstLine="1305"/>
        <w:spacing w:after="0" w:line="271" w:lineRule="auto"/>
        <w:tabs>
          <w:tab w:leader="none" w:pos="175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in all respects to the final paragraph of this Section 3.3 and the relevant provisions of Section 6.24 of the Original Loan Agreement, the Administrative Agent</w:t>
      </w:r>
    </w:p>
    <w:p>
      <w:pPr>
        <w:sectPr>
          <w:pgSz w:w="11900" w:h="16838" w:orient="portrait"/>
          <w:cols w:equalWidth="0" w:num="1">
            <w:col w:w="11400"/>
          </w:cols>
          <w:pgMar w:left="240" w:top="625" w:right="259" w:bottom="1440" w:gutter="0" w:footer="0" w:header="0"/>
        </w:sectPr>
      </w:pPr>
    </w:p>
    <w:bookmarkStart w:id="228" w:name="page229"/>
    <w:bookmarkEnd w:id="228"/>
    <w:p>
      <w:pPr>
        <w:ind w:right="900"/>
        <w:spacing w:after="0" w:line="271" w:lineRule="auto"/>
        <w:rPr>
          <w:sz w:val="20"/>
          <w:szCs w:val="20"/>
          <w:color w:val="auto"/>
        </w:rPr>
      </w:pPr>
      <w:r>
        <w:rPr>
          <w:rFonts w:ascii="Times New Roman" w:cs="Times New Roman" w:eastAsia="Times New Roman" w:hAnsi="Times New Roman"/>
          <w:sz w:val="22"/>
          <w:szCs w:val="22"/>
          <w:color w:val="auto"/>
        </w:rPr>
        <w:t>shall have received each of the following, each of which shall be originals or facsimiles (or delivered by other electronic transmission, including pdf) unless otherwise specified:</w:t>
      </w:r>
    </w:p>
    <w:p>
      <w:pPr>
        <w:spacing w:after="0" w:line="158" w:lineRule="exact"/>
        <w:rPr>
          <w:sz w:val="20"/>
          <w:szCs w:val="20"/>
          <w:color w:val="auto"/>
        </w:rPr>
      </w:pPr>
    </w:p>
    <w:p>
      <w:pPr>
        <w:ind w:left="1300" w:firstLine="1301"/>
        <w:spacing w:after="0" w:line="253" w:lineRule="auto"/>
        <w:tabs>
          <w:tab w:leader="none" w:pos="29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certificate of formation, certificate of incorporation, certificate of organization, operating agreement, articles of incorporation, memorandum and articles of association and bylaws, as applicable (or comparable organizational documents) of each Loan Party and any amendments thereto, certified in each instance by its Director, Secretary, Assistant Secretary or Chief Financial Officer and, with respect to organizational documents filed with a Governmental Authority, by the applicable Governmental Authority;</w:t>
      </w:r>
    </w:p>
    <w:p>
      <w:pPr>
        <w:spacing w:after="0" w:line="179" w:lineRule="exact"/>
        <w:rPr>
          <w:rFonts w:ascii="Times New Roman" w:cs="Times New Roman" w:eastAsia="Times New Roman" w:hAnsi="Times New Roman"/>
          <w:sz w:val="22"/>
          <w:szCs w:val="22"/>
          <w:color w:val="auto"/>
        </w:rPr>
      </w:pPr>
    </w:p>
    <w:p>
      <w:pPr>
        <w:ind w:left="1300" w:firstLine="1301"/>
        <w:spacing w:after="0" w:line="268" w:lineRule="auto"/>
        <w:tabs>
          <w:tab w:leader="none" w:pos="304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copies of resolutions of the board of directors, manager or similar governing body of each Loan Party approving and authorizing the execution, delivery and performance of the Loan Documents to which it is a party, together with specimen signatures of the persons authorized to execute such documents on each Loan Party’s behalf, all certified as of the Escrow Release Date in each instance by its Director, Secretary, Assistant Secretary or Chief Financial Officer as being in full force and effect without modification or amendment;</w:t>
      </w:r>
    </w:p>
    <w:p>
      <w:pPr>
        <w:spacing w:after="0" w:line="164" w:lineRule="exact"/>
        <w:rPr>
          <w:rFonts w:ascii="Times New Roman" w:cs="Times New Roman" w:eastAsia="Times New Roman" w:hAnsi="Times New Roman"/>
          <w:sz w:val="21"/>
          <w:szCs w:val="21"/>
          <w:color w:val="auto"/>
        </w:rPr>
      </w:pPr>
    </w:p>
    <w:p>
      <w:pPr>
        <w:ind w:left="1300" w:right="100" w:firstLine="1301"/>
        <w:spacing w:after="0" w:line="263" w:lineRule="auto"/>
        <w:tabs>
          <w:tab w:leader="none" w:pos="31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certificates of good standing (if available) for each Loan Party from the office of the secretary of state or other appropriate governmental department or agency of the state of its formation, incorporation or organization, as applicable;</w:t>
      </w:r>
    </w:p>
    <w:p>
      <w:pPr>
        <w:spacing w:after="0" w:line="167" w:lineRule="exact"/>
        <w:rPr>
          <w:rFonts w:ascii="Times New Roman" w:cs="Times New Roman" w:eastAsia="Times New Roman" w:hAnsi="Times New Roman"/>
          <w:sz w:val="22"/>
          <w:szCs w:val="22"/>
          <w:color w:val="auto"/>
        </w:rPr>
      </w:pPr>
    </w:p>
    <w:p>
      <w:pPr>
        <w:ind w:left="1300" w:right="200" w:firstLine="1301"/>
        <w:spacing w:after="0" w:line="284" w:lineRule="auto"/>
        <w:tabs>
          <w:tab w:leader="none" w:pos="308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a recent Lien search with respect to each Grantor to the extent customary in the applicable jurisdiction and reasonably requested by the Administrative Agent with respect to the Grantors;</w:t>
      </w:r>
    </w:p>
    <w:p>
      <w:pPr>
        <w:spacing w:after="0" w:line="144" w:lineRule="exact"/>
        <w:rPr>
          <w:rFonts w:ascii="Times New Roman" w:cs="Times New Roman" w:eastAsia="Times New Roman" w:hAnsi="Times New Roman"/>
          <w:sz w:val="22"/>
          <w:szCs w:val="22"/>
          <w:color w:val="auto"/>
        </w:rPr>
      </w:pPr>
    </w:p>
    <w:p>
      <w:pPr>
        <w:ind w:left="1300" w:right="160" w:firstLine="1301"/>
        <w:spacing w:after="0" w:line="251" w:lineRule="auto"/>
        <w:tabs>
          <w:tab w:leader="none" w:pos="302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 favorable written opinion (addressed to the Administrative Agent and the Lenders) of Cleary Gottlieb Steen &amp; Hamilton LLP, special counsel to the Loan Parties and (B) favorable written opinions (addressed to the Administrative Agent and the Lenders) of each of Young Conaway Stargatt &amp; Taylor, LLP, local counsel to the Loan Parties in the state of Delaware, Jones Day, local counsel to the Loan Parties in the state of Texas, and Maples and Calder, local counsel to the Loan Parties in the Cayman Islands, in each case in form and substance reasonably satisfactory to the Administrative Agent;</w:t>
      </w:r>
    </w:p>
    <w:p>
      <w:pPr>
        <w:spacing w:after="0" w:line="181" w:lineRule="exact"/>
        <w:rPr>
          <w:rFonts w:ascii="Times New Roman" w:cs="Times New Roman" w:eastAsia="Times New Roman" w:hAnsi="Times New Roman"/>
          <w:sz w:val="22"/>
          <w:szCs w:val="22"/>
          <w:color w:val="auto"/>
        </w:rPr>
      </w:pPr>
    </w:p>
    <w:p>
      <w:pPr>
        <w:ind w:left="3100" w:hanging="499"/>
        <w:spacing w:after="0"/>
        <w:tabs>
          <w:tab w:leader="none" w:pos="310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executed Solvency Certificate signed on behalf of the Borrower, dated the Escrow Release</w:t>
      </w:r>
    </w:p>
    <w:p>
      <w:pPr>
        <w:spacing w:after="0" w:line="41"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Date;</w:t>
      </w:r>
    </w:p>
    <w:p>
      <w:pPr>
        <w:sectPr>
          <w:pgSz w:w="11900" w:h="16838" w:orient="portrait"/>
          <w:cols w:equalWidth="0" w:num="1">
            <w:col w:w="11320"/>
          </w:cols>
          <w:pgMar w:left="240" w:top="626" w:right="339" w:bottom="1440" w:gutter="0" w:footer="0" w:header="0"/>
        </w:sectPr>
      </w:pPr>
    </w:p>
    <w:bookmarkStart w:id="229" w:name="page230"/>
    <w:bookmarkEnd w:id="229"/>
    <w:p>
      <w:pPr>
        <w:ind w:left="100" w:right="80" w:firstLine="1301"/>
        <w:spacing w:after="0" w:line="254" w:lineRule="auto"/>
        <w:tabs>
          <w:tab w:leader="none" w:pos="194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Guaranty Supplement, duly executed by the SD Guarantor;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such guarantee cannot be provided as a condition precedent solely because the directors of the SD Guarantor have not authorized such guarantee and the election of new directors to authorize such guarantee has not taken place prior to the Escrow Release Date, such election shall take place and such guarantee shall be provided no later than 5:00 p.m. (New York time) on the Escrow Release Date;</w:t>
      </w:r>
    </w:p>
    <w:p>
      <w:pPr>
        <w:spacing w:after="0" w:line="177" w:lineRule="exact"/>
        <w:rPr>
          <w:rFonts w:ascii="Times New Roman" w:cs="Times New Roman" w:eastAsia="Times New Roman" w:hAnsi="Times New Roman"/>
          <w:sz w:val="22"/>
          <w:szCs w:val="22"/>
          <w:color w:val="auto"/>
        </w:rPr>
      </w:pPr>
    </w:p>
    <w:p>
      <w:pPr>
        <w:ind w:left="2020" w:hanging="619"/>
        <w:spacing w:after="0"/>
        <w:tabs>
          <w:tab w:leader="none" w:pos="20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Agreement, duly executed by each Grantor, together with:</w:t>
      </w:r>
    </w:p>
    <w:p>
      <w:pPr>
        <w:spacing w:after="0" w:line="229" w:lineRule="exact"/>
        <w:rPr>
          <w:sz w:val="20"/>
          <w:szCs w:val="20"/>
          <w:color w:val="auto"/>
        </w:rPr>
      </w:pPr>
    </w:p>
    <w:p>
      <w:pPr>
        <w:ind w:left="760" w:right="60" w:firstLine="641"/>
        <w:spacing w:after="0" w:line="266" w:lineRule="auto"/>
        <w:tabs>
          <w:tab w:leader="none" w:pos="183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representing the shares of Equity Interests that do not constitute Excluded Equity Interests and that are required to be pledged by any Grantor pursuant to the Security Agreement, together with an undated stock power for each such certificate executed in blank by a duly authorized officer of the pledgor thereof;</w:t>
      </w:r>
    </w:p>
    <w:p>
      <w:pPr>
        <w:spacing w:after="0" w:line="176" w:lineRule="exact"/>
        <w:rPr>
          <w:rFonts w:ascii="Times New Roman" w:cs="Times New Roman" w:eastAsia="Times New Roman" w:hAnsi="Times New Roman"/>
          <w:sz w:val="18"/>
          <w:szCs w:val="18"/>
          <w:color w:val="auto"/>
        </w:rPr>
      </w:pPr>
    </w:p>
    <w:p>
      <w:pPr>
        <w:ind w:left="760" w:right="40" w:firstLine="641"/>
        <w:spacing w:after="0" w:line="266" w:lineRule="auto"/>
        <w:tabs>
          <w:tab w:leader="none" w:pos="182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promissory note (if any) required to be pledged to the Collateral Agent by any Grantor pursuant to the Security Agreement, endorsed (without recourse) in blank (or accompanied by an executed transfer form in blank) by the pledgor thereof; and</w:t>
      </w:r>
    </w:p>
    <w:p>
      <w:pPr>
        <w:spacing w:after="0" w:line="176" w:lineRule="exact"/>
        <w:rPr>
          <w:rFonts w:ascii="Times New Roman" w:cs="Times New Roman" w:eastAsia="Times New Roman" w:hAnsi="Times New Roman"/>
          <w:sz w:val="18"/>
          <w:szCs w:val="18"/>
          <w:color w:val="auto"/>
        </w:rPr>
      </w:pPr>
    </w:p>
    <w:p>
      <w:pPr>
        <w:jc w:val="both"/>
        <w:ind w:left="760" w:right="80" w:firstLine="641"/>
        <w:spacing w:after="0" w:line="266" w:lineRule="auto"/>
        <w:tabs>
          <w:tab w:leader="none" w:pos="182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financing statements in form appropriate for filing under the UCC of all jurisdictions that the Administrative Agent may deem reasonably necessary in order to perfect the Liens created under the Security Agreement, covering the Collateral of the Grantors;</w:t>
      </w:r>
    </w:p>
    <w:p>
      <w:pPr>
        <w:spacing w:after="0" w:line="180" w:lineRule="exact"/>
        <w:rPr>
          <w:sz w:val="20"/>
          <w:szCs w:val="20"/>
          <w:color w:val="auto"/>
        </w:rPr>
      </w:pPr>
    </w:p>
    <w:p>
      <w:pPr>
        <w:ind w:left="1900" w:hanging="499"/>
        <w:spacing w:after="0"/>
        <w:tabs>
          <w:tab w:leader="none" w:pos="190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Intellectual Property Security Agreements, duly executed by each Grantor party thereto;</w:t>
      </w:r>
    </w:p>
    <w:p>
      <w:pPr>
        <w:spacing w:after="0" w:line="233" w:lineRule="exact"/>
        <w:rPr>
          <w:rFonts w:ascii="Times New Roman" w:cs="Times New Roman" w:eastAsia="Times New Roman" w:hAnsi="Times New Roman"/>
          <w:sz w:val="22"/>
          <w:szCs w:val="22"/>
          <w:color w:val="auto"/>
        </w:rPr>
      </w:pPr>
    </w:p>
    <w:p>
      <w:pPr>
        <w:ind w:left="1840" w:hanging="439"/>
        <w:spacing w:after="0"/>
        <w:tabs>
          <w:tab w:leader="none" w:pos="18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Intercreditor Agreement, duly executed and delivered by each party thereto;</w:t>
      </w:r>
    </w:p>
    <w:p>
      <w:pPr>
        <w:spacing w:after="0" w:line="233" w:lineRule="exact"/>
        <w:rPr>
          <w:rFonts w:ascii="Times New Roman" w:cs="Times New Roman" w:eastAsia="Times New Roman" w:hAnsi="Times New Roman"/>
          <w:sz w:val="22"/>
          <w:szCs w:val="22"/>
          <w:color w:val="auto"/>
        </w:rPr>
      </w:pPr>
    </w:p>
    <w:p>
      <w:pPr>
        <w:ind w:left="1900" w:hanging="499"/>
        <w:spacing w:after="0"/>
        <w:tabs>
          <w:tab w:leader="none" w:pos="190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Perfection Certificate, duly executed and delivered by the Grantors;</w:t>
      </w:r>
    </w:p>
    <w:p>
      <w:pPr>
        <w:spacing w:after="0" w:line="233" w:lineRule="exact"/>
        <w:rPr>
          <w:rFonts w:ascii="Times New Roman" w:cs="Times New Roman" w:eastAsia="Times New Roman" w:hAnsi="Times New Roman"/>
          <w:sz w:val="22"/>
          <w:szCs w:val="22"/>
          <w:color w:val="auto"/>
        </w:rPr>
      </w:pPr>
    </w:p>
    <w:p>
      <w:pPr>
        <w:ind w:left="100" w:right="180" w:firstLine="1301"/>
        <w:spacing w:after="0" w:line="309" w:lineRule="auto"/>
        <w:tabs>
          <w:tab w:leader="none" w:pos="1948"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 A Note and a Revolving Note, in each case executed by the Borrower in favor of each Lender that has requested such a Note at least ten (10) Business Days in advance of the Escrow Release Date; and</w:t>
      </w:r>
    </w:p>
    <w:p>
      <w:pPr>
        <w:spacing w:after="0" w:line="120" w:lineRule="exact"/>
        <w:rPr>
          <w:rFonts w:ascii="Times New Roman" w:cs="Times New Roman" w:eastAsia="Times New Roman" w:hAnsi="Times New Roman"/>
          <w:sz w:val="21"/>
          <w:szCs w:val="21"/>
          <w:color w:val="auto"/>
        </w:rPr>
      </w:pPr>
    </w:p>
    <w:p>
      <w:pPr>
        <w:ind w:left="100" w:firstLine="1301"/>
        <w:spacing w:after="0" w:line="263" w:lineRule="auto"/>
        <w:tabs>
          <w:tab w:leader="none" w:pos="2008"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Global Intercompany Note, duly executed by the Borrower and each of its Subsidiaries and any other certificated intercompany note payable to a Grantor and outstanding as of the Escrow Release Date, duly executed by the parties thereto;</w:t>
      </w:r>
    </w:p>
    <w:p>
      <w:pPr>
        <w:spacing w:after="0" w:line="167" w:lineRule="exact"/>
        <w:rPr>
          <w:rFonts w:ascii="Times New Roman" w:cs="Times New Roman" w:eastAsia="Times New Roman" w:hAnsi="Times New Roman"/>
          <w:sz w:val="22"/>
          <w:szCs w:val="22"/>
          <w:color w:val="auto"/>
        </w:rPr>
      </w:pPr>
    </w:p>
    <w:p>
      <w:pPr>
        <w:ind w:left="-540" w:firstLine="1293"/>
        <w:spacing w:after="0" w:line="284" w:lineRule="auto"/>
        <w:tabs>
          <w:tab w:leader="none" w:pos="118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Specified Representations of the Loan Parties shall be true and correct in all material respects on and as of the Escrow Release Date;</w:t>
      </w:r>
    </w:p>
    <w:p>
      <w:pPr>
        <w:sectPr>
          <w:pgSz w:w="11900" w:h="16838" w:orient="portrait"/>
          <w:cols w:equalWidth="0" w:num="1">
            <w:col w:w="10220"/>
          </w:cols>
          <w:pgMar w:left="1440" w:top="621" w:right="239" w:bottom="1440" w:gutter="0" w:footer="0" w:header="0"/>
        </w:sectPr>
      </w:pPr>
    </w:p>
    <w:bookmarkStart w:id="230" w:name="page231"/>
    <w:bookmarkEnd w:id="230"/>
    <w:p>
      <w:pPr>
        <w:ind w:left="-540" w:right="20" w:firstLine="1293"/>
        <w:spacing w:after="0" w:line="246" w:lineRule="auto"/>
        <w:tabs>
          <w:tab w:leader="none" w:pos="11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substantially concurrently with the Escrow Release Date, the Schrader Acquisition shall be consummated in all material respects in accordance with the terms of the Acquisition Agreement without giving effect to any amendment, change, consent or supplement or waiver of any provisions thereof, that are materially adverse to the interests of the Initial Lenders or the Joint Lead Arrangers in their respective capacities as such without the consent of the Joint Lead Arrangers, such consent not to be unreasonably withheld, delayed or conditioned; it being understood that (i) any increase or decrease in the purchase price shall not be materially adverse to the interests of the Initial Lenders or the Joint Lead Arrangers so long as (x) the granting of any consent under the Acquisition Agreement that is not materially adverse to the Initial Lenders does not otherwise constitute any amendment, change or waiver, (y) any increase in the purchase price is funded with equity and (z) an amount equal to 100% of any reduction price shall be allocated to reduce the aggregate principal amount of the Term Loans (allocated to the Term A Loans, U.S. Term B Loans and/or Euro Term B Loans as agreed by the Joint Lead Arrangers and the Borrower) and the Bridge Facilities (as defined in the Amended and Restated Commitment Letter dated as of November 13, 2015 by and among the Borrower, the Joint Lead Arrangers and the Initial Lenders) on a pro rata basis;</w:t>
      </w:r>
    </w:p>
    <w:p>
      <w:pPr>
        <w:spacing w:after="0" w:line="194" w:lineRule="exact"/>
        <w:rPr>
          <w:rFonts w:ascii="Times New Roman" w:cs="Times New Roman" w:eastAsia="Times New Roman" w:hAnsi="Times New Roman"/>
          <w:sz w:val="22"/>
          <w:szCs w:val="22"/>
          <w:color w:val="auto"/>
        </w:rPr>
      </w:pPr>
    </w:p>
    <w:p>
      <w:pPr>
        <w:ind w:left="-540" w:right="80" w:firstLine="1293"/>
        <w:spacing w:after="0" w:line="284" w:lineRule="auto"/>
        <w:tabs>
          <w:tab w:leader="none" w:pos="118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Release Date Refinancing shall have been consummated substantially concurrently with the release of funds from the Escrow Account on the Escrow Release Date;</w:t>
      </w:r>
    </w:p>
    <w:p>
      <w:pPr>
        <w:spacing w:after="0" w:line="144" w:lineRule="exact"/>
        <w:rPr>
          <w:rFonts w:ascii="Times New Roman" w:cs="Times New Roman" w:eastAsia="Times New Roman" w:hAnsi="Times New Roman"/>
          <w:sz w:val="22"/>
          <w:szCs w:val="22"/>
          <w:color w:val="auto"/>
        </w:rPr>
      </w:pPr>
    </w:p>
    <w:p>
      <w:pPr>
        <w:jc w:val="both"/>
        <w:ind w:left="-540" w:right="460" w:firstLine="1293"/>
        <w:spacing w:after="0" w:line="263" w:lineRule="auto"/>
        <w:tabs>
          <w:tab w:leader="none" w:pos="11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since October 21, 2015, there shall not have occurred any Company Material Adverse Effect that is continuing;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clause (a) of the definition of Company Material Adverse Effect shall be excluded from such definition for the purposes of determining the satisfaction of this clause (e);</w:t>
      </w:r>
    </w:p>
    <w:p>
      <w:pPr>
        <w:spacing w:after="0" w:line="167" w:lineRule="exact"/>
        <w:rPr>
          <w:rFonts w:ascii="Times New Roman" w:cs="Times New Roman" w:eastAsia="Times New Roman" w:hAnsi="Times New Roman"/>
          <w:sz w:val="22"/>
          <w:szCs w:val="22"/>
          <w:color w:val="auto"/>
        </w:rPr>
      </w:pPr>
    </w:p>
    <w:p>
      <w:pPr>
        <w:ind w:left="-540" w:right="360" w:firstLine="1293"/>
        <w:spacing w:after="0" w:line="253" w:lineRule="auto"/>
        <w:tabs>
          <w:tab w:leader="none" w:pos="115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of the representations made by, with respect to or on behalf of the Target in the Acquisition Agreement as are material to the interests of the Lenders, but only to the extent that the Borrower has (or the Borrower’s applicable Affiliates have) the right to terminate the Borrower’s (or its Affiliate’s) obligations under the Acquisition Agreement (after giving effect to any applicable notice and cure period) (the “</w:t>
      </w:r>
      <w:r>
        <w:rPr>
          <w:rFonts w:ascii="Times New Roman" w:cs="Times New Roman" w:eastAsia="Times New Roman" w:hAnsi="Times New Roman"/>
          <w:sz w:val="22"/>
          <w:szCs w:val="22"/>
          <w:i w:val="1"/>
          <w:iCs w:val="1"/>
          <w:color w:val="auto"/>
        </w:rPr>
        <w:t>Specified Acquisition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Representations</w:t>
      </w:r>
      <w:r>
        <w:rPr>
          <w:rFonts w:ascii="Times New Roman" w:cs="Times New Roman" w:eastAsia="Times New Roman" w:hAnsi="Times New Roman"/>
          <w:sz w:val="22"/>
          <w:szCs w:val="22"/>
          <w:color w:val="auto"/>
        </w:rPr>
        <w:t>”), shall be true and correct in all material respects;</w:t>
      </w:r>
    </w:p>
    <w:p>
      <w:pPr>
        <w:spacing w:after="0" w:line="179" w:lineRule="exact"/>
        <w:rPr>
          <w:rFonts w:ascii="Times New Roman" w:cs="Times New Roman" w:eastAsia="Times New Roman" w:hAnsi="Times New Roman"/>
          <w:sz w:val="22"/>
          <w:szCs w:val="22"/>
          <w:color w:val="auto"/>
        </w:rPr>
      </w:pPr>
    </w:p>
    <w:p>
      <w:pPr>
        <w:ind w:left="-540" w:firstLine="1293"/>
        <w:spacing w:after="0" w:line="253" w:lineRule="auto"/>
        <w:tabs>
          <w:tab w:leader="none" w:pos="118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release of the funds held in the Escrow Account pursuant to Section 2.17(b)(i), the Borrower shall have instructed the Escrow Agent to pay all fees and expenses required to paid hereunder in connection with the occurrence of the Closing Date and the Escrow Release Date from the funds in the Escrow Account, to the extent invoiced in reasonable detail at least three (3) Business Days before the Closing Date or Escrow Release Date, as applicable (or such later date as</w:t>
      </w:r>
    </w:p>
    <w:p>
      <w:pPr>
        <w:sectPr>
          <w:pgSz w:w="11900" w:h="16838" w:orient="portrait"/>
          <w:cols w:equalWidth="0" w:num="1">
            <w:col w:w="10220"/>
          </w:cols>
          <w:pgMar w:left="1440" w:top="625" w:right="239" w:bottom="1440" w:gutter="0" w:footer="0" w:header="0"/>
        </w:sectPr>
      </w:pPr>
    </w:p>
    <w:bookmarkStart w:id="231" w:name="page232"/>
    <w:bookmarkEnd w:id="231"/>
    <w:p>
      <w:pPr>
        <w:ind w:left="4" w:right="320"/>
        <w:spacing w:after="0" w:line="275" w:lineRule="auto"/>
        <w:rPr>
          <w:sz w:val="20"/>
          <w:szCs w:val="20"/>
          <w:color w:val="auto"/>
        </w:rPr>
      </w:pPr>
      <w:r>
        <w:rPr>
          <w:rFonts w:ascii="Times New Roman" w:cs="Times New Roman" w:eastAsia="Times New Roman" w:hAnsi="Times New Roman"/>
          <w:sz w:val="22"/>
          <w:szCs w:val="22"/>
          <w:color w:val="auto"/>
        </w:rPr>
        <w:t xml:space="preserve">the Borrower may reasonably agree);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Escrow Release Date is not a Business Day, then such fees and expenses shall be transferred out of the Escrow Account on the immediately succeeding Business Day;</w:t>
      </w:r>
    </w:p>
    <w:p>
      <w:pPr>
        <w:spacing w:after="0" w:line="154" w:lineRule="exact"/>
        <w:rPr>
          <w:sz w:val="20"/>
          <w:szCs w:val="20"/>
          <w:color w:val="auto"/>
        </w:rPr>
      </w:pPr>
    </w:p>
    <w:p>
      <w:pPr>
        <w:ind w:left="1724" w:hanging="427"/>
        <w:spacing w:after="0"/>
        <w:tabs>
          <w:tab w:leader="none" w:pos="1724"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in all respects to the final paragraph of this Section 3.3, all other actions not identified in clause</w:t>
      </w:r>
    </w:p>
    <w:p>
      <w:pPr>
        <w:spacing w:after="0" w:line="41" w:lineRule="exact"/>
        <w:rPr>
          <w:rFonts w:ascii="Times New Roman" w:cs="Times New Roman" w:eastAsia="Times New Roman" w:hAnsi="Times New Roman"/>
          <w:sz w:val="21"/>
          <w:szCs w:val="21"/>
          <w:color w:val="auto"/>
        </w:rPr>
      </w:pPr>
    </w:p>
    <w:p>
      <w:pPr>
        <w:ind w:left="4" w:right="740" w:hanging="4"/>
        <w:spacing w:after="0" w:line="259" w:lineRule="auto"/>
        <w:tabs>
          <w:tab w:leader="none" w:pos="29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that are necessary to establish that the Collateral Agent (for the benefit of the Secured Parties) will have a perfected Lien (subject only to Permitted Liens) on the Collateral shall have been taken;</w:t>
      </w:r>
    </w:p>
    <w:p>
      <w:pPr>
        <w:spacing w:after="0" w:line="170" w:lineRule="exact"/>
        <w:rPr>
          <w:rFonts w:ascii="Times New Roman" w:cs="Times New Roman" w:eastAsia="Times New Roman" w:hAnsi="Times New Roman"/>
          <w:sz w:val="22"/>
          <w:szCs w:val="22"/>
          <w:color w:val="auto"/>
        </w:rPr>
      </w:pPr>
    </w:p>
    <w:p>
      <w:pPr>
        <w:jc w:val="both"/>
        <w:ind w:left="4" w:right="240" w:firstLine="1293"/>
        <w:spacing w:after="0" w:line="263" w:lineRule="auto"/>
        <w:tabs>
          <w:tab w:leader="none" w:pos="168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Senior Secured Notes and the Senior Unsecured Notes shall have been, or shall be substantially concurrently with the Escrow Release Date, released from escrow pursuant to the terms of the Senior Notes Escrow Agreements;</w:t>
      </w:r>
    </w:p>
    <w:p>
      <w:pPr>
        <w:spacing w:after="0" w:line="167" w:lineRule="exact"/>
        <w:rPr>
          <w:rFonts w:ascii="Times New Roman" w:cs="Times New Roman" w:eastAsia="Times New Roman" w:hAnsi="Times New Roman"/>
          <w:sz w:val="22"/>
          <w:szCs w:val="22"/>
          <w:color w:val="auto"/>
        </w:rPr>
      </w:pPr>
    </w:p>
    <w:p>
      <w:pPr>
        <w:ind w:left="4" w:firstLine="1293"/>
        <w:spacing w:after="0" w:line="261" w:lineRule="auto"/>
        <w:tabs>
          <w:tab w:leader="none" w:pos="1684"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if the Escrow Release Date shall have occurred on or after September 29, 2016, the audited consolidated balance sheets and related audited consolidated statements of income, comprehensive income, cash flows and shareholders’ equity of the Borrower as of and for the fiscal year ended July 1, 2016, (B) if the Escrow Release Date shall have occurred on or after May 16, 2016, (i) the unaudited consolidated balance sheets and related unaudited statements of income, comprehensive income and cash flows of the Borrower for the fiscal quarter ended April 1, 2016, 2016 and (ii) the unaudited consolidated balance sheets and related statements of operations, comprehensive income and cash flows of the Target for each fiscal quarter of the Target ended after the most recently ended fiscal year of the Target for which financial statements have been provided pursuant to Section 3.2(d)(A)(ii) and ended at least 45 days before the Escrow Release Date (but excluding the fourth quarter of any fiscal year of the Target);</w:t>
      </w:r>
    </w:p>
    <w:p>
      <w:pPr>
        <w:spacing w:after="0" w:line="175" w:lineRule="exact"/>
        <w:rPr>
          <w:rFonts w:ascii="Times New Roman" w:cs="Times New Roman" w:eastAsia="Times New Roman" w:hAnsi="Times New Roman"/>
          <w:sz w:val="21"/>
          <w:szCs w:val="21"/>
          <w:color w:val="auto"/>
        </w:rPr>
      </w:pPr>
    </w:p>
    <w:p>
      <w:pPr>
        <w:ind w:left="4" w:right="180" w:firstLine="1293"/>
        <w:spacing w:after="0" w:line="253" w:lineRule="auto"/>
        <w:tabs>
          <w:tab w:leader="none" w:pos="1732"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no later than 3 Business Days in advance of the Escrow Release Date, all documentation and other information about the Loan Parties as shall have been reasonably requested in writing at least ten (10) Business Days prior to the Escrow Release Date by the Lenders through the Joint Lead Arrangers that is required by regulatory authorities under applicable “know your customer” and anti-money laundering rules and regulations, including without limitation the Patriot Act; and</w:t>
      </w:r>
    </w:p>
    <w:p>
      <w:pPr>
        <w:spacing w:after="0" w:line="179" w:lineRule="exact"/>
        <w:rPr>
          <w:rFonts w:ascii="Times New Roman" w:cs="Times New Roman" w:eastAsia="Times New Roman" w:hAnsi="Times New Roman"/>
          <w:sz w:val="22"/>
          <w:szCs w:val="22"/>
          <w:color w:val="auto"/>
        </w:rPr>
      </w:pPr>
    </w:p>
    <w:p>
      <w:pPr>
        <w:ind w:left="4" w:right="20" w:firstLine="1293"/>
        <w:spacing w:after="0" w:line="263" w:lineRule="auto"/>
        <w:tabs>
          <w:tab w:leader="none" w:pos="168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 the case of each Borrowing to be made on the Escrow Release Date, the Administrative Agent shall have received the notice required by Section 2.5 hereof and (ii) in the case of the issuance of any Letter of Credit to be issued on the Escrow Release Date, the L/C Issuers shall have received a duly completed Application.</w:t>
      </w:r>
    </w:p>
    <w:p>
      <w:pPr>
        <w:sectPr>
          <w:pgSz w:w="11900" w:h="16838" w:orient="portrait"/>
          <w:cols w:equalWidth="0" w:num="1">
            <w:col w:w="10724"/>
          </w:cols>
          <w:pgMar w:left="896" w:top="621" w:right="279" w:bottom="1440" w:gutter="0" w:footer="0" w:header="0"/>
        </w:sectPr>
      </w:pPr>
    </w:p>
    <w:bookmarkStart w:id="232" w:name="page233"/>
    <w:bookmarkEnd w:id="232"/>
    <w:p>
      <w:pPr>
        <w:ind w:right="40" w:firstLine="1297"/>
        <w:spacing w:after="0" w:line="248" w:lineRule="auto"/>
        <w:rPr>
          <w:sz w:val="20"/>
          <w:szCs w:val="20"/>
          <w:color w:val="auto"/>
        </w:rPr>
      </w:pPr>
      <w:r>
        <w:rPr>
          <w:rFonts w:ascii="Times New Roman" w:cs="Times New Roman" w:eastAsia="Times New Roman" w:hAnsi="Times New Roman"/>
          <w:sz w:val="22"/>
          <w:szCs w:val="22"/>
          <w:color w:val="auto"/>
        </w:rPr>
        <w:t>For purposes of determining compliance with the conditions specified in this Section 3.3, each Lender that has signed this Agreement shall be deemed to have consented to, approved or accepted or to be satisfied with, each document or other matter required thereunder to be consented to or approved by or acceptable or satisfactory to a Lender unless an officer of the Administrative Agent responsible for the transactions contemplated by this Agreement shall have received notice from such Lender prior to the proposed Escrow Release Date specifying its objection thereto in reasonable detail. The Administrative Agent shall promptly notify the Lenders and the Borrower in writing of the occurrence of the Escrow Release Date and such notification shall be conclusive and binding.</w:t>
      </w:r>
    </w:p>
    <w:p>
      <w:pPr>
        <w:spacing w:after="0" w:line="182"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21"/>
          <w:szCs w:val="21"/>
          <w:color w:val="auto"/>
        </w:rPr>
        <w:t>Notwithstanding anything to the contrary in this Section 3.3, this Agreement or any other Loan Document, to the extent any security interest in the Collateral (other than any Collateral of the Grantors the security interest in which may be perfected by the filing of a UCC financing statement or the delivery of certificates evidencing equity interests of any material wholly-owned domestic Restricted Subsidiary of the Borrower (except that stock certificates and the accompanying stock power or instrument of the Target’s subsidiaries shall only be required to be delivered on the Escrow Release Date to the extent received from the Target after the Borrower’s use of commercially reasonable efforts to obtain the same)) is not or cannot be provided and/or perfected on the Escrow Release Date after the Borrower’s use of commercially reasonable efforts to do so without undue burden or expense, then the provision and/or perfection of such security interest shall not constitute a condition precedent under this Section 3.3 on the Escrow Release Date but shall be required to be delivered after the Escrow Release Date pursuant to arrangements to be mutually agreed by the Administrative Agent and the Borrower acting reasonably and not later than 90 days (subject to extensions as may be reasonably agreed to by the Administrative Agent in its sole discretion) after the Escrow Release Date (it being understood that in all instances Mortgages need only be delivered within the period specified in Section 4.2 below).</w:t>
      </w:r>
    </w:p>
    <w:p>
      <w:pPr>
        <w:spacing w:after="0" w:line="17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ARTICLE 4.</w:t>
      </w:r>
      <w:r>
        <w:rPr>
          <w:sz w:val="20"/>
          <w:szCs w:val="20"/>
          <w:color w:val="auto"/>
        </w:rPr>
        <w:tab/>
      </w:r>
      <w:r>
        <w:rPr>
          <w:rFonts w:ascii="Times New Roman" w:cs="Times New Roman" w:eastAsia="Times New Roman" w:hAnsi="Times New Roman"/>
          <w:sz w:val="21"/>
          <w:szCs w:val="21"/>
          <w:b w:val="1"/>
          <w:bCs w:val="1"/>
          <w:u w:val="single" w:color="auto"/>
          <w:color w:val="auto"/>
        </w:rPr>
        <w:t>THE COLLATERAL AND THE GUARANTY</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right="100"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i w:val="1"/>
          <w:iCs w:val="1"/>
          <w:color w:val="auto"/>
        </w:rPr>
        <w:t>Collateral</w:t>
      </w:r>
      <w:r>
        <w:rPr>
          <w:rFonts w:ascii="Times New Roman" w:cs="Times New Roman" w:eastAsia="Times New Roman" w:hAnsi="Times New Roman"/>
          <w:sz w:val="18"/>
          <w:szCs w:val="18"/>
          <w:color w:val="auto"/>
        </w:rPr>
        <w:t>. As of the Escrow Release Date (other than during any Collateral and Guarantee Suspension Period), subject to 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4.5 below, the Obligations, Hedging Liability and, at the Borrower’s option, Funds Transfer Liability, Deposit Account Liability and Data Processing Obligations shall be secured by (a) valid, perfected, and enforceable Liens on all right, title, and interest of each Grantor in all capital stock and other Equity Interests (other than Excluded Equity Interests) held by such Person in each of its Subsidiaries, whether now owned or hereafter formed or acquired, and all proceeds thereof, and (b) valid, perfected, and enforceable Liens on all right, title, and interest of each Grantor in all personal property and fixtures, whether now owned or hereafter acquired or arising, and all proceeds thereof (other than Excluded Property).</w:t>
      </w:r>
    </w:p>
    <w:p>
      <w:pPr>
        <w:spacing w:after="0" w:line="174"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i w:val="1"/>
          <w:iCs w:val="1"/>
          <w:color w:val="auto"/>
        </w:rPr>
        <w:t>Liens on Real Property</w:t>
      </w:r>
      <w:r>
        <w:rPr>
          <w:rFonts w:ascii="Times New Roman" w:cs="Times New Roman" w:eastAsia="Times New Roman" w:hAnsi="Times New Roman"/>
          <w:sz w:val="18"/>
          <w:szCs w:val="18"/>
          <w:color w:val="auto"/>
        </w:rPr>
        <w:t>. After the Escrow Release Date (other than during a Collateral and Guarantee Suspension Period),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event that any Grantor hereafter acquires fee-owned real property having a fair market value in excess of $30 million (as determined by the Borrower in good faith and without requirement of delivery of an appraisal or other third-party valuation) (other than any Excluded Property), within 90 days following the acquisition thereof (or such longer period as to which the Administrative Agent may</w:t>
      </w:r>
    </w:p>
    <w:p>
      <w:pPr>
        <w:sectPr>
          <w:pgSz w:w="11900" w:h="16838" w:orient="portrait"/>
          <w:cols w:equalWidth="0" w:num="1">
            <w:col w:w="11420"/>
          </w:cols>
          <w:pgMar w:left="240" w:top="625" w:right="239" w:bottom="1440" w:gutter="0" w:footer="0" w:header="0"/>
        </w:sectPr>
      </w:pPr>
    </w:p>
    <w:bookmarkStart w:id="233" w:name="page234"/>
    <w:bookmarkEnd w:id="233"/>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consent), the Borrower shall, or shall cause such Grantor to (i) execute and deliver to the Collateral Agent (or a security trustee therefor) a Mortgage, title policy, ALTA survey, if required by the title company issuing the title policy (or no-change affidavits in connection with existing surveys), certificates of insurance evidencing the insurance required under this Agreement, and opinions of counsel, in each case similar to the Mortgage, title policy, certificates of insurances and opinions of counsel delivered to the Collateral Agent pursuant to Schedule 6.24 for the purpose of granting to the Collateral Agent a Lien on such real property to secure the Obligations, Hedging Liability, and Funds Transfer Liability, Deposit Account Liability and Data Processing Obligations and shall pay all taxes and reasonable costs and expenses incurred by the Collateral Agent in recording such Mortgage;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if the Mortgaged Property is in a jurisdiction that imposes a mortgage recording or similar tax on the amount secured by such Mortgage, then the amount secured by such Mortgage shall be limited to the fair market value (without requirement of delivery of an appraisal or other third-party valuation) of such Mortgaged Property, as reasonably determined by the Borrower in good faith and (ii) provide the Collateral Agent with a completed “Life-of-Loan” Federal Emergency Management Agency Standard Flood Hazard Determination with respect to each Mortgaged Property (together with a notice about special flood hazard area status and flood disaster assistance duly executed by the Borrower and each applicable Grantor relating thereto).</w:t>
      </w:r>
    </w:p>
    <w:p>
      <w:pPr>
        <w:spacing w:after="0" w:line="193" w:lineRule="exact"/>
        <w:rPr>
          <w:sz w:val="20"/>
          <w:szCs w:val="20"/>
          <w:color w:val="auto"/>
        </w:rPr>
      </w:pPr>
    </w:p>
    <w:p>
      <w:pPr>
        <w:ind w:right="60"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i w:val="1"/>
          <w:iCs w:val="1"/>
          <w:color w:val="auto"/>
        </w:rPr>
        <w:t>Guaranty</w:t>
      </w:r>
      <w:r>
        <w:rPr>
          <w:rFonts w:ascii="Times New Roman" w:cs="Times New Roman" w:eastAsia="Times New Roman" w:hAnsi="Times New Roman"/>
          <w:sz w:val="18"/>
          <w:szCs w:val="18"/>
          <w:color w:val="auto"/>
        </w:rPr>
        <w:t>. As of the Closing Date (other than during a Collateral and Guarantee Suspension Period), the payment and 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of the Obligations, Hedging Liability, and, at the Borrower’s option, Funds Transfer Liability, Deposit Account Liability and Data Processing Obligations shall at all times be guaranteed by each Restricted Subsidiary (other than the Target Company or an Excluded Subsidiary), including any Immaterial Subsidiary which becomes a Material Subsidiary (each, a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i w:val="1"/>
          <w:iCs w:val="1"/>
          <w:color w:val="auto"/>
        </w:rPr>
        <w:t>Guarantors</w:t>
      </w:r>
      <w:r>
        <w:rPr>
          <w:rFonts w:ascii="Times New Roman" w:cs="Times New Roman" w:eastAsia="Times New Roman" w:hAnsi="Times New Roman"/>
          <w:sz w:val="18"/>
          <w:szCs w:val="18"/>
          <w:color w:val="auto"/>
        </w:rPr>
        <w:t xml:space="preserve">”) pursuant to a guaranty agreement in substantially the form attached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as the same may be amended, restated, amended and restated, modified or supplemented from time to time (the “</w:t>
      </w:r>
      <w:r>
        <w:rPr>
          <w:rFonts w:ascii="Times New Roman" w:cs="Times New Roman" w:eastAsia="Times New Roman" w:hAnsi="Times New Roman"/>
          <w:sz w:val="18"/>
          <w:szCs w:val="18"/>
          <w:i w:val="1"/>
          <w:iCs w:val="1"/>
          <w:color w:val="auto"/>
        </w:rPr>
        <w:t>Guaranty</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firstLine="648"/>
        <w:spacing w:after="0" w:line="293"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i w:val="1"/>
          <w:iCs w:val="1"/>
          <w:color w:val="auto"/>
        </w:rPr>
        <w:t>Further Assurances</w:t>
      </w:r>
      <w:r>
        <w:rPr>
          <w:rFonts w:ascii="Times New Roman" w:cs="Times New Roman" w:eastAsia="Times New Roman" w:hAnsi="Times New Roman"/>
          <w:sz w:val="18"/>
          <w:szCs w:val="18"/>
          <w:color w:val="auto"/>
        </w:rPr>
        <w:t>. On and after the Escrow Release Date (other than during a Collateral and Guarantee Suspension Period),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Borrower agrees that it shall, and shall cause each Grantor to, from time to time at the request of the Administrative Agent or the Required Lenders, execute and deliver such documents and do such acts and things as the Administrative Agent or the Required Lenders may reasonably request in order to provide for or perfect or protect such Liens on the Collateral. In the event the Borrower or any Restricted Subsidiary (other than an Excluded Subsidiary) forms or acquires any after-acquired property or other Restricted Subsidiary (other than an Excluded Subsidiary), or any Immaterial Subsidiary becomes a Material Subsidiary (other than an Excluded Subsidiary) after the Escrow Release Date (other than during a Collateral and Guarantee Suspension Period), on or prior to the later to occur of (a) 60 days following the date of such acquisition or formation or event and (b) the date of the required delivery of the Compliance Certificate following the date of such acquisition, formation or event (or such longer period as to which the Administrative Agent may consent), the Borrower shall cause such Restricted Subsidiary to execute such guaranties and Collateral Documents (or supplements, assumptions or amendments to existing guaranty and Collateral Documents) as the Administrative Agent may then require, and the Borrower shall also deliver to the Administrative Agent, or cause such Restricted Subsidiary to deliver to the Administrative Agent, at the Borrower’s cost and expense, such other instruments, documents, certificates, and opinions reasonably required by the Administrative Agent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control agreements shall be required (other than pursuant to the Escrow Agreement).</w:t>
      </w:r>
    </w:p>
    <w:p>
      <w:pPr>
        <w:spacing w:after="0" w:line="168" w:lineRule="exact"/>
        <w:rPr>
          <w:sz w:val="20"/>
          <w:szCs w:val="20"/>
          <w:color w:val="auto"/>
        </w:rPr>
      </w:pPr>
    </w:p>
    <w:p>
      <w:pPr>
        <w:ind w:right="40"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i w:val="1"/>
          <w:iCs w:val="1"/>
          <w:color w:val="auto"/>
        </w:rPr>
        <w:t>Limitation on Collateral</w:t>
      </w:r>
      <w:r>
        <w:rPr>
          <w:rFonts w:ascii="Times New Roman" w:cs="Times New Roman" w:eastAsia="Times New Roman" w:hAnsi="Times New Roman"/>
          <w:sz w:val="18"/>
          <w:szCs w:val="18"/>
          <w:color w:val="auto"/>
        </w:rPr>
        <w:t>. Notwithstanding anything to the contrary in Sections 4.1 through 4.4, any other provision of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Agreement or any Collateral Document (a) no Grantor shall be required to grant a security interest in any asset or perfect a security interest in any Collateral to the extent the cost, burden, difficulty or consequence of granting or perfecting a Lien (including any mortgage, stamp, intangible or other tax or expenses relating to such Lien) outweighs the benefit to the Lenders of the security afforded thereby as reasonably determined by the Borrower and the Administrative Agent, (b) no Grantor shall be required to complete any filings or take any other action (including the execution of a foreign law security or pledge agreement or the act of a foreign</w:t>
      </w:r>
    </w:p>
    <w:p>
      <w:pPr>
        <w:sectPr>
          <w:pgSz w:w="11900" w:h="16838" w:orient="portrait"/>
          <w:cols w:equalWidth="0" w:num="1">
            <w:col w:w="11420"/>
          </w:cols>
          <w:pgMar w:left="240" w:top="621" w:right="239" w:bottom="1440" w:gutter="0" w:footer="0" w:header="0"/>
        </w:sectPr>
      </w:pPr>
    </w:p>
    <w:bookmarkStart w:id="234" w:name="page235"/>
    <w:bookmarkEnd w:id="234"/>
    <w:p>
      <w:pPr>
        <w:spacing w:after="0" w:line="252" w:lineRule="auto"/>
        <w:rPr>
          <w:sz w:val="20"/>
          <w:szCs w:val="20"/>
          <w:color w:val="auto"/>
        </w:rPr>
      </w:pPr>
      <w:r>
        <w:rPr>
          <w:rFonts w:ascii="Times New Roman" w:cs="Times New Roman" w:eastAsia="Times New Roman" w:hAnsi="Times New Roman"/>
          <w:sz w:val="18"/>
          <w:szCs w:val="18"/>
          <w:color w:val="auto"/>
        </w:rPr>
        <w:t xml:space="preserve">intellectual property filing or search) with respect to the grant or perfection of a security interest on any Collateral in any jurisdiction other than the United States;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(other than during a Collateral and Guarantee Suspension Period) with respect to any Equity Interests of First-Tier Foreign Subsidiaries that constitute Collateral, Grantors shall also be required to enter into foreign law governed security or pledge agreements in the jurisdiction of organization or incorporation of such First-Tier Foreign Subsidiary if such First-Tier Foreign Subsidiary is organized or incorporated in (x) on and after the Escrow Release Date, the Cayman Islands (including the Cayman Share Mortgage) and (y) after the Escrow Release Date, if one or more First-Tier Foreign Subsidiaries that own non-U.S. assets constituting more than 10.00% of the Consolidated Total Assets of the Borrower and its Restricted Subsidiaries (based upon the financial statements most recently delivered on or prior to such date pursuant to Section 6.1) and that the Administrative Agent reasonably believes to be material is organized in a jurisdiction other than the Cayman Islands, such other jurisdictions in which such First-Tier Foreign Subsidiaries are organized;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a Grantor be required to grant or perfect a security interest in the People’s Republic of China, the Republic of India, Italy, the Republic of Korea, Japan, the State of Israel or any jurisdiction where it may be either impossible or impractical to grant or perfect security interests in Equity Interests or where it is more burdensome or costly in any material respect compared to the United States or the Cayman Islands, (c) no Grantor shall be required to make any filing with respect to any intellectual property rights other than filing the Intellectual Property Security Agreements with the U.S. Patent and Trademark Office or the U.S. Copyright Office, as applicable, (d) Liens required to be granted pursuant to Section 4.4 shall be subject to exceptions and limitations consistent with those set forth in the Collateral Documents as in effect on the Escrow Release Date (to the extent appropriate in the applicable jurisdiction), (e) no Grantor shall be required to seek any landlord lien waiver, estoppel, warehouseman waiver or other collateral access or similar letter or agreement, (f) the security interests in the following Collateral shall not be required to be perfected other than by UCC filing: (i) assets requiring perfection through control agreements or other control arrangements (other than control of pledged Equity Interests to the extent otherwise required by any Loan Document and promissory notes in a principal amount in excess of $30 million); (ii) vehicles and any other assets subject to certificates of title; and (iii) letter of credit rights to the extent not perfected by the filing of a Form UCC-1 financing statement and (g) the Guaranty of the SD Guarantor shall not be secured.</w:t>
      </w:r>
    </w:p>
    <w:p>
      <w:pPr>
        <w:spacing w:after="0" w:line="200" w:lineRule="exact"/>
        <w:rPr>
          <w:sz w:val="20"/>
          <w:szCs w:val="20"/>
          <w:color w:val="auto"/>
        </w:rPr>
      </w:pPr>
    </w:p>
    <w:p>
      <w:pPr>
        <w:spacing w:after="0" w:line="20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ARTICLE 5.</w:t>
      </w:r>
      <w:r>
        <w:rPr>
          <w:sz w:val="20"/>
          <w:szCs w:val="20"/>
          <w:color w:val="auto"/>
        </w:rPr>
        <w:tab/>
      </w: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right="280" w:firstLine="1297"/>
        <w:spacing w:after="0" w:line="271" w:lineRule="auto"/>
        <w:rPr>
          <w:sz w:val="20"/>
          <w:szCs w:val="20"/>
          <w:color w:val="auto"/>
        </w:rPr>
      </w:pPr>
      <w:r>
        <w:rPr>
          <w:rFonts w:ascii="Times New Roman" w:cs="Times New Roman" w:eastAsia="Times New Roman" w:hAnsi="Times New Roman"/>
          <w:sz w:val="22"/>
          <w:szCs w:val="22"/>
          <w:color w:val="auto"/>
        </w:rPr>
        <w:t>On the Escrow Release Date and on the dates to the extent required pursuant to Section 3.1, 3.2 and 3.3 hereof, as applicable, the Borrower represents and warrants to each Lender and the Administrative Agent that:</w:t>
      </w:r>
    </w:p>
    <w:p>
      <w:pPr>
        <w:spacing w:after="0" w:line="15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i w:val="1"/>
          <w:iCs w:val="1"/>
          <w:color w:val="auto"/>
        </w:rPr>
        <w:t>Financial Statements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right="60" w:firstLine="656"/>
        <w:spacing w:after="0" w:line="251" w:lineRule="auto"/>
        <w:tabs>
          <w:tab w:leader="none" w:pos="106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audited consolidated balance sheet and related audited consolidated statements of income, comprehensive income, cash flows and shareholders’ equity as of and for the fiscal years ended June 30, 2017, July 1, 2016 and July 3, 2015, (i) were prepared in accordance with GAAP consistently applied throughout the period covered thereby, except as otherwise expressly noted therein and (ii) fairly present in all material respects in accordance with GAAP the financial condition of the Borrower and its Subsidiaries as of such dates and for such periods and their results of operations for the periods covered thereby.</w:t>
      </w:r>
    </w:p>
    <w:p>
      <w:pPr>
        <w:spacing w:after="0" w:line="18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ectPr>
          <w:pgSz w:w="11900" w:h="16838" w:orient="portrait"/>
          <w:cols w:equalWidth="0" w:num="1">
            <w:col w:w="11420"/>
          </w:cols>
          <w:pgMar w:left="240" w:top="621" w:right="239" w:bottom="1440" w:gutter="0" w:footer="0" w:header="0"/>
        </w:sectPr>
      </w:pPr>
    </w:p>
    <w:bookmarkStart w:id="235" w:name="page236"/>
    <w:bookmarkEnd w:id="235"/>
    <w:p>
      <w:pPr>
        <w:ind w:right="20" w:firstLine="656"/>
        <w:spacing w:after="0" w:line="251" w:lineRule="auto"/>
        <w:tabs>
          <w:tab w:leader="none" w:pos="106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consolidated balance sheet and related unaudited statements of income, comprehensive income and cash flows of the Borrower as of and for the fiscal quarter ended December 29, 2017, (i) were prepared in accordance with GAAP consistently applied throughout the period covered thereby, except as otherwise expressly noted therein, and (ii) fairly present in all material respects in accordance with GAAP the financial condition of the Borrower and its Subsidiaries as of the date thereof and their results of operations for the period covered thereby, subject, in the case of clauses (i) and (ii), to the absence of footnotes and to normal year-end audit adjustments.</w:t>
      </w:r>
    </w:p>
    <w:p>
      <w:pPr>
        <w:spacing w:after="0" w:line="18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29"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i w:val="1"/>
          <w:iCs w:val="1"/>
          <w:color w:val="auto"/>
        </w:rPr>
        <w:t>Organization and Qualification</w:t>
      </w:r>
      <w:r>
        <w:rPr>
          <w:rFonts w:ascii="Times New Roman" w:cs="Times New Roman" w:eastAsia="Times New Roman" w:hAnsi="Times New Roman"/>
          <w:sz w:val="18"/>
          <w:szCs w:val="18"/>
          <w:color w:val="auto"/>
        </w:rPr>
        <w:t>. The Borrower and each of its Restricted Subsidiaries (i) is duly organized or incorporated,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validly existing and in good standing under the laws of the jurisdiction of its organization or incorporation, except to the extent the failure of any Restricted Subsidiary to be in existence and good standing would not reasonably be expected to have a Material Adverse Effect, (ii) has the power and authority to own its property and to transact the business in which it is engaged and proposes to engage, except where the failure to do so would not reasonably be expected to have a Material Adverse Effect, and (iii) is duly qualified and in good standing in each jurisdiction where the ownership, leasing or operation of property or the conduct of its business requires such qualification, except, in each case, under this clause (iii) where the same would not be reasonably expected to have, either individually or in the aggregate, a Material Adverse Effect.</w:t>
      </w:r>
    </w:p>
    <w:p>
      <w:pPr>
        <w:spacing w:after="0" w:line="170" w:lineRule="exact"/>
        <w:rPr>
          <w:sz w:val="20"/>
          <w:szCs w:val="20"/>
          <w:color w:val="auto"/>
        </w:rPr>
      </w:pPr>
    </w:p>
    <w:p>
      <w:pPr>
        <w:ind w:firstLine="648"/>
        <w:spacing w:after="0" w:line="294"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i w:val="1"/>
          <w:iCs w:val="1"/>
          <w:color w:val="auto"/>
        </w:rPr>
        <w:t>Authority and Enforceability</w:t>
      </w:r>
      <w:r>
        <w:rPr>
          <w:rFonts w:ascii="Times New Roman" w:cs="Times New Roman" w:eastAsia="Times New Roman" w:hAnsi="Times New Roman"/>
          <w:sz w:val="18"/>
          <w:szCs w:val="18"/>
          <w:color w:val="auto"/>
        </w:rPr>
        <w:t>. The Borrower has the power and authority to enter into this Agreement and the other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Documents executed by it, to make the borrowings herein provided for, to issue its Notes (if any), (solely during any Collateral and Guarantee Period) to grant to the Collateral Agent the Liens described in the Collateral Documents executed by the Borrower, and to perform all of its obligations hereunder and under the other Loan Documents executed by it. Each other Loan Party has the power and authority to enter into the Loan Documents executed by it, to grant to the Collateral Agent the Liens described in the Collateral Documents executed by such Person, and to perform all of its obligations under the Loan Documents executed by it. The Loan Documents delivered by the Loan Parties have been duly authorized by proper corporate and/or other organizational proceedings, executed, and delivered by such Person and constitute valid and binding obligations of such Person enforceable against it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any Loan Party, if any, of any of the matters and things herein or therein provided for, (a) violate any provision of law or any judgment, injunction, order or decree binding upon any Loan Party, (b) contravene or constitute a default under any provision of the organizational documents (e.g., charter, articles of incorporation, by-laws, articles of association, operating agreement, partnership agreement or other similar document) of any Loan Party, (c) contravene or constitute a default under any covenant, indenture or agreement of or affecting any Loan Party or any of its Property, or (d) result in the creation or imposition of any Lien on any Property of any Loan Party other than the Liens granted in favor of the Collateral Agent pursuant to the Collateral Documents (if applicable) and Permitted Liens, except with respect to clauses (a), (c) or (d), to the extent, individually or in the aggregate, that such violation, contravention, breach, conflict, default or creation or imposition of any Lien would not reasonably be expected to result in a Material Adverse Effect.</w:t>
      </w:r>
    </w:p>
    <w:p>
      <w:pPr>
        <w:sectPr>
          <w:pgSz w:w="11900" w:h="16838" w:orient="portrait"/>
          <w:cols w:equalWidth="0" w:num="1">
            <w:col w:w="11420"/>
          </w:cols>
          <w:pgMar w:left="240" w:top="625" w:right="239" w:bottom="1440" w:gutter="0" w:footer="0" w:header="0"/>
        </w:sectPr>
      </w:pPr>
    </w:p>
    <w:bookmarkStart w:id="236" w:name="page237"/>
    <w:bookmarkEnd w:id="236"/>
    <w:p>
      <w:pPr>
        <w:ind w:right="5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i w:val="1"/>
          <w:iCs w:val="1"/>
          <w:color w:val="auto"/>
        </w:rPr>
        <w:t>No Material Adverse Change</w:t>
      </w:r>
      <w:r>
        <w:rPr>
          <w:rFonts w:ascii="Times New Roman" w:cs="Times New Roman" w:eastAsia="Times New Roman" w:hAnsi="Times New Roman"/>
          <w:sz w:val="18"/>
          <w:szCs w:val="18"/>
          <w:color w:val="auto"/>
        </w:rPr>
        <w:t>. Since June 30, 2017, there has been no event or circumstance which individually or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aggregate would reasonably be expected to have a Material Adverse Effect.</w:t>
      </w:r>
    </w:p>
    <w:p>
      <w:pPr>
        <w:spacing w:after="0" w:line="188" w:lineRule="exact"/>
        <w:rPr>
          <w:sz w:val="20"/>
          <w:szCs w:val="20"/>
          <w:color w:val="auto"/>
        </w:rPr>
      </w:pPr>
    </w:p>
    <w:p>
      <w:pPr>
        <w:ind w:right="20"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i w:val="1"/>
          <w:iCs w:val="1"/>
          <w:color w:val="auto"/>
        </w:rPr>
        <w:t>Litigation and Other Controversies</w:t>
      </w:r>
      <w:r>
        <w:rPr>
          <w:rFonts w:ascii="Times New Roman" w:cs="Times New Roman" w:eastAsia="Times New Roman" w:hAnsi="Times New Roman"/>
          <w:sz w:val="18"/>
          <w:szCs w:val="18"/>
          <w:color w:val="auto"/>
        </w:rPr>
        <w:t>. Except as specifically disclosed in any SEC Documents filed or furnished and publicly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available on or before the Amendment No. 7 Effective Date (but excluding any disclosure in the “Risk Factors” or “Forward-Looking Statements” sections of any SEC Document and similar statements included in any SEC Document that are solely forward looking in nature) or on </w:t>
      </w:r>
      <w:r>
        <w:rPr>
          <w:rFonts w:ascii="Times New Roman" w:cs="Times New Roman" w:eastAsia="Times New Roman" w:hAnsi="Times New Roman"/>
          <w:sz w:val="18"/>
          <w:szCs w:val="18"/>
          <w:u w:val="single" w:color="auto"/>
          <w:color w:val="auto"/>
        </w:rPr>
        <w:t>Schedule 5.5</w:t>
      </w:r>
      <w:r>
        <w:rPr>
          <w:rFonts w:ascii="Times New Roman" w:cs="Times New Roman" w:eastAsia="Times New Roman" w:hAnsi="Times New Roman"/>
          <w:sz w:val="18"/>
          <w:szCs w:val="18"/>
          <w:color w:val="auto"/>
        </w:rPr>
        <w:t>, there is no litigation, arbitration or governmental proceeding pending or, to the knowledge of the Borrower and its Restricted Subsidiaries, threatened in writing against the Borrower or any of its Restricted Subsidiaries that would reasonably be expected to have a Material Adverse Effect.</w:t>
      </w:r>
    </w:p>
    <w:p>
      <w:pPr>
        <w:spacing w:after="0" w:line="174"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i w:val="1"/>
          <w:iCs w:val="1"/>
          <w:color w:val="auto"/>
        </w:rPr>
        <w:t>True and Complete Disclosure</w:t>
      </w:r>
      <w:r>
        <w:rPr>
          <w:rFonts w:ascii="Times New Roman" w:cs="Times New Roman" w:eastAsia="Times New Roman" w:hAnsi="Times New Roman"/>
          <w:sz w:val="18"/>
          <w:szCs w:val="18"/>
          <w:color w:val="auto"/>
        </w:rPr>
        <w:t>. As of the Amendment No. 7 Effective Date, all written information (other than projections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any other forward-looking information of a general economic or industry nature) furnished by or on behalf of the Borrower or any of its Restricted Subsidiaries to the Administrative Agent, any L/C Issuer or any Lender for purposes of or in connection with this Agreement, or any transaction contemplated herein, is complete and correct when taken as a whole, in all material respects, and does not, taken as a whole, contain any untrue statement of a material fact or omit to state a material fact necessary in order to make the statements contained therein, in the light of the circumstances under which they were made, not materially misleading (after giving effect to all supplements and updates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projected financial information furnished by or on behalf of the Borrower or any of its Restricted Subsidiaries, the Borrower only represents and warrants that such information has been prepared in good faith based upon assumptions believed to be reasonable at the time furnished (it being understood that such projections are as to future events and are not viewed as facts or a guarantee of financial performance or achievement and that such projections are subject to significant uncertainties and contingencies, many of which are beyond the control of the Borrower, that actual results may differ significantly from the projections and such differences may be material).</w:t>
      </w:r>
    </w:p>
    <w:p>
      <w:pPr>
        <w:spacing w:after="0" w:line="17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Neither the making of any Loan or other extension of credit hereunder nor the use of the proceeds thereof will violate the provisions of Regulations U or X of the Board of Governors of the Federal Reserve System and any successor to all or any portion of such regulations. None of the Loan Parties is engaged nor will it engage, principally or as one of its important activities, in the business of purchasing or carrying margin stock (within the meaning of Regulation U of the Board of Governors of the Federal Reserve System), or extending credit for the purpose of purchasing or carrying margin stock (within the meaning of Regulation U of the Board of Governors of the Federal Reserve System).</w:t>
      </w:r>
    </w:p>
    <w:p>
      <w:pPr>
        <w:spacing w:after="0" w:line="175"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The Borrower and each of its Restricted Subsidiaries has filed or caused to be filed all Tax returns required to be filed by the Borrower and/or any of its Restricted Subsidiaries, except where failure to so file would not be reasonably expected to have, either individually or in the aggregate, a Material Adverse Effect. The Borrower and each of its Restricted Subsidiaries has paid all Taxes payable by them (whether or not shown on any Tax returns, and including in its capacity as withholding agent), except those (a) not overdue by more than thirty (30) days or (b) if more than 30 days overdue, (i) those that are being contested in good faith and by proper legal proceedings and as to which appropriate reserves have been provided for in accordance with GAAP or (ii) those the non-payment of which would not be</w:t>
      </w:r>
    </w:p>
    <w:p>
      <w:pPr>
        <w:sectPr>
          <w:pgSz w:w="11900" w:h="16838" w:orient="portrait"/>
          <w:cols w:equalWidth="0" w:num="1">
            <w:col w:w="11420"/>
          </w:cols>
          <w:pgMar w:left="240" w:top="621"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2"/>
          <w:szCs w:val="22"/>
          <w:color w:val="auto"/>
        </w:rPr>
        <w:t>reasonably expected to result, either individually or in the aggregate, in a Material Adverse Effect.</w:t>
      </w:r>
    </w:p>
    <w:p>
      <w:pPr>
        <w:spacing w:after="0" w:line="216" w:lineRule="exact"/>
        <w:rPr>
          <w:sz w:val="20"/>
          <w:szCs w:val="20"/>
          <w:color w:val="auto"/>
        </w:rPr>
      </w:pPr>
    </w:p>
    <w:p>
      <w:pPr>
        <w:ind w:right="60"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18"/>
          <w:szCs w:val="18"/>
          <w:color w:val="auto"/>
        </w:rPr>
        <w:t>. The Borrower and each other member of its Controlled Group has fulfilled its obligations under the minimum funding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standards of, and is in compliance in all material respects with, ERISA and the Code to the extent applicable to it and, other than a liability for premiums under Section 4007 of ERISA, has not incurred any liability to the PBGC or a Plan, except where the failure, noncompliance or incurrence of such would not be reasonably expected, individually or in the aggregate, to have a Material Adverse Effect. The Borrower and its Restricted Subsidiaries have no contingent liabilities with respect to any post-retirement benefits under a Welfare Plan, other than liability for continuation coverage described in article 6 of Title 1 of ERISA, and except as would not be reasonably expected to have a Material Adverse Effect.</w:t>
      </w:r>
    </w:p>
    <w:p>
      <w:pPr>
        <w:spacing w:after="0" w:line="174"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i w:val="1"/>
          <w:iCs w:val="1"/>
          <w:color w:val="auto"/>
        </w:rPr>
        <w:t>Subsidiaries</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correctly sets forth, as of the Amendment No. 7 Effective Date, each Subsidiary of the Borrower, 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respective jurisdiction of organization or incorporation and the percentage ownership (whether directly or indirectly) of the Borrower in each class of capital stock or other Equity Interests of each of its Subsidiaries. As of the Amendment No. 7 Effective Date, all of the Subsidiaries of the Borrower will be Restricted Subsidiaries.</w:t>
      </w:r>
    </w:p>
    <w:p>
      <w:pPr>
        <w:spacing w:after="0" w:line="179" w:lineRule="exact"/>
        <w:rPr>
          <w:sz w:val="20"/>
          <w:szCs w:val="20"/>
          <w:color w:val="auto"/>
        </w:rPr>
      </w:pPr>
    </w:p>
    <w:p>
      <w:pPr>
        <w:ind w:right="380" w:firstLine="648"/>
        <w:spacing w:after="0" w:line="281"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i w:val="1"/>
          <w:iCs w:val="1"/>
          <w:color w:val="auto"/>
        </w:rPr>
        <w:t>Compliance with Laws</w:t>
      </w:r>
      <w:r>
        <w:rPr>
          <w:rFonts w:ascii="Times New Roman" w:cs="Times New Roman" w:eastAsia="Times New Roman" w:hAnsi="Times New Roman"/>
          <w:sz w:val="18"/>
          <w:szCs w:val="18"/>
          <w:color w:val="auto"/>
        </w:rPr>
        <w:t>. The Borrower and each of its Restricted Subsidiaries is in compliance with all applicable statutes,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regulations and orders of, and all applicable restrictions imposed by, all Governmental Authority in respect of the conduct of their businesses and the ownership of their property, except such noncompliance as would not reasonably be expected to have, either individually or in the aggregate, a Material Adverse Effect.</w:t>
      </w:r>
    </w:p>
    <w:p>
      <w:pPr>
        <w:spacing w:after="0" w:line="179"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i w:val="1"/>
          <w:iCs w:val="1"/>
          <w:color w:val="auto"/>
        </w:rPr>
        <w:t>Environmental Matters</w:t>
      </w:r>
      <w:r>
        <w:rPr>
          <w:rFonts w:ascii="Times New Roman" w:cs="Times New Roman" w:eastAsia="Times New Roman" w:hAnsi="Times New Roman"/>
          <w:sz w:val="18"/>
          <w:szCs w:val="18"/>
          <w:color w:val="auto"/>
        </w:rPr>
        <w:t>. Except as would not, either individually or in the aggregate, reasonably be expected to have a Material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Adverse Effect:</w:t>
      </w:r>
    </w:p>
    <w:p>
      <w:pPr>
        <w:spacing w:after="0" w:line="228" w:lineRule="exact"/>
        <w:rPr>
          <w:sz w:val="20"/>
          <w:szCs w:val="20"/>
          <w:color w:val="auto"/>
        </w:rPr>
      </w:pPr>
    </w:p>
    <w:p>
      <w:pPr>
        <w:ind w:left="660" w:right="120" w:firstLine="645"/>
        <w:spacing w:after="0" w:line="275" w:lineRule="auto"/>
        <w:tabs>
          <w:tab w:leader="none" w:pos="219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Borrower and each of its Restricted Subsidiaries is in compliance with all Environmental Laws and has obtained and is in compliance with all permits issued under such Environmental Laws;</w:t>
      </w:r>
    </w:p>
    <w:p>
      <w:pPr>
        <w:spacing w:after="0" w:line="215" w:lineRule="exact"/>
        <w:rPr>
          <w:rFonts w:ascii="Times New Roman" w:cs="Times New Roman" w:eastAsia="Times New Roman" w:hAnsi="Times New Roman"/>
          <w:sz w:val="22"/>
          <w:szCs w:val="22"/>
          <w:color w:val="auto"/>
        </w:rPr>
      </w:pPr>
    </w:p>
    <w:p>
      <w:pPr>
        <w:jc w:val="both"/>
        <w:ind w:left="660" w:right="340" w:firstLine="645"/>
        <w:spacing w:after="0" w:line="282" w:lineRule="auto"/>
        <w:tabs>
          <w:tab w:leader="none" w:pos="220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are no pending or, to the knowledge of the Borrower or any of its Restricted Subsidiaries, threatened Environmental Claims against the Borrower or any of its Restricted Subsidiaries or any real property, including leaseholds, currently or, to the knowledge of the Borrower, formerly owned or operated by the Borrower or any of its Restricted Subsidiaries;</w:t>
      </w:r>
    </w:p>
    <w:p>
      <w:pPr>
        <w:spacing w:after="0" w:line="215" w:lineRule="exact"/>
        <w:rPr>
          <w:rFonts w:ascii="Times New Roman" w:cs="Times New Roman" w:eastAsia="Times New Roman" w:hAnsi="Times New Roman"/>
          <w:sz w:val="22"/>
          <w:szCs w:val="22"/>
          <w:color w:val="auto"/>
        </w:rPr>
      </w:pPr>
    </w:p>
    <w:p>
      <w:pPr>
        <w:ind w:left="660" w:right="100" w:firstLine="645"/>
        <w:spacing w:after="0" w:line="289" w:lineRule="auto"/>
        <w:tabs>
          <w:tab w:leader="none" w:pos="219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the knowledge of the Borrower or any of its Restricted Subsidiaries, there are no facts, circumstances, conditions or occurrences that could reasonably be expected to (i) form the basis of an Environmental Claim against or result in an Environmental Liability of the Borrower or any Restricted Subsidiary, or (ii) cause any real property of the Borrower or any Restricted Subsidiary to be subject to any restrictions on the ownership, occupancy, use or transferability of such real property by the Borrower or any of its Restricted Subsidiaries under any Environmental Law.</w:t>
      </w:r>
    </w:p>
    <w:p>
      <w:pPr>
        <w:spacing w:after="0" w:line="210" w:lineRule="exact"/>
        <w:rPr>
          <w:rFonts w:ascii="Times New Roman" w:cs="Times New Roman" w:eastAsia="Times New Roman" w:hAnsi="Times New Roman"/>
          <w:sz w:val="22"/>
          <w:szCs w:val="22"/>
          <w:color w:val="auto"/>
        </w:rPr>
      </w:pPr>
    </w:p>
    <w:p>
      <w:pPr>
        <w:jc w:val="both"/>
        <w:ind w:left="660" w:right="120" w:firstLine="645"/>
        <w:spacing w:after="0" w:line="282" w:lineRule="auto"/>
        <w:tabs>
          <w:tab w:leader="none" w:pos="220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Hazardous Materials have not been Released on, at, under or from any facility currently or, to the knowledge of the Borrower, formerly owned or operated by any Borrower or any of its Restricted Subsidiaries that would reasonably be expected to result in any liability of the Borrower or any of its Restricted Subsidiaries.</w:t>
      </w:r>
    </w:p>
    <w:p>
      <w:pPr>
        <w:sectPr>
          <w:pgSz w:w="11900" w:h="16838" w:orient="portrait"/>
          <w:cols w:equalWidth="0" w:num="1">
            <w:col w:w="11400"/>
          </w:cols>
          <w:pgMar w:left="240" w:top="626" w:right="259" w:bottom="1440" w:gutter="0" w:footer="0" w:header="0"/>
        </w:sectPr>
      </w:pPr>
    </w:p>
    <w:bookmarkStart w:id="238" w:name="page239"/>
    <w:bookmarkEnd w:id="238"/>
    <w:p>
      <w:pPr>
        <w:ind w:right="5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i w:val="1"/>
          <w:iCs w:val="1"/>
          <w:color w:val="auto"/>
        </w:rPr>
        <w:t>Investment Company</w:t>
      </w:r>
      <w:r>
        <w:rPr>
          <w:rFonts w:ascii="Times New Roman" w:cs="Times New Roman" w:eastAsia="Times New Roman" w:hAnsi="Times New Roman"/>
          <w:sz w:val="18"/>
          <w:szCs w:val="18"/>
          <w:color w:val="auto"/>
        </w:rPr>
        <w:t>. None of the Loan Parties is required to register as an “investment company” under the Investment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Company Act of 1940, as amended.</w:t>
      </w:r>
    </w:p>
    <w:p>
      <w:pPr>
        <w:spacing w:after="0" w:line="188"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18"/>
          <w:szCs w:val="18"/>
          <w:color w:val="auto"/>
        </w:rPr>
        <w:t>. The Borrower and each of its Restricted Subsidiaries own all the patents, trademarks, service marks,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trade names, copyrights, trade secrets, know-how or other intellectual property rights, or each has obtained licenses or other rights of whatever nature necessary for the present conduct of its businesses, in each case without any known conflict with the rights of others which, or the failure to obtain which, as the case may be, would reasonably be expected to result in a Material Adverse Effect.</w:t>
      </w:r>
    </w:p>
    <w:p>
      <w:pPr>
        <w:spacing w:after="0" w:line="179"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i w:val="1"/>
          <w:iCs w:val="1"/>
          <w:color w:val="auto"/>
        </w:rPr>
        <w:t>Good Title</w:t>
      </w:r>
      <w:r>
        <w:rPr>
          <w:rFonts w:ascii="Times New Roman" w:cs="Times New Roman" w:eastAsia="Times New Roman" w:hAnsi="Times New Roman"/>
          <w:sz w:val="18"/>
          <w:szCs w:val="18"/>
          <w:color w:val="auto"/>
        </w:rPr>
        <w:t>. The Borrower and its Restricted Subsidiaries have good and indefeasible title, to, or valid leasehold interests in,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their material properties and assets as reflected on the Borrower’s most recent consolidated balance sheet provided to the Administrative Agent (except for sales of assets permitted hereunder, and such defects in title or the validity of leasehold interests that would not reasonably be expected to have, either individually or in the aggregate, a Material Adverse Effect) and is subject to no Liens, other than Permitted Liens.</w:t>
      </w:r>
    </w:p>
    <w:p>
      <w:pPr>
        <w:spacing w:after="0" w:line="179" w:lineRule="exact"/>
        <w:rPr>
          <w:sz w:val="20"/>
          <w:szCs w:val="20"/>
          <w:color w:val="auto"/>
        </w:rPr>
      </w:pPr>
    </w:p>
    <w:p>
      <w:pPr>
        <w:ind w:right="60"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i w:val="1"/>
          <w:iCs w:val="1"/>
          <w:color w:val="auto"/>
        </w:rPr>
        <w:t>Labor Relations</w:t>
      </w:r>
      <w:r>
        <w:rPr>
          <w:rFonts w:ascii="Times New Roman" w:cs="Times New Roman" w:eastAsia="Times New Roman" w:hAnsi="Times New Roman"/>
          <w:sz w:val="18"/>
          <w:szCs w:val="18"/>
          <w:color w:val="auto"/>
        </w:rPr>
        <w:t>. Neither the Borrower nor any of its Restricted Subsidiaries is engaged in any unfair labor practice that would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reasonably be expected to have a Material Adverse Effect. There is (i) no strike, labor dispute, slowdown or stoppage pending against the Borrower or any of its Restricted Subsidiaries or, to the knowledge of the Borrower and its Restricted Subsidiaries, threatened in writing against the Borrower or any of its Restricted Subsidiaries and (ii) to the knowledge of the Borrower and its Restricted Subsidiaries, no union representation proceeding is pending with respect to the employees of the Borrower or any of its Restricted Subsidiaries and no union organizing activities are taking place, except (with respect to any matter specified in clause (i) or (ii) above, either individually or in the aggregate) such as would not reasonably be expected to have a Material Adverse Effect.</w:t>
      </w:r>
    </w:p>
    <w:p>
      <w:pPr>
        <w:spacing w:after="0" w:line="174"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i w:val="1"/>
          <w:iCs w:val="1"/>
          <w:color w:val="auto"/>
        </w:rPr>
        <w:t>Capitalization</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all outstanding Equity Interests of the Borrower and its 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Subsidiaries have been duly authorized and validly issued, and, to the extent applicable, are fully paid and nonassessable, and as of the Amendment No. 7 Effective Date there are no outstanding commitments or other obligations of any Restricted Subsidiary to issue, and no rights of any Person to acquire, any Equity Interests in any Restricted Subsidiary.</w:t>
      </w:r>
    </w:p>
    <w:p>
      <w:pPr>
        <w:spacing w:after="0" w:line="179" w:lineRule="exact"/>
        <w:rPr>
          <w:sz w:val="20"/>
          <w:szCs w:val="20"/>
          <w:color w:val="auto"/>
        </w:rPr>
      </w:pPr>
    </w:p>
    <w:p>
      <w:pPr>
        <w:ind w:right="120"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i w:val="1"/>
          <w:iCs w:val="1"/>
          <w:color w:val="auto"/>
        </w:rPr>
        <w:t>Governmental Authority and Licensing</w:t>
      </w:r>
      <w:r>
        <w:rPr>
          <w:rFonts w:ascii="Times New Roman" w:cs="Times New Roman" w:eastAsia="Times New Roman" w:hAnsi="Times New Roman"/>
          <w:sz w:val="18"/>
          <w:szCs w:val="18"/>
          <w:color w:val="auto"/>
        </w:rPr>
        <w:t>. The Borrower and its Restricted Subsidiaries have received all licenses, permits,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and approvals of each Governmental Authority necessary to conduct their businesses, in each case where the failure to obtain or maintain the same would reasonably be expected to have a Material Adverse Effect. No investigation or proceeding that could reasonably be expected to result in revocation or denial of any license, permit or approval is pending or, to the knowledge of the Borrower, threatened in writing, except where such revocation or denial would not reasonably be expected to have, either individually or in the aggregate, a Material Adverse Effect.</w:t>
      </w:r>
    </w:p>
    <w:p>
      <w:pPr>
        <w:spacing w:after="0" w:line="174" w:lineRule="exact"/>
        <w:rPr>
          <w:sz w:val="20"/>
          <w:szCs w:val="20"/>
          <w:color w:val="auto"/>
        </w:rPr>
      </w:pPr>
    </w:p>
    <w:p>
      <w:pPr>
        <w:ind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i w:val="1"/>
          <w:iCs w:val="1"/>
          <w:color w:val="auto"/>
        </w:rPr>
        <w:t>Approvals</w:t>
      </w:r>
      <w:r>
        <w:rPr>
          <w:rFonts w:ascii="Times New Roman" w:cs="Times New Roman" w:eastAsia="Times New Roman" w:hAnsi="Times New Roman"/>
          <w:sz w:val="18"/>
          <w:szCs w:val="18"/>
          <w:color w:val="auto"/>
        </w:rPr>
        <w:t>. No authorization, consent, license or exemption from, or filing or registration with, any Governmental Authority, nor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any approval or consent of any other Person, is or will be necessary to the valid execution, delivery or performance by the Borrower or any other Loan Party of any Loan Document, except (a) for such approvals which have been obtained prior to the Closing Date and remain in full force and effect, (b) filings necessary to perfect Liens created by the Loan Documents and (c) consents, approvals, registrations, filings, permits or actions the failure to obtain or perform which would not be reasonably expected to have a Material Adverse Effect.</w:t>
      </w:r>
    </w:p>
    <w:p>
      <w:pPr>
        <w:sectPr>
          <w:pgSz w:w="11900" w:h="16838" w:orient="portrait"/>
          <w:cols w:equalWidth="0" w:num="1">
            <w:col w:w="11400"/>
          </w:cols>
          <w:pgMar w:left="240" w:top="621" w:right="259" w:bottom="1440" w:gutter="0" w:footer="0" w:header="0"/>
        </w:sectPr>
      </w:pPr>
    </w:p>
    <w:bookmarkStart w:id="239" w:name="page240"/>
    <w:bookmarkEnd w:id="239"/>
    <w:p>
      <w:pPr>
        <w:jc w:val="both"/>
        <w:ind w:right="20" w:firstLine="648"/>
        <w:spacing w:after="0" w:line="272"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i w:val="1"/>
          <w:iCs w:val="1"/>
          <w:color w:val="auto"/>
        </w:rPr>
        <w:t>Solvency</w:t>
      </w:r>
      <w:r>
        <w:rPr>
          <w:rFonts w:ascii="Times New Roman" w:cs="Times New Roman" w:eastAsia="Times New Roman" w:hAnsi="Times New Roman"/>
          <w:sz w:val="18"/>
          <w:szCs w:val="18"/>
          <w:color w:val="auto"/>
        </w:rPr>
        <w:t>. As of the Amendment No. 7 Effective Date, as applicable, and after giving effect to the Amendment No. 7 Transactions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and the incurrence of the indebtedness and obligations being incurred in connection with this Agreement and the Amendment No. 7 Transactions, (a) the fair value of assets of the Borrower and its Subsidiaries is more than the existing debts of the Borrower and its Subsidiaries as they become absolute and matured,</w:t>
      </w:r>
    </w:p>
    <w:p>
      <w:pPr>
        <w:spacing w:after="0" w:line="2" w:lineRule="exact"/>
        <w:rPr>
          <w:sz w:val="20"/>
          <w:szCs w:val="20"/>
          <w:color w:val="auto"/>
        </w:rPr>
      </w:pPr>
    </w:p>
    <w:p>
      <w:pPr>
        <w:ind w:firstLine="8"/>
        <w:spacing w:after="0" w:line="303" w:lineRule="auto"/>
        <w:tabs>
          <w:tab w:leader="none" w:pos="2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the assets of the Borrower and its Subsidiaries is greater than the amount that will be required to pay the probable liability on existing debts of the Borrower and its Subsidiaries as they become absolute and matured, (c) the capital of the Borrower and its Subsidiaries, taken as a whole, is not unreasonably small in relation to the business of the Borrower or its Subsidiaries, taken as a whole, contemplated as of the Amendment No. 7 Effective Date and as proposed to be conducted following the Amendment No. 7 Effective Date; and (d) the Borrower and its Subsidiaries are able to meet their debts as they generally become due. For the purposes of this Section 5.20, the amount of any contingent liability at any time shall be computed as the amount that would reasonably be expected to become an actual and matured liability.</w:t>
      </w:r>
    </w:p>
    <w:p>
      <w:pPr>
        <w:spacing w:after="0" w:line="16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5.21</w:t>
      </w:r>
      <w:r>
        <w:rPr>
          <w:sz w:val="20"/>
          <w:szCs w:val="20"/>
          <w:color w:val="auto"/>
        </w:rPr>
        <w:tab/>
      </w:r>
      <w:r>
        <w:rPr>
          <w:rFonts w:ascii="Times New Roman" w:cs="Times New Roman" w:eastAsia="Times New Roman" w:hAnsi="Times New Roman"/>
          <w:sz w:val="21"/>
          <w:szCs w:val="21"/>
          <w:i w:val="1"/>
          <w:iCs w:val="1"/>
          <w:color w:val="auto"/>
        </w:rPr>
        <w:t>Anti-Corruption Laws, Sanctions and Anti-Money Laundering</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right="40" w:firstLine="656"/>
        <w:spacing w:after="0" w:line="249" w:lineRule="auto"/>
        <w:tabs>
          <w:tab w:leader="none" w:pos="106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Anti-Corruption and Sanctions</w:t>
      </w:r>
      <w:r>
        <w:rPr>
          <w:rFonts w:ascii="Times New Roman" w:cs="Times New Roman" w:eastAsia="Times New Roman" w:hAnsi="Times New Roman"/>
          <w:sz w:val="22"/>
          <w:szCs w:val="22"/>
          <w:color w:val="auto"/>
        </w:rPr>
        <w:t>. The Borrower has implemented and maintains in effect policies and procedures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designed to promote compliance by the Borrower and its Subsidiaries and, in connection with the activities of the Borrower and its Subsidiaries, their respective directors, officers, employees and agents with Anti-Corruption Laws and applicable Sanctions, and the Borrower and its Subsidiaries and, in connection with the activities of the Borrower and its Subsidiaries, their respective directors and officers and, to the knowledge of a Responsible Officer of the Borrower, its employees, agents and Affiliates are in compliance with Anti-Corruption Laws and applicable Sanctions in all material respects. None of (i) the Borrower or its Subsidiaries or any of their respective directors or officers or (ii) to the knowledge of a Responsible Officer of the Borrower, any of the respective employees or Affiliates of the Borrower or any of its Subsidiaries is a Sanctioned Person or located, organized or resident in a Sanctioned Country.</w:t>
      </w:r>
    </w:p>
    <w:p>
      <w:pPr>
        <w:spacing w:after="0" w:line="176" w:lineRule="exact"/>
        <w:rPr>
          <w:rFonts w:ascii="Times New Roman" w:cs="Times New Roman" w:eastAsia="Times New Roman" w:hAnsi="Times New Roman"/>
          <w:sz w:val="22"/>
          <w:szCs w:val="22"/>
          <w:color w:val="auto"/>
        </w:rPr>
      </w:pPr>
    </w:p>
    <w:p>
      <w:pPr>
        <w:ind w:right="240" w:firstLine="656"/>
        <w:spacing w:after="0" w:line="265" w:lineRule="auto"/>
        <w:tabs>
          <w:tab w:leader="none" w:pos="108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The Borrower and its Restricted Subsidiaries are in compliance in all material respects with the USA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Patriot Act (Title III of Pub. L. 107-56 (signed into law October 26, 2001))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Sanctions, anti-money-laundering laws and Anti-Corruption Laws.</w:t>
      </w:r>
    </w:p>
    <w:p>
      <w:pPr>
        <w:spacing w:after="0" w:line="161" w:lineRule="exact"/>
        <w:rPr>
          <w:rFonts w:ascii="Times New Roman" w:cs="Times New Roman" w:eastAsia="Times New Roman" w:hAnsi="Times New Roman"/>
          <w:sz w:val="22"/>
          <w:szCs w:val="22"/>
          <w:color w:val="auto"/>
        </w:rPr>
      </w:pPr>
    </w:p>
    <w:p>
      <w:pPr>
        <w:ind w:right="140" w:firstLine="656"/>
        <w:spacing w:after="0" w:line="266" w:lineRule="auto"/>
        <w:tabs>
          <w:tab w:leader="none" w:pos="1068"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Use of Proceeds</w:t>
      </w:r>
      <w:r>
        <w:rPr>
          <w:rFonts w:ascii="Times New Roman" w:cs="Times New Roman" w:eastAsia="Times New Roman" w:hAnsi="Times New Roman"/>
          <w:sz w:val="21"/>
          <w:szCs w:val="21"/>
          <w:color w:val="auto"/>
        </w:rPr>
        <w:t>. The proceeds of any Loans or Letter of Credit will not (x) be made available to any Person, directly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indirectly, (I) for the purpose of financing or facilitating any activity in any Sanctioned Country, or any activity with any Sanctioned Person or (II) in any other manner, in each case as would result in violation of Sanctions by any Person party to this Agreement or (y) be used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as amended, or any other Anti-Corruption Laws.</w:t>
      </w:r>
    </w:p>
    <w:p>
      <w:pPr>
        <w:spacing w:after="0" w:line="16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5.22</w:t>
      </w:r>
      <w:r>
        <w:rPr>
          <w:sz w:val="20"/>
          <w:szCs w:val="20"/>
          <w:color w:val="auto"/>
        </w:rPr>
        <w:tab/>
      </w:r>
      <w:r>
        <w:rPr>
          <w:rFonts w:ascii="Times New Roman" w:cs="Times New Roman" w:eastAsia="Times New Roman" w:hAnsi="Times New Roman"/>
          <w:sz w:val="21"/>
          <w:szCs w:val="21"/>
          <w:i w:val="1"/>
          <w:iCs w:val="1"/>
          <w:color w:val="auto"/>
        </w:rPr>
        <w:t>Security Interest in Collateral</w:t>
      </w:r>
      <w:r>
        <w:rPr>
          <w:rFonts w:ascii="Times New Roman" w:cs="Times New Roman" w:eastAsia="Times New Roman" w:hAnsi="Times New Roman"/>
          <w:sz w:val="17"/>
          <w:szCs w:val="17"/>
          <w:color w:val="auto"/>
        </w:rPr>
        <w:t>.</w:t>
      </w:r>
    </w:p>
    <w:p>
      <w:pPr>
        <w:sectPr>
          <w:pgSz w:w="11900" w:h="16838" w:orient="portrait"/>
          <w:cols w:equalWidth="0" w:num="1">
            <w:col w:w="11420"/>
          </w:cols>
          <w:pgMar w:left="240" w:top="621" w:right="239" w:bottom="1440" w:gutter="0" w:footer="0" w:header="0"/>
        </w:sectPr>
      </w:pPr>
    </w:p>
    <w:bookmarkStart w:id="240" w:name="page241"/>
    <w:bookmarkEnd w:id="240"/>
    <w:p>
      <w:pPr>
        <w:ind w:left="1080" w:hanging="424"/>
        <w:spacing w:after="0"/>
        <w:tabs>
          <w:tab w:leader="none" w:pos="10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firstLine="656"/>
        <w:spacing w:after="0" w:line="246" w:lineRule="auto"/>
        <w:tabs>
          <w:tab w:leader="none" w:pos="10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No. 7 Effective Date, subject to the terms of the last paragraph of Section 3.3 and other than during a Collateral and Guarantee Suspension Period, the provisions of the Collateral Documents create legal, valid and enforceable Liens on all of the Collateral in favor of the Collateral Agent (or any designee or trustee on its behalf), for the benefit of itself and the other Secured Parties, subject, as to enforceability, to applicable bankruptcy, insolvency or similar laws affecting creditors’ rights generally and to general principles of equity and principles of good faith and dealing, and upon the making of such filings and taking of such other actions required to be taken by the applicable Collateral Documents (including the filing of appropriate financing statements with the office of the Secretary of State of the state of organization of each Grantor, the filing of appropriate assignments or notices with the U.S. Patent and Trademark Office and the U.S. Copyright Office, and, to the extent required pursuant to Section 3.3 or Section 4.2 of this Agreement, the proper recordation of Mortgages with respect to any real property (other than Excluded Property), in each case in favor of the Collateral Agent (or any designee or trustee on its behalf) for the benefit of itself and the other Secured Parties and the delivery to the Collateral Agent of any certificates representing Equity Interests or promissory notes required to be delivered pursuant to the applicable Collateral Documents), such Liens constitute perfected Liens (with the priority such Liens are expressed to have within the relevant Collateral Document) on the Collateral (to the extent such Liens are required to be perfected under the terms of the Loan Documents), securing the Obligations, Hedging Liability, and, at the Borrower’s option, Funds Transfer Liability, Deposit Account Liability and Data Processing Obligations, in each case as and to the extent set forth therein.</w:t>
      </w:r>
    </w:p>
    <w:p>
      <w:pPr>
        <w:spacing w:after="0" w:line="18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ARTICLE 6.</w:t>
      </w:r>
      <w:r>
        <w:rPr>
          <w:sz w:val="20"/>
          <w:szCs w:val="20"/>
          <w:color w:val="auto"/>
        </w:rPr>
        <w:tab/>
      </w:r>
      <w:r>
        <w:rPr>
          <w:rFonts w:ascii="Times New Roman" w:cs="Times New Roman" w:eastAsia="Times New Roman" w:hAnsi="Times New Roman"/>
          <w:sz w:val="21"/>
          <w:szCs w:val="21"/>
          <w:b w:val="1"/>
          <w:bCs w:val="1"/>
          <w:u w:val="single" w:color="auto"/>
          <w:color w:val="auto"/>
        </w:rPr>
        <w:t>COVENANTS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right="20" w:firstLine="1297"/>
        <w:spacing w:after="0" w:line="250" w:lineRule="auto"/>
        <w:rPr>
          <w:sz w:val="20"/>
          <w:szCs w:val="20"/>
          <w:color w:val="auto"/>
        </w:rPr>
      </w:pPr>
      <w:r>
        <w:rPr>
          <w:rFonts w:ascii="Times New Roman" w:cs="Times New Roman" w:eastAsia="Times New Roman" w:hAnsi="Times New Roman"/>
          <w:sz w:val="22"/>
          <w:szCs w:val="22"/>
          <w:color w:val="auto"/>
        </w:rPr>
        <w:t>The Borrower covenants and agrees that, from and after the Escrow Release Date until the Loans or other Obligations hereunder shall have been paid in full and all Letters of Credit have terminated (other than with respect to contingent indemnification obligations for which no claim has been made and Letters of Credit that have been cash collateralized or otherwise backstopped (including by “grandfathering” into future credit agreements)) and the Commitments shall have been terminated (the “</w:t>
      </w:r>
      <w:r>
        <w:rPr>
          <w:rFonts w:ascii="Times New Roman" w:cs="Times New Roman" w:eastAsia="Times New Roman" w:hAnsi="Times New Roman"/>
          <w:sz w:val="22"/>
          <w:szCs w:val="22"/>
          <w:i w:val="1"/>
          <w:iCs w:val="1"/>
          <w:color w:val="auto"/>
        </w:rPr>
        <w:t>Termination Date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i w:val="1"/>
          <w:iCs w:val="1"/>
          <w:color w:val="auto"/>
        </w:rPr>
        <w:t>Information Covenants</w:t>
      </w:r>
      <w:r>
        <w:rPr>
          <w:rFonts w:ascii="Times New Roman" w:cs="Times New Roman" w:eastAsia="Times New Roman" w:hAnsi="Times New Roman"/>
          <w:sz w:val="17"/>
          <w:szCs w:val="17"/>
          <w:color w:val="auto"/>
        </w:rPr>
        <w:t>. The Borrower will furnish to the Administrative Agent (for delivery to the Lenders):</w:t>
      </w:r>
    </w:p>
    <w:p>
      <w:pPr>
        <w:spacing w:after="0" w:line="233" w:lineRule="exact"/>
        <w:rPr>
          <w:sz w:val="20"/>
          <w:szCs w:val="20"/>
          <w:color w:val="auto"/>
        </w:rPr>
      </w:pPr>
    </w:p>
    <w:p>
      <w:pPr>
        <w:ind w:left="660" w:right="280" w:firstLine="1293"/>
        <w:spacing w:after="0" w:line="254" w:lineRule="auto"/>
        <w:tabs>
          <w:tab w:leader="none" w:pos="237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Quarterly Reports</w:t>
      </w:r>
      <w:r>
        <w:rPr>
          <w:rFonts w:ascii="Times New Roman" w:cs="Times New Roman" w:eastAsia="Times New Roman" w:hAnsi="Times New Roman"/>
          <w:sz w:val="22"/>
          <w:szCs w:val="22"/>
          <w:color w:val="auto"/>
        </w:rPr>
        <w:t>. Within 45 days after the end of each fiscal quarter of the Borrower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corresponding with the fiscal year end, commencing with the fiscal quarter ending September 30, 2016, the Borrower’s consolidated balance sheet as at the end of such fiscal quarter and the related consolidated statements of income, comprehensive income and cash flows for such fiscal quarter and for the elapsed portion of the fiscal year-to-date period then ended, each in reasonable detail, prepared by the</w:t>
      </w:r>
    </w:p>
    <w:p>
      <w:pPr>
        <w:sectPr>
          <w:pgSz w:w="11900" w:h="16838" w:orient="portrait"/>
          <w:cols w:equalWidth="0" w:num="1">
            <w:col w:w="11360"/>
          </w:cols>
          <w:pgMar w:left="240" w:top="625" w:right="299" w:bottom="1440" w:gutter="0" w:footer="0" w:header="0"/>
        </w:sectPr>
      </w:pPr>
    </w:p>
    <w:bookmarkStart w:id="241" w:name="page242"/>
    <w:bookmarkEnd w:id="241"/>
    <w:p>
      <w:pPr>
        <w:ind w:right="140"/>
        <w:spacing w:after="0" w:line="250" w:lineRule="auto"/>
        <w:rPr>
          <w:sz w:val="20"/>
          <w:szCs w:val="20"/>
          <w:color w:val="auto"/>
        </w:rPr>
      </w:pPr>
      <w:r>
        <w:rPr>
          <w:rFonts w:ascii="Times New Roman" w:cs="Times New Roman" w:eastAsia="Times New Roman" w:hAnsi="Times New Roman"/>
          <w:sz w:val="22"/>
          <w:szCs w:val="22"/>
          <w:color w:val="auto"/>
        </w:rPr>
        <w:t>Borrower in accordance with GAAP, and setting forth comparative figures for the corresponding fiscal quarter in the prior fiscal year, all of which shall be certified by the chief financial officer or other financial or accounting officer of the Borrower that they fairly present in all material respects in accordance with GAAP the financial condition of the Borrower and its Subsidiaries as of the dates indicated and the results of their operations and changes in their cash flows for the periods indicated, subject to normal year-end audit adjustments and the absence of footnotes.</w:t>
      </w:r>
    </w:p>
    <w:p>
      <w:pPr>
        <w:spacing w:after="0" w:line="177" w:lineRule="exact"/>
        <w:rPr>
          <w:sz w:val="20"/>
          <w:szCs w:val="20"/>
          <w:color w:val="auto"/>
        </w:rPr>
      </w:pPr>
    </w:p>
    <w:p>
      <w:pPr>
        <w:ind w:firstLine="1293"/>
        <w:spacing w:after="0" w:line="246" w:lineRule="auto"/>
        <w:tabs>
          <w:tab w:leader="none" w:pos="172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Statements</w:t>
      </w:r>
      <w:r>
        <w:rPr>
          <w:rFonts w:ascii="Times New Roman" w:cs="Times New Roman" w:eastAsia="Times New Roman" w:hAnsi="Times New Roman"/>
          <w:sz w:val="22"/>
          <w:szCs w:val="22"/>
          <w:color w:val="auto"/>
        </w:rPr>
        <w:t>. Within 90 days after the close of each fiscal year of the Borrower (commencing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 the fiscal year ending July 1, 2016), a copy of the Borrower’s consolidated balance sheet as of the last day of the fiscal year then ended and the Borrower’s consolidated statements of income, comprehensive income, cash flows and shareholders’ equity for the fiscal year then ended, and accompanying notes thereto, each in reasonable detail and showing in comparative form the figures for the previous fiscal year, accompanied by a report thereon of KPMG LLP or another firm of independent public accountants of recognized national standing, selected by the Borrower, to the effect that the consolidated financial statements have been prepared in accordance with GAAP and present fairly in accordance with GAAP the consolidated financial condition of the Borrower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(which report shall be unqualified as to scope of such audit and shall not contain any “going concern” or like qualification;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report may contain a “going concern” qualification, explanatory paragraph or emphasis solely as a result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 impending maturity within 12 months of any of the Facilities (including Incremental Facilities, Incremental Equivalent Debt and Refinancing Indebtedness in respect of any of the foregoing)).</w:t>
      </w:r>
    </w:p>
    <w:p>
      <w:pPr>
        <w:spacing w:after="0" w:line="191" w:lineRule="exact"/>
        <w:rPr>
          <w:rFonts w:ascii="Times New Roman" w:cs="Times New Roman" w:eastAsia="Times New Roman" w:hAnsi="Times New Roman"/>
          <w:sz w:val="22"/>
          <w:szCs w:val="22"/>
          <w:color w:val="auto"/>
        </w:rPr>
      </w:pPr>
    </w:p>
    <w:p>
      <w:pPr>
        <w:jc w:val="both"/>
        <w:ind w:right="60" w:firstLine="1293"/>
        <w:spacing w:after="0" w:line="254" w:lineRule="auto"/>
        <w:tabs>
          <w:tab w:leader="none" w:pos="171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Budget</w:t>
      </w:r>
      <w:r>
        <w:rPr>
          <w:rFonts w:ascii="Times New Roman" w:cs="Times New Roman" w:eastAsia="Times New Roman" w:hAnsi="Times New Roman"/>
          <w:sz w:val="22"/>
          <w:szCs w:val="22"/>
          <w:color w:val="auto"/>
        </w:rPr>
        <w:t>. Within 45 days after the commencement of each fiscal year of the Borrower or 60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the first fiscal year after the Escrow Release Date, an annual budget for the Borrower and its Subsidiaries for such fiscal year in a form customarily prepared by management of the Borrower for its internal use (including a projected consolidated balance sheet and consolidated statements of profits and losses and capital expenditures as of the end of and for such fiscal year).</w:t>
      </w:r>
    </w:p>
    <w:p>
      <w:pPr>
        <w:spacing w:after="0" w:line="173" w:lineRule="exact"/>
        <w:rPr>
          <w:rFonts w:ascii="Times New Roman" w:cs="Times New Roman" w:eastAsia="Times New Roman" w:hAnsi="Times New Roman"/>
          <w:sz w:val="22"/>
          <w:szCs w:val="22"/>
          <w:color w:val="auto"/>
        </w:rPr>
      </w:pPr>
    </w:p>
    <w:p>
      <w:pPr>
        <w:ind w:right="60" w:firstLine="1293"/>
        <w:spacing w:after="0" w:line="252" w:lineRule="auto"/>
        <w:tabs>
          <w:tab w:leader="none" w:pos="172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Management Discussion and Analysis</w:t>
      </w:r>
      <w:r>
        <w:rPr>
          <w:rFonts w:ascii="Times New Roman" w:cs="Times New Roman" w:eastAsia="Times New Roman" w:hAnsi="Times New Roman"/>
          <w:sz w:val="22"/>
          <w:szCs w:val="22"/>
          <w:color w:val="auto"/>
        </w:rPr>
        <w:t>. Within 45 days after the close of each of the first three (3) fiscal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quarters, a management discussion and analysis of the Borrower’s and its Subsidiaries’ financial performance for that fiscal quarter and a comparison of financial performance for that financial quarter to the corresponding fiscal quarter of the previous fiscal year (in form reasonably acceptable to the Administrative Agent, which shall not be unacceptable solely because it does not contain all of the information required to be included in unaudited interim financial statements by Item 303</w:t>
      </w:r>
    </w:p>
    <w:p>
      <w:pPr>
        <w:sectPr>
          <w:pgSz w:w="11900" w:h="16838" w:orient="portrait"/>
          <w:cols w:equalWidth="0" w:num="1">
            <w:col w:w="10740"/>
          </w:cols>
          <w:pgMar w:left="900" w:top="625" w:right="259" w:bottom="1440" w:gutter="0" w:footer="0" w:header="0"/>
        </w:sectPr>
      </w:pPr>
    </w:p>
    <w:bookmarkStart w:id="242" w:name="page243"/>
    <w:bookmarkEnd w:id="242"/>
    <w:p>
      <w:pPr>
        <w:ind w:right="100"/>
        <w:spacing w:after="0" w:line="257" w:lineRule="auto"/>
        <w:rPr>
          <w:sz w:val="20"/>
          <w:szCs w:val="20"/>
          <w:color w:val="auto"/>
        </w:rPr>
      </w:pPr>
      <w:r>
        <w:rPr>
          <w:rFonts w:ascii="Times New Roman" w:cs="Times New Roman" w:eastAsia="Times New Roman" w:hAnsi="Times New Roman"/>
          <w:sz w:val="22"/>
          <w:szCs w:val="22"/>
          <w:color w:val="auto"/>
        </w:rPr>
        <w:t>of Regulation S-K of the Securities Act of 1933, as amended). Within 90 days after the close of each fiscal year, a management discussion and analysis of the Borrower’s and its Subsidiaries’ financial performance for that fiscal year and a comparison of financial performance for that fiscal year to the prior year.</w:t>
      </w:r>
    </w:p>
    <w:p>
      <w:pPr>
        <w:spacing w:after="0" w:line="169" w:lineRule="exact"/>
        <w:rPr>
          <w:sz w:val="20"/>
          <w:szCs w:val="20"/>
          <w:color w:val="auto"/>
        </w:rPr>
      </w:pPr>
    </w:p>
    <w:p>
      <w:pPr>
        <w:ind w:firstLine="1293"/>
        <w:spacing w:after="0" w:line="260" w:lineRule="auto"/>
        <w:tabs>
          <w:tab w:leader="none" w:pos="171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Compliance Certificate</w:t>
      </w:r>
      <w:r>
        <w:rPr>
          <w:rFonts w:ascii="Times New Roman" w:cs="Times New Roman" w:eastAsia="Times New Roman" w:hAnsi="Times New Roman"/>
          <w:sz w:val="21"/>
          <w:szCs w:val="21"/>
          <w:color w:val="auto"/>
        </w:rPr>
        <w:t>. At the time of the delivery of the financial statements provided for in Sections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6.1(a) and (b), a certificate of the chief financial officer or other financial or accounting officer of the Borrower substantially in the form of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(w) stating no Default or Event of Default has occurred and is then continuing or, if a Default or Event of Default exists, a detailed description of the Default or Event of Default and all actions the Borrower is taking with respect to such Default or Event of Default, (x) during a Collateral and Guarantee Period, designating any applicable Domestic Subsidiary as a Material Subsidiary, (y) showing the Borrower’s compliance with the covenants set forth in Section 6.22 (including a calculation of Consolidated Adjusted EBITDA without giving effect to the parenthetical in clause (a)(iii) of the definition thereof) and (z) solely in connection with the delivery of financial statements pursuant to Section</w:t>
      </w:r>
    </w:p>
    <w:p>
      <w:pPr>
        <w:spacing w:after="0" w:line="1" w:lineRule="exact"/>
        <w:rPr>
          <w:rFonts w:ascii="Times New Roman" w:cs="Times New Roman" w:eastAsia="Times New Roman" w:hAnsi="Times New Roman"/>
          <w:sz w:val="21"/>
          <w:szCs w:val="21"/>
          <w:color w:val="auto"/>
        </w:rPr>
      </w:pPr>
    </w:p>
    <w:p>
      <w:pPr>
        <w:ind w:right="80"/>
        <w:spacing w:after="0" w:line="26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6.1(b) for any fiscal year beginning with the first full fiscal year ended after the Escrow Release Date, if the Senior Secured Leverage Ratio calculated on a Pro Forma Basis as of the last day of such fiscal year is greater than 1.00:1.00, calculating Excess Cash Flow for such fiscal year and the Senior Secured Leverage Ratio as of the last day of such fiscal year.</w:t>
      </w:r>
    </w:p>
    <w:p>
      <w:pPr>
        <w:spacing w:after="0" w:line="164" w:lineRule="exact"/>
        <w:rPr>
          <w:rFonts w:ascii="Times New Roman" w:cs="Times New Roman" w:eastAsia="Times New Roman" w:hAnsi="Times New Roman"/>
          <w:sz w:val="21"/>
          <w:szCs w:val="21"/>
          <w:color w:val="auto"/>
        </w:rPr>
      </w:pPr>
    </w:p>
    <w:p>
      <w:pPr>
        <w:ind w:right="60" w:firstLine="1293"/>
        <w:spacing w:after="0" w:line="252" w:lineRule="auto"/>
        <w:tabs>
          <w:tab w:leader="none" w:pos="169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Default or Litigation</w:t>
      </w:r>
      <w:r>
        <w:rPr>
          <w:rFonts w:ascii="Times New Roman" w:cs="Times New Roman" w:eastAsia="Times New Roman" w:hAnsi="Times New Roman"/>
          <w:sz w:val="22"/>
          <w:szCs w:val="22"/>
          <w:color w:val="auto"/>
        </w:rPr>
        <w:t>. Promptly after any senior executive officer of the Borrower obtains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knowledge thereof, notice of (i) the occurrence of any event which constitutes a Default or an Event of Default, which notice shall specify the nature thereof, the period of existence thereof and what action the Borrower proposes to take with respect thereto and (ii) the commencement of, or threat in writing of, or any significant development in, any litigation, labor controversy, arbitration or governmental proceeding pending against the Borrower or any of its Restricted Subsidiaries which would reasonably be expected to result in a Material Adverse Effect.</w:t>
      </w:r>
    </w:p>
    <w:p>
      <w:pPr>
        <w:spacing w:after="0" w:line="175" w:lineRule="exact"/>
        <w:rPr>
          <w:rFonts w:ascii="Times New Roman" w:cs="Times New Roman" w:eastAsia="Times New Roman" w:hAnsi="Times New Roman"/>
          <w:sz w:val="22"/>
          <w:szCs w:val="22"/>
          <w:color w:val="auto"/>
        </w:rPr>
      </w:pPr>
    </w:p>
    <w:p>
      <w:pPr>
        <w:ind w:right="60" w:firstLine="1293"/>
        <w:spacing w:after="0" w:line="269" w:lineRule="auto"/>
        <w:tabs>
          <w:tab w:leader="none" w:pos="1729"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Reports and Filings</w:t>
      </w:r>
      <w:r>
        <w:rPr>
          <w:rFonts w:ascii="Times New Roman" w:cs="Times New Roman" w:eastAsia="Times New Roman" w:hAnsi="Times New Roman"/>
          <w:sz w:val="21"/>
          <w:szCs w:val="21"/>
          <w:color w:val="auto"/>
        </w:rPr>
        <w:t>. To the extent not required by any other clause in this Section 6.1, promptly,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copies of all financial information, proxy materials and other material information which the Borrower or any of its Restricted Subsidiaries has delivered to holders of, or to any agent or trustee with respect to, Indebtedness of the Borrower or any of its Subsidiaries in their capacity as such a holder, agent or trustee to the extent that the aggregate principal amount of such Indebtedness exceeds (or upon the utilization of any unused commitments may exceed) $350.0 million.</w:t>
      </w:r>
    </w:p>
    <w:p>
      <w:pPr>
        <w:spacing w:after="0" w:line="159" w:lineRule="exact"/>
        <w:rPr>
          <w:rFonts w:ascii="Times New Roman" w:cs="Times New Roman" w:eastAsia="Times New Roman" w:hAnsi="Times New Roman"/>
          <w:sz w:val="21"/>
          <w:szCs w:val="21"/>
          <w:color w:val="auto"/>
        </w:rPr>
      </w:pPr>
    </w:p>
    <w:p>
      <w:pPr>
        <w:ind w:right="100" w:firstLine="1293"/>
        <w:spacing w:after="0" w:line="263" w:lineRule="auto"/>
        <w:tabs>
          <w:tab w:leader="none" w:pos="172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 Forma Adjustment Certificate</w:t>
      </w:r>
      <w:r>
        <w:rPr>
          <w:rFonts w:ascii="Times New Roman" w:cs="Times New Roman" w:eastAsia="Times New Roman" w:hAnsi="Times New Roman"/>
          <w:sz w:val="22"/>
          <w:szCs w:val="22"/>
          <w:color w:val="auto"/>
        </w:rPr>
        <w:t>. On or before the date an incurrence ratio under this Agreement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tested and for which a Pro Forma Adjustment has been made that is in excess of 1.0% of Consolidated Adjusted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EBITDA</w:t>
      </w:r>
    </w:p>
    <w:p>
      <w:pPr>
        <w:sectPr>
          <w:pgSz w:w="11900" w:h="16838" w:orient="portrait"/>
          <w:cols w:equalWidth="0" w:num="1">
            <w:col w:w="10760"/>
          </w:cols>
          <w:pgMar w:left="900" w:top="626" w:right="239" w:bottom="1440" w:gutter="0" w:footer="0" w:header="0"/>
        </w:sectPr>
      </w:pPr>
    </w:p>
    <w:bookmarkStart w:id="243" w:name="page244"/>
    <w:bookmarkEnd w:id="243"/>
    <w:p>
      <w:pPr>
        <w:ind w:right="60"/>
        <w:spacing w:after="0" w:line="250" w:lineRule="auto"/>
        <w:rPr>
          <w:sz w:val="20"/>
          <w:szCs w:val="20"/>
          <w:color w:val="auto"/>
        </w:rPr>
      </w:pPr>
      <w:r>
        <w:rPr>
          <w:rFonts w:ascii="Times New Roman" w:cs="Times New Roman" w:eastAsia="Times New Roman" w:hAnsi="Times New Roman"/>
          <w:sz w:val="22"/>
          <w:szCs w:val="22"/>
          <w:color w:val="auto"/>
        </w:rPr>
        <w:t>for the four (4) fiscal quarters of the Borrower then ended and that has not been previously calculated in a prior Compliance Certificate, a certificate of an officer of the Borrower in form reasonably acceptable to the Administrative Agent setting forth the amount of such Pro Forma Adjustment and, in reasonable detail, the calculations and basis therefor, which certificate shall be accompanied by financial statements for such acquired business for each fiscal quarter ending during the relevant period, to the extent available.</w:t>
      </w:r>
    </w:p>
    <w:p>
      <w:pPr>
        <w:spacing w:after="0" w:line="177" w:lineRule="exact"/>
        <w:rPr>
          <w:sz w:val="20"/>
          <w:szCs w:val="20"/>
          <w:color w:val="auto"/>
        </w:rPr>
      </w:pPr>
    </w:p>
    <w:p>
      <w:pPr>
        <w:ind w:firstLine="1293"/>
        <w:spacing w:after="0" w:line="258" w:lineRule="auto"/>
        <w:tabs>
          <w:tab w:leader="none" w:pos="168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Environmental Matters</w:t>
      </w:r>
      <w:r>
        <w:rPr>
          <w:rFonts w:ascii="Times New Roman" w:cs="Times New Roman" w:eastAsia="Times New Roman" w:hAnsi="Times New Roman"/>
          <w:sz w:val="21"/>
          <w:szCs w:val="21"/>
          <w:color w:val="auto"/>
        </w:rPr>
        <w:t>. Promptly after the Borrower obtains knowledge thereof, notice of one (1)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more of the following environmental matters which individually, or in the aggregate, may reasonably be expected to have a Material Adverse Effect: (i) any notice of an Environmental Claim against the Borrower or any of its Subsidiaries or any real property owned or operated by the Borrower or any of its Subsidiaries; (ii) any condition or occurrence on or arising from any real property owned or operated by the Borrower or any of its Subsidiaries that (a) results in noncompliance by the Borrower or any of its Subsidiaries with any Environmental Law or (b) could reasonably be expected to form the basis of an Environmental Claim against the Borrower or any of its Subsidiaries or any such real property; (iii) any condition or occurrence on any real property owned or operated by the Borrower or any of its Subsidiaries that could reasonably be expected to cause such real property to be subject to any restrictions on the ownership, occupancy, use or transferability by the Borrower or any of its Subsidiaries of such real property under any Environmental Law; and (iv) any removal or remedial actions to be taken in response to the actual or alleged presence of any Hazardous Material on any real property owned or operated by the Borrower or any of its Subsidiaries as required by any Environmental Law or any Governmental Authority. All such notices shall describe in reasonable detail the nature of the claim, investigation, condition, occurrence or removal or remedial action and the Borrower’s or such Subsidiary’s response thereto. In addition, the Borrower agrees to provide the Lenders with copies of all material non-privileged written communications by the Borrower or any of its Subsidiaries with any Person or Governmental Authority relating to any of the matters set forth in clauses (i) through (iv) above, and such detailed reports relating to any of the matters set forth in clauses (i) through (iv) above as may reasonably be requested by, and at the expense of, the Administrative Agent or the Required Lenders.</w:t>
      </w:r>
    </w:p>
    <w:p>
      <w:pPr>
        <w:spacing w:after="0" w:line="175" w:lineRule="exact"/>
        <w:rPr>
          <w:rFonts w:ascii="Times New Roman" w:cs="Times New Roman" w:eastAsia="Times New Roman" w:hAnsi="Times New Roman"/>
          <w:sz w:val="21"/>
          <w:szCs w:val="21"/>
          <w:color w:val="auto"/>
        </w:rPr>
      </w:pPr>
    </w:p>
    <w:p>
      <w:pPr>
        <w:ind w:right="60" w:firstLine="1293"/>
        <w:spacing w:after="0" w:line="254" w:lineRule="auto"/>
        <w:tabs>
          <w:tab w:leader="none" w:pos="16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From time to time, such other information or documents (financial or otherwise)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Administrative Agent or any Lender (through the Administrative Agent) may reasonably request;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and any Lender (through the Administrative Agent) may request such information in their respective capacities as Administrative Agent and Lender only and may not use such information for any purpose other than a purpose reasonably related to its capacity as Administrative Agent or Lender, as applicable.</w:t>
      </w:r>
    </w:p>
    <w:p>
      <w:pPr>
        <w:sectPr>
          <w:pgSz w:w="11900" w:h="16838" w:orient="portrait"/>
          <w:cols w:equalWidth="0" w:num="1">
            <w:col w:w="10760"/>
          </w:cols>
          <w:pgMar w:left="900" w:top="625" w:right="239" w:bottom="1440" w:gutter="0" w:footer="0" w:header="0"/>
        </w:sectPr>
      </w:pPr>
    </w:p>
    <w:bookmarkStart w:id="244" w:name="page245"/>
    <w:bookmarkEnd w:id="244"/>
    <w:p>
      <w:pPr>
        <w:ind w:right="60" w:firstLine="1297"/>
        <w:spacing w:after="0" w:line="250" w:lineRule="auto"/>
        <w:rPr>
          <w:sz w:val="20"/>
          <w:szCs w:val="20"/>
          <w:color w:val="auto"/>
        </w:rPr>
      </w:pPr>
      <w:r>
        <w:rPr>
          <w:rFonts w:ascii="Times New Roman" w:cs="Times New Roman" w:eastAsia="Times New Roman" w:hAnsi="Times New Roman"/>
          <w:sz w:val="22"/>
          <w:szCs w:val="22"/>
          <w:color w:val="auto"/>
        </w:rPr>
        <w:t>Information and documents required to be delivered pursuant to this Section 6.1 may be delivered electronically and if so delivered, shall be deemed to have been delivered on the date (i) on which the Borrower posts such documents, or provides a link thereto on the Borrower’s website on the Internet at the website address provided to the Administrative Agent or on an Intralinks or similar site to which the Lenders have been granted access; or (ii) on which such documents are transmitted by electronic mail to the Administrative Agent.</w:t>
      </w:r>
    </w:p>
    <w:p>
      <w:pPr>
        <w:spacing w:after="0" w:line="181" w:lineRule="exact"/>
        <w:rPr>
          <w:sz w:val="20"/>
          <w:szCs w:val="20"/>
          <w:color w:val="auto"/>
        </w:rPr>
      </w:pPr>
    </w:p>
    <w:p>
      <w:pPr>
        <w:ind w:right="500" w:firstLine="1297"/>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obligations in clauses (a), (b) and (d) of this Section 6.1 may be satisfied by furnishing the Borrower’s Form 10-K or 10-Q, as applicable, filed with the Securities and Exchange Commission.</w:t>
      </w:r>
    </w:p>
    <w:p>
      <w:pPr>
        <w:spacing w:after="0" w:line="158" w:lineRule="exact"/>
        <w:rPr>
          <w:sz w:val="20"/>
          <w:szCs w:val="20"/>
          <w:color w:val="auto"/>
        </w:rPr>
      </w:pPr>
    </w:p>
    <w:p>
      <w:pPr>
        <w:ind w:right="60" w:firstLine="1297"/>
        <w:spacing w:after="0" w:line="250" w:lineRule="auto"/>
        <w:rPr>
          <w:sz w:val="20"/>
          <w:szCs w:val="20"/>
          <w:color w:val="auto"/>
        </w:rPr>
      </w:pPr>
      <w:r>
        <w:rPr>
          <w:rFonts w:ascii="Times New Roman" w:cs="Times New Roman" w:eastAsia="Times New Roman" w:hAnsi="Times New Roman"/>
          <w:sz w:val="22"/>
          <w:szCs w:val="22"/>
          <w:color w:val="auto"/>
        </w:rPr>
        <w:t>The Borrower acknowledges and agrees that all financial statements furnished pursuant to clauses (a) and (b) above are hereby deemed to be Borrower Materials suitable for distribution, and to be made available, to Public Lenders as contemplated by Section 10.25 and may be treated by the Administrative Agent and the Lenders as if the same had been marked “PUBLIC” in accordance with such paragraph (unless the Borrower otherwise notifies the Administrative Agent in writing on or prior to delivery thereof).</w:t>
      </w:r>
    </w:p>
    <w:p>
      <w:pPr>
        <w:spacing w:after="0" w:line="177"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i w:val="1"/>
          <w:iCs w:val="1"/>
          <w:color w:val="auto"/>
        </w:rPr>
        <w:t>Inspections</w:t>
      </w:r>
      <w:r>
        <w:rPr>
          <w:rFonts w:ascii="Times New Roman" w:cs="Times New Roman" w:eastAsia="Times New Roman" w:hAnsi="Times New Roman"/>
          <w:sz w:val="18"/>
          <w:szCs w:val="18"/>
          <w:color w:val="auto"/>
        </w:rPr>
        <w:t>. The Borrower will, and will cause each Restricted Subsidiary to, permit officers, designated representatives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agents of the Administrative Agent (or any Lender solely if accompanying the Administrative Agent), to visit and inspect any tangible Property of the Borrower or such Restricted Subsidiary, and to examine the books of account of the Borrower or such Restricted Subsidiary and discuss the affairs, finances and accounts of the Borrower or such Restricted Subsidiary with its and their officers and independent accountants, all at such reasonable times during normal business hours as the Administrative Agent may request, in each case, subject to Section 10.23;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reasonable prior written notice of any such visit, inspection or examination shall be provided to the Borrower and such visit, inspection or examination shall be performed at reasonable times to be agreed to by the Borrower, which agreement will not be unreasonably withheld, (ii) excluding any such visits and inspections during the continuation of an Event of Default, the Administrative Agent shall not exercise its rights under this Section 6.2 more often than one (1) time during any such fiscal year, the Borrower is not obligated to compensate the Administrative Agent for more than one (1) inspection and examination by the Administrative Agent during any calendar year and any such compensation shall be subject to the limitations of Section 10.13, and (iii) the Administrative Agent may conduct inspections pursuant to this Section 6.2 in its respective capacity as Administrative Agent only and may not conduct inspections or utilize information from such inspections for any purpose other than a purpose reasonably related to its capacity as Administrative Agent. The Administrative Agent shall give the Borrower a reasonable opportunity to participate in any discussions with the Borrower’s independent public accountants.</w:t>
      </w:r>
    </w:p>
    <w:p>
      <w:pPr>
        <w:spacing w:after="0" w:line="16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i w:val="1"/>
          <w:iCs w:val="1"/>
          <w:color w:val="auto"/>
        </w:rPr>
        <w:t>Maintenance of Property, Insurance, Environmental Matters, etc</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60" w:firstLine="656"/>
        <w:spacing w:after="0" w:line="264" w:lineRule="auto"/>
        <w:tabs>
          <w:tab w:leader="none" w:pos="1068"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will, and will cause each of its Subsidiaries to, (i) keep its tangible property, plant and equipment in good repair, working order and condition, (ii) prosecute, maintain and renew its intellectual property, except to the extent permitted herein, except (A) in the case of clause (i) with respect to normal wear and tear and casualty and condemnation and (B) in the case of clauses (i) and (ii) to the extent that failure to do so would not reasonably be expected to result in a Material Adverse Effect and</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full force and effect with</w:t>
      </w:r>
    </w:p>
    <w:p>
      <w:pPr>
        <w:sectPr>
          <w:pgSz w:w="11900" w:h="16838" w:orient="portrait"/>
          <w:cols w:equalWidth="0" w:num="1">
            <w:col w:w="11420"/>
          </w:cols>
          <w:pgMar w:left="240" w:top="626" w:right="239" w:bottom="1440" w:gutter="0" w:footer="0" w:header="0"/>
        </w:sectPr>
      </w:pPr>
    </w:p>
    <w:bookmarkStart w:id="245" w:name="page246"/>
    <w:bookmarkEnd w:id="245"/>
    <w:p>
      <w:pPr>
        <w:ind w:right="80"/>
        <w:spacing w:after="0" w:line="249" w:lineRule="auto"/>
        <w:rPr>
          <w:sz w:val="20"/>
          <w:szCs w:val="20"/>
          <w:color w:val="auto"/>
        </w:rPr>
      </w:pPr>
      <w:r>
        <w:rPr>
          <w:rFonts w:ascii="Times New Roman" w:cs="Times New Roman" w:eastAsia="Times New Roman" w:hAnsi="Times New Roman"/>
          <w:sz w:val="22"/>
          <w:szCs w:val="22"/>
          <w:color w:val="auto"/>
        </w:rPr>
        <w:t>insurance companies that the Borrower believes are financially sound and reputable insurance against loss or damage of the kinds customarily insured against by Persons engaged in the same or similar business of the Borrower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 and shall furnish to the Administrative Agent upon its reasonable request (but not more than once per fiscal year in the absence of an Event of Default) reasonably detailed information as to the insurance so carried.</w:t>
      </w:r>
    </w:p>
    <w:p>
      <w:pPr>
        <w:spacing w:after="0" w:line="181" w:lineRule="exact"/>
        <w:rPr>
          <w:sz w:val="20"/>
          <w:szCs w:val="20"/>
          <w:color w:val="auto"/>
        </w:rPr>
      </w:pPr>
    </w:p>
    <w:p>
      <w:pPr>
        <w:ind w:firstLine="656"/>
        <w:spacing w:after="0" w:line="259" w:lineRule="auto"/>
        <w:tabs>
          <w:tab w:leader="none" w:pos="108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Section 6.3(a), the Borrower and its Subsidiaries: (i) shall comply with, and maintain all real property in compliance with, any Environmental Laws; (ii) shall obtain and maintain in full force and effect all permits issued under Environmental Law required for its operations at or on its facilities; (iii) shall cure as soon as reasonably practicable any material violation of applicable Environmental Laws with respect to any of its real properties; (iv) shall not, and shall not permit any other Person to, own or operate on any of its real properties any landfill or dump or hazardous waste treatment, storage or disposal facility as defined pursuant to the RCRA, or any comparable state law; and (v) shall not use, generate, treat, store, release or dispose of Hazardous Materials at, under, from or on any of the real property except in the ordinary course of its business and in compliance with all Environmental Laws; except, with respect to clauses (i), (ii), (iv) and (v), to the extent, either individually or in the aggregate, all of the same would not be reasonably expected to have a Material Adverse Effect. With respect to any Release of Hazardous Materials, the Borrower and its Restricted Subsidiaries shall conduct any necessary or required investigation, study, sampling and testing, and undertake any cleanup, removal, remedial or other response action necessary to remove, cleanup or abate any material quantity of Hazardous Materials released as required by any applicable Environmental Law.</w:t>
      </w:r>
    </w:p>
    <w:p>
      <w:pPr>
        <w:spacing w:after="0" w:line="181" w:lineRule="exact"/>
        <w:rPr>
          <w:rFonts w:ascii="Times New Roman" w:cs="Times New Roman" w:eastAsia="Times New Roman" w:hAnsi="Times New Roman"/>
          <w:sz w:val="21"/>
          <w:szCs w:val="21"/>
          <w:color w:val="auto"/>
        </w:rPr>
      </w:pPr>
    </w:p>
    <w:p>
      <w:pPr>
        <w:ind w:right="280" w:firstLine="656"/>
        <w:spacing w:after="0" w:line="248" w:lineRule="auto"/>
        <w:tabs>
          <w:tab w:leader="none" w:pos="106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during a Collateral and Guarantee Suspension Period, if any portion of any Mortgaged Property is at any time located in an area identified by the Federal Emergency Management Agency (or any successor agency) as a special flood hazard area with respect to which flood insurance has been made available under the Flood Insurance Laws, then the Borrower shall, or shall cause each Grantor to (i) maintain, or cause to be maintained, with a financially sound and reputable insurer, flood insurance in an amount and other-wise sufficient to comply with all applicable rules and regulations promulgated pursuant to the Flood Insurance Laws, (ii) cooperate with the Administrative Agent and provide information reasonably required by the Administrative Agent to comply with the Flood Insurance Laws and (iii) deliver to the Administrative Agent evidence of such compliance in form and substance reasonably acceptable to the Administrative Agent, including, without limitation, evidence of annual renewals of such insurance.</w:t>
      </w:r>
    </w:p>
    <w:p>
      <w:pPr>
        <w:spacing w:after="0" w:line="182" w:lineRule="exact"/>
        <w:rPr>
          <w:sz w:val="20"/>
          <w:szCs w:val="20"/>
          <w:color w:val="auto"/>
        </w:rPr>
      </w:pPr>
    </w:p>
    <w:p>
      <w:pPr>
        <w:ind w:right="5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i w:val="1"/>
          <w:iCs w:val="1"/>
          <w:color w:val="auto"/>
        </w:rPr>
        <w:t>Books and Records</w:t>
      </w:r>
      <w:r>
        <w:rPr>
          <w:rFonts w:ascii="Times New Roman" w:cs="Times New Roman" w:eastAsia="Times New Roman" w:hAnsi="Times New Roman"/>
          <w:sz w:val="18"/>
          <w:szCs w:val="18"/>
          <w:color w:val="auto"/>
        </w:rPr>
        <w:t>. The Borrower will, and will cause each Restricted Subsidiary to, maintain proper books of record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account in which entries that are full, true and correct in all material respects</w:t>
      </w:r>
    </w:p>
    <w:p>
      <w:pPr>
        <w:sectPr>
          <w:pgSz w:w="11900" w:h="16838" w:orient="portrait"/>
          <w:cols w:equalWidth="0" w:num="1">
            <w:col w:w="11400"/>
          </w:cols>
          <w:pgMar w:left="240" w:top="625" w:right="259" w:bottom="1440" w:gutter="0" w:footer="0" w:header="0"/>
        </w:sectPr>
      </w:pPr>
    </w:p>
    <w:bookmarkStart w:id="246" w:name="page247"/>
    <w:bookmarkEnd w:id="246"/>
    <w:p>
      <w:pPr>
        <w:ind w:right="20"/>
        <w:spacing w:after="0" w:line="282" w:lineRule="auto"/>
        <w:rPr>
          <w:sz w:val="20"/>
          <w:szCs w:val="20"/>
          <w:color w:val="auto"/>
        </w:rPr>
      </w:pPr>
      <w:r>
        <w:rPr>
          <w:rFonts w:ascii="Times New Roman" w:cs="Times New Roman" w:eastAsia="Times New Roman" w:hAnsi="Times New Roman"/>
          <w:sz w:val="18"/>
          <w:szCs w:val="18"/>
          <w:color w:val="auto"/>
        </w:rPr>
        <w:t>and are in conformity with GAAP consistently applied shall be made of all material financial transactions and matters involving the assets and business of the Borrower or its Restricted Subsidiary, as the case may be.</w:t>
      </w:r>
    </w:p>
    <w:p>
      <w:pPr>
        <w:spacing w:after="0" w:line="162" w:lineRule="exact"/>
        <w:rPr>
          <w:sz w:val="20"/>
          <w:szCs w:val="20"/>
          <w:color w:val="auto"/>
        </w:rPr>
      </w:pPr>
    </w:p>
    <w:p>
      <w:pPr>
        <w:ind w:right="60"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i w:val="1"/>
          <w:iCs w:val="1"/>
          <w:color w:val="auto"/>
        </w:rPr>
        <w:t>Preservation of Existence</w:t>
      </w:r>
      <w:r>
        <w:rPr>
          <w:rFonts w:ascii="Times New Roman" w:cs="Times New Roman" w:eastAsia="Times New Roman" w:hAnsi="Times New Roman"/>
          <w:sz w:val="18"/>
          <w:szCs w:val="18"/>
          <w:color w:val="auto"/>
        </w:rPr>
        <w:t>. The Borrower will, and will cause each of its Restricted Subsidiaries to, do or cause to be done, 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things necessary to preserve and keep in full force and effect (a) its existence under the laws of its jurisdiction of organization and (b) its franchises, authority to do business and governmental licenses, except, (i) in the case of clause (a) with respect to each Restricted Subsidiary and (ii) in the case of clause (b), in each case, where the failure to do so would not reasonably be expected to have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this Section 6.5 shall prevent the Borrower or any Restricted Subsidiary from consummating any transaction permitted by Section 6.16.</w:t>
      </w:r>
    </w:p>
    <w:p>
      <w:pPr>
        <w:spacing w:after="0" w:line="174" w:lineRule="exact"/>
        <w:rPr>
          <w:sz w:val="20"/>
          <w:szCs w:val="20"/>
          <w:color w:val="auto"/>
        </w:rPr>
      </w:pPr>
    </w:p>
    <w:p>
      <w:pPr>
        <w:ind w:right="40"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6.6 </w:t>
      </w:r>
      <w:r>
        <w:rPr>
          <w:rFonts w:ascii="Times New Roman" w:cs="Times New Roman" w:eastAsia="Times New Roman" w:hAnsi="Times New Roman"/>
          <w:sz w:val="22"/>
          <w:szCs w:val="22"/>
          <w:i w:val="1"/>
          <w:iCs w:val="1"/>
          <w:color w:val="auto"/>
        </w:rPr>
        <w:t>Compliance with Laws</w:t>
      </w:r>
      <w:r>
        <w:rPr>
          <w:rFonts w:ascii="Times New Roman" w:cs="Times New Roman" w:eastAsia="Times New Roman" w:hAnsi="Times New Roman"/>
          <w:sz w:val="18"/>
          <w:szCs w:val="18"/>
          <w:color w:val="auto"/>
        </w:rPr>
        <w:t>. The Borrower shall, and shall cause each Restricted Subsidiary to, comply in all respects with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requirements of all laws, rules, regulations, ordinances and orders applicable to its property or business operations of any Governmental Authority, where any such non-compliance, individually or in the aggregate, would reasonably be expected to have a Material Adverse Effect or result in a Lien upon any of its Property (other than a Permitted Lien). The Borrower will maintain in effect and enforce policies and procedures designed to promote compliance by the Borrower, its Subsidiaries and their respective directors, officers and employees in connection with the Borrower or its Subsidiaries with Anti-Corruption Laws, applicable Sanctions and the Patriot Act and other applicable anti-money laundering laws.</w:t>
      </w:r>
    </w:p>
    <w:p>
      <w:pPr>
        <w:spacing w:after="0" w:line="174" w:lineRule="exact"/>
        <w:rPr>
          <w:sz w:val="20"/>
          <w:szCs w:val="20"/>
          <w:color w:val="auto"/>
        </w:rPr>
      </w:pPr>
    </w:p>
    <w:p>
      <w:pPr>
        <w:ind w:right="120"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18"/>
          <w:szCs w:val="18"/>
          <w:color w:val="auto"/>
        </w:rPr>
        <w:t>. The Borrower shall, and shall cause each Subsidiary to, promptly pay and discharge all obligations and liabilities arising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under ERISA of a character which if unpaid or unperformed would reasonably be expected to have a Material Adverse Effect. The Borrower shall, and shall cause each Subsidiary to, promptly notify the Administrative Agent of: (a) the occurrence of any Reportable Event with respect to a Plan, (b) receipt of any notice from the PBGC of its intention to seek termination of any Plan or appointment of a trustee therefor and (c) its intention to terminate or withdraw from any Plan, in each case, except as could not reasonably be expected to have a Material Adverse Effect.</w:t>
      </w:r>
    </w:p>
    <w:p>
      <w:pPr>
        <w:spacing w:after="0" w:line="174" w:lineRule="exact"/>
        <w:rPr>
          <w:sz w:val="20"/>
          <w:szCs w:val="20"/>
          <w:color w:val="auto"/>
        </w:rPr>
      </w:pPr>
    </w:p>
    <w:p>
      <w:pPr>
        <w:ind w:right="140"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i w:val="1"/>
          <w:iCs w:val="1"/>
          <w:color w:val="auto"/>
        </w:rPr>
        <w:t>Payment of Taxes</w:t>
      </w:r>
      <w:r>
        <w:rPr>
          <w:rFonts w:ascii="Times New Roman" w:cs="Times New Roman" w:eastAsia="Times New Roman" w:hAnsi="Times New Roman"/>
          <w:sz w:val="18"/>
          <w:szCs w:val="18"/>
          <w:color w:val="auto"/>
        </w:rPr>
        <w:t>. The Borrower will, and will cause each of its Restricted Subsidiaries to, pay and discharge all material Taxes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(whether or not shown on any Tax return, and including in its capacity as withholding agent) imposed upon it or any of its Property, before becoming delinquent and before any material penalties accrue thereon, unless and to the extent that (a) such Taxes are being contested in good faith and by proper proceedings and as to which appropriate reserves are provided in accordance with GAAP or (b) the failure to pay such Taxes could not be reasonably expected, either individually or in the aggregate, to have a Material Adverse Effect.</w:t>
      </w:r>
    </w:p>
    <w:p>
      <w:pPr>
        <w:spacing w:after="0" w:line="174"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6.9 </w:t>
      </w:r>
      <w:r>
        <w:rPr>
          <w:rFonts w:ascii="Times New Roman" w:cs="Times New Roman" w:eastAsia="Times New Roman" w:hAnsi="Times New Roman"/>
          <w:sz w:val="22"/>
          <w:szCs w:val="22"/>
          <w:i w:val="1"/>
          <w:iCs w:val="1"/>
          <w:color w:val="auto"/>
        </w:rPr>
        <w:t>Designation of Subsidiaries</w:t>
      </w:r>
      <w:r>
        <w:rPr>
          <w:rFonts w:ascii="Times New Roman" w:cs="Times New Roman" w:eastAsia="Times New Roman" w:hAnsi="Times New Roman"/>
          <w:sz w:val="18"/>
          <w:szCs w:val="18"/>
          <w:color w:val="auto"/>
        </w:rPr>
        <w:t>. The Borrower may at any time after the Escrow Release Date designate (or re-designate)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existing or subsequently acquired or organized Restricted Subsidiary of the Borrower as an Unrestricted Subsidiary and designate (or re-designate) any Unrestricted Subsidiary as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immediately before and after such designation or re-designation on a Pro Forma Basis, no Event of Default shall have occurred and be continuing (including after the reclassification of investments in, Indebtedness of, and Liens on, the applicable Subsidiary or its assets) and (ii) immediately after giving effect to such designation or re-designation, the Borrower and its Restricted Subsidiaries shall be in compliance, on a Pro Forma Basis, with the covenants set forth in Section 6.22 recomputed as of the last day of the most recent period for which financial statements have been or were required to be delivered pursuant to Section 6.1(a) or (b). The designation (or re-designation) of any Subsidiary as an Unrestricted Subsidiary after the Escrow Release Date shall constitute an investment by the Borrower therein at the date of designation (or re-designation) in an amount equal to the fair market value of the Borrower’s or its Restricted Subsidiary’s (as applicable) investment therein. Such designation (or re-designation) will be permitted only if an investment in such amount would be</w:t>
      </w:r>
    </w:p>
    <w:p>
      <w:pPr>
        <w:sectPr>
          <w:pgSz w:w="11900" w:h="16838" w:orient="portrait"/>
          <w:cols w:equalWidth="0" w:num="1">
            <w:col w:w="11400"/>
          </w:cols>
          <w:pgMar w:left="240" w:top="621" w:right="259" w:bottom="1440" w:gutter="0" w:footer="0" w:header="0"/>
        </w:sectPr>
      </w:pPr>
    </w:p>
    <w:bookmarkStart w:id="247" w:name="page248"/>
    <w:bookmarkEnd w:id="247"/>
    <w:p>
      <w:pPr>
        <w:ind w:right="520"/>
        <w:spacing w:after="0" w:line="282" w:lineRule="auto"/>
        <w:rPr>
          <w:sz w:val="20"/>
          <w:szCs w:val="20"/>
          <w:color w:val="auto"/>
        </w:rPr>
      </w:pPr>
      <w:r>
        <w:rPr>
          <w:rFonts w:ascii="Times New Roman" w:cs="Times New Roman" w:eastAsia="Times New Roman" w:hAnsi="Times New Roman"/>
          <w:sz w:val="18"/>
          <w:szCs w:val="18"/>
          <w:color w:val="auto"/>
        </w:rPr>
        <w:t>permitted at such time pursuant to Section 6.17. Unrestricted Subsidiaries will not be subject to any of the mandatory prepayments, representations and warranties, covenants or Events of Default set forth in the Loan Documents.</w:t>
      </w:r>
    </w:p>
    <w:p>
      <w:pPr>
        <w:spacing w:after="0" w:line="162" w:lineRule="exact"/>
        <w:rPr>
          <w:sz w:val="20"/>
          <w:szCs w:val="20"/>
          <w:color w:val="auto"/>
        </w:rPr>
      </w:pPr>
    </w:p>
    <w:p>
      <w:pPr>
        <w:ind w:firstLine="648"/>
        <w:spacing w:after="0" w:line="293"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18"/>
          <w:szCs w:val="18"/>
          <w:color w:val="auto"/>
        </w:rPr>
        <w:t>. The Borrower shall use the proceeds of the Revolving Loans on or after the Amendment No. 7 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for working capital needs and for other general corporate purposes of the Borrower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proceeds of any Revolving Loan be used to finance, in whole or in part, a Hostile Acquisition. The Borrower and its Subsidiaries shall use the proceeds of the Incremental Facilities for working capital and other general corporate purposes, including the financing of Permitted Acquisitions and other investments and any other use not prohibited by the Loan Documents. The Borrower shall use the proceeds of the U.S. Term B-3 Loans on the Amendment No. 5 Effective Date to refinance the U.S. Term B-2 Loans. The Borrower shall use the proceeds of the Term A-1 Loans on the Amendment No. 7 Effective Date, together with the proceeds of the 2024 Convertible Notes and the 2026 Senior Unsecured Notes, to refinance the Term A Loans, to defease, discharge, repurchase or otherwise redeem the Senior Notes and to pay fees and expenses incurred in connection with the Amendment No. 7 Transactions. The Borrower shall use the proceeds of the U.S. Term B-4 Loans on the Amendment No. 8 Effective Date to refinance the U.S. Term B-3 Loans. The proceeds of any Loans or Letter of Credit will not (x) be made available to any Person, directly or indirectly, (I) for the purpose of financing or facilitating any activity in any Sanctioned Country, or any activity with any Sanctioned Person or (II) in any other manner, in each case as would result in violation of Sanctions by any Person party to this Agreement or (y) be used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as amended, or any other Anti-Corruption Laws.</w:t>
      </w:r>
    </w:p>
    <w:p>
      <w:pPr>
        <w:spacing w:after="0" w:line="172" w:lineRule="exact"/>
        <w:rPr>
          <w:sz w:val="20"/>
          <w:szCs w:val="20"/>
          <w:color w:val="auto"/>
        </w:rPr>
      </w:pPr>
    </w:p>
    <w:p>
      <w:pPr>
        <w:ind w:right="160"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i w:val="1"/>
          <w:iCs w:val="1"/>
          <w:color w:val="auto"/>
        </w:rPr>
        <w:t>Transactions with Affiliates</w:t>
      </w:r>
      <w:r>
        <w:rPr>
          <w:rFonts w:ascii="Times New Roman" w:cs="Times New Roman" w:eastAsia="Times New Roman" w:hAnsi="Times New Roman"/>
          <w:sz w:val="18"/>
          <w:szCs w:val="18"/>
          <w:color w:val="auto"/>
        </w:rPr>
        <w:t>. Solely during a Secured Covenants Period, the Borrower shall not, nor shall it permit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Restricted Subsidiary to, enter into any contract, agreement or business arrangement with any of its Affiliates (other than between or among the Borrower and/or its Restricted Subsidiaries including any entity that becomes a Restricted Subsidiary as a result of such transaction), except on terms that are not materially less favorable to the Borrower or such Restricted Subsidiary as would have been obtained in a comparable arm’s-length transaction with a Person that is not an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restrictions shall not apply to:</w:t>
      </w:r>
    </w:p>
    <w:p>
      <w:pPr>
        <w:spacing w:after="0" w:line="178" w:lineRule="exact"/>
        <w:rPr>
          <w:sz w:val="20"/>
          <w:szCs w:val="20"/>
          <w:color w:val="auto"/>
        </w:rPr>
      </w:pPr>
    </w:p>
    <w:p>
      <w:pPr>
        <w:ind w:left="2380" w:hanging="427"/>
        <w:spacing w:after="0"/>
        <w:tabs>
          <w:tab w:leader="none" w:pos="23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 transactions with an aggregate value of less than $30 million;</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permitted by Sections 6.17 and 6.18;</w:t>
      </w:r>
    </w:p>
    <w:p>
      <w:pPr>
        <w:spacing w:after="0" w:line="233" w:lineRule="exact"/>
        <w:rPr>
          <w:rFonts w:ascii="Times New Roman" w:cs="Times New Roman" w:eastAsia="Times New Roman" w:hAnsi="Times New Roman"/>
          <w:sz w:val="22"/>
          <w:szCs w:val="22"/>
          <w:color w:val="auto"/>
        </w:rPr>
      </w:pPr>
    </w:p>
    <w:p>
      <w:pPr>
        <w:ind w:left="660" w:right="880" w:firstLine="1293"/>
        <w:spacing w:after="0" w:line="282" w:lineRule="auto"/>
        <w:tabs>
          <w:tab w:leader="none" w:pos="2376"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of capital stock or other Equity Interests of the Borrower or other payment to the management of the Borrower or any of its Restricted Subsidiaries in connection with the Transactions, pursuant to arrangements described in the following clause (e), or otherwise to the extent permitted under this Article 6;</w:t>
      </w:r>
    </w:p>
    <w:p>
      <w:pPr>
        <w:spacing w:after="0" w:line="148" w:lineRule="exact"/>
        <w:rPr>
          <w:rFonts w:ascii="Times New Roman" w:cs="Times New Roman" w:eastAsia="Times New Roman" w:hAnsi="Times New Roman"/>
          <w:sz w:val="21"/>
          <w:szCs w:val="21"/>
          <w:color w:val="auto"/>
        </w:rPr>
      </w:pPr>
    </w:p>
    <w:p>
      <w:pPr>
        <w:ind w:left="660" w:right="300" w:firstLine="1293"/>
        <w:spacing w:after="0" w:line="257" w:lineRule="auto"/>
        <w:tabs>
          <w:tab w:leader="none" w:pos="238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and severance arrangements and health, disability and similar insurance or benefit plans between the Borrower and the Restricted Subsidiaries and their respective directors, officers, employees (including management and employee benefit plans or agreements, subscription agreements or similar agreements pertaining to the repurchase of capital stock pursuant to put/call rights or similar rights with current or</w:t>
      </w:r>
    </w:p>
    <w:p>
      <w:pPr>
        <w:sectPr>
          <w:pgSz w:w="11900" w:h="16838" w:orient="portrait"/>
          <w:cols w:equalWidth="0" w:num="1">
            <w:col w:w="11420"/>
          </w:cols>
          <w:pgMar w:left="240" w:top="621" w:right="239" w:bottom="1440" w:gutter="0" w:footer="0" w:header="0"/>
        </w:sectPr>
      </w:pPr>
    </w:p>
    <w:bookmarkStart w:id="248" w:name="page249"/>
    <w:bookmarkEnd w:id="248"/>
    <w:p>
      <w:pPr>
        <w:ind w:right="20"/>
        <w:spacing w:after="0" w:line="295" w:lineRule="auto"/>
        <w:rPr>
          <w:sz w:val="20"/>
          <w:szCs w:val="20"/>
          <w:color w:val="auto"/>
        </w:rPr>
      </w:pPr>
      <w:r>
        <w:rPr>
          <w:rFonts w:ascii="Times New Roman" w:cs="Times New Roman" w:eastAsia="Times New Roman" w:hAnsi="Times New Roman"/>
          <w:sz w:val="21"/>
          <w:szCs w:val="21"/>
          <w:color w:val="auto"/>
        </w:rPr>
        <w:t>former employees, officers or directors and stock option or incentive plans and other compensation arrangements) in the ordinary course of business or as otherwise approved by the board of directors (or similar governing body) of the Borrower;</w:t>
      </w:r>
    </w:p>
    <w:p>
      <w:pPr>
        <w:spacing w:after="0" w:line="136" w:lineRule="exact"/>
        <w:rPr>
          <w:sz w:val="20"/>
          <w:szCs w:val="20"/>
          <w:color w:val="auto"/>
        </w:rPr>
      </w:pPr>
    </w:p>
    <w:p>
      <w:pPr>
        <w:ind w:right="260" w:firstLine="1293"/>
        <w:spacing w:after="0" w:line="263" w:lineRule="auto"/>
        <w:tabs>
          <w:tab w:leader="none" w:pos="171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customary fees and reasonable out-of-pocket costs to, and indemnities provided on behalf of, directors, managers, consultants, officers and employees of the Borrower and the Restricted Subsidiaries in the ordinary course of business;</w:t>
      </w:r>
    </w:p>
    <w:p>
      <w:pPr>
        <w:spacing w:after="0" w:line="167" w:lineRule="exact"/>
        <w:rPr>
          <w:rFonts w:ascii="Times New Roman" w:cs="Times New Roman" w:eastAsia="Times New Roman" w:hAnsi="Times New Roman"/>
          <w:sz w:val="22"/>
          <w:szCs w:val="22"/>
          <w:color w:val="auto"/>
        </w:rPr>
      </w:pPr>
    </w:p>
    <w:p>
      <w:pPr>
        <w:ind w:right="500" w:firstLine="1293"/>
        <w:spacing w:after="0" w:line="284" w:lineRule="auto"/>
        <w:tabs>
          <w:tab w:leader="none" w:pos="169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joint ventures for the purchase and sale of goods, equipment or services or use of equipment or services entered into in the ordinary course of business;</w:t>
      </w:r>
    </w:p>
    <w:p>
      <w:pPr>
        <w:spacing w:after="0" w:line="144" w:lineRule="exact"/>
        <w:rPr>
          <w:rFonts w:ascii="Times New Roman" w:cs="Times New Roman" w:eastAsia="Times New Roman" w:hAnsi="Times New Roman"/>
          <w:sz w:val="22"/>
          <w:szCs w:val="22"/>
          <w:color w:val="auto"/>
        </w:rPr>
      </w:pPr>
    </w:p>
    <w:p>
      <w:pPr>
        <w:ind w:firstLine="1293"/>
        <w:spacing w:after="0" w:line="257" w:lineRule="auto"/>
        <w:tabs>
          <w:tab w:leader="none" w:pos="172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pursuant to any binding agreement or commitment or executed agreement in existence on the Amendment No. 7 Effective Date as set forth on </w:t>
      </w:r>
      <w:r>
        <w:rPr>
          <w:rFonts w:ascii="Times New Roman" w:cs="Times New Roman" w:eastAsia="Times New Roman" w:hAnsi="Times New Roman"/>
          <w:sz w:val="22"/>
          <w:szCs w:val="22"/>
          <w:u w:val="single" w:color="auto"/>
          <w:color w:val="auto"/>
        </w:rPr>
        <w:t>Schedule 6.11</w:t>
      </w:r>
      <w:r>
        <w:rPr>
          <w:rFonts w:ascii="Times New Roman" w:cs="Times New Roman" w:eastAsia="Times New Roman" w:hAnsi="Times New Roman"/>
          <w:sz w:val="22"/>
          <w:szCs w:val="22"/>
          <w:color w:val="auto"/>
        </w:rPr>
        <w:t xml:space="preserve"> and any amendment thereto to the extent such an amendment is not adverse, taken as a whole, to the Lenders in any material respect as compared to the applicable agreement as in effect on the Amendment No. 7 Effective Date;</w:t>
      </w:r>
    </w:p>
    <w:p>
      <w:pPr>
        <w:spacing w:after="0" w:line="172"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right="80" w:firstLine="1293"/>
        <w:spacing w:after="0" w:line="257" w:lineRule="auto"/>
        <w:tabs>
          <w:tab w:leader="none" w:pos="16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and other transactions among the Borrower and its Subsidiaries to the extent permitted under this Article 6;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Indebtedness of any Loan Party owed to a Subsidiary that is not a Loan Party shall be subordinated in right of payment to the Obligations (it being understood that payments shall be permitted thereon unless an Event of Default has occurred and is continuing);</w:t>
      </w:r>
    </w:p>
    <w:p>
      <w:pPr>
        <w:spacing w:after="0" w:line="172" w:lineRule="exact"/>
        <w:rPr>
          <w:rFonts w:ascii="Times New Roman" w:cs="Times New Roman" w:eastAsia="Times New Roman" w:hAnsi="Times New Roman"/>
          <w:sz w:val="22"/>
          <w:szCs w:val="22"/>
          <w:color w:val="auto"/>
        </w:rPr>
      </w:pPr>
    </w:p>
    <w:p>
      <w:pPr>
        <w:ind w:right="140" w:firstLine="1293"/>
        <w:spacing w:after="0" w:line="263" w:lineRule="auto"/>
        <w:tabs>
          <w:tab w:leader="none" w:pos="16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or loans (or cancellation of loans) to directors, officers, employees, members of management or consultants of the Borrower or any of its Restricted Subsidiaries which are approved by a majority of the board of directors of the Borrower in good faith;</w:t>
      </w:r>
    </w:p>
    <w:p>
      <w:pPr>
        <w:spacing w:after="0" w:line="167"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w:t>
      </w:r>
    </w:p>
    <w:p>
      <w:pPr>
        <w:spacing w:after="0" w:line="233" w:lineRule="exact"/>
        <w:rPr>
          <w:rFonts w:ascii="Times New Roman" w:cs="Times New Roman" w:eastAsia="Times New Roman" w:hAnsi="Times New Roman"/>
          <w:sz w:val="22"/>
          <w:szCs w:val="22"/>
          <w:color w:val="auto"/>
        </w:rPr>
      </w:pPr>
    </w:p>
    <w:p>
      <w:pPr>
        <w:ind w:right="20" w:firstLine="1293"/>
        <w:spacing w:after="0" w:line="253" w:lineRule="auto"/>
        <w:tabs>
          <w:tab w:leader="none" w:pos="16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or from, and any transactions (including without limitation, any cash management activities related thereto) with, (x) Flash Partners Ltd., Flash Alliance Ltd., Flash Forward Ltd. or any other joint venture with Toshiba Corporation or Toshiba Memory Corporation (or any of their Affiliates) or (y) other joint ventures or similar entities which would be subject to this Section 6.11 solely because the Borrower or a Restricted Subsidiary owns an equity interest in or otherwise controls such Person;</w:t>
      </w:r>
    </w:p>
    <w:p>
      <w:pPr>
        <w:sectPr>
          <w:pgSz w:w="11900" w:h="16838" w:orient="portrait"/>
          <w:cols w:equalWidth="0" w:num="1">
            <w:col w:w="10720"/>
          </w:cols>
          <w:pgMar w:left="900" w:top="625" w:right="279" w:bottom="1440" w:gutter="0" w:footer="0" w:header="0"/>
        </w:sectPr>
      </w:pPr>
    </w:p>
    <w:bookmarkStart w:id="249" w:name="page250"/>
    <w:bookmarkEnd w:id="249"/>
    <w:p>
      <w:pPr>
        <w:ind w:left="660" w:firstLine="1293"/>
        <w:spacing w:after="0" w:line="253" w:lineRule="auto"/>
        <w:tabs>
          <w:tab w:leader="none" w:pos="244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clients, suppliers or purchasers or sellers of goods or services, or transactions otherwise relating to the purchase or sale of goods or services, in each case in the ordinary course of business and otherwise in compliance with the terms of this Agreement, which are fair to Borrower and the Restricted Subsidiaries in the reasonable determination of the senior management of Borrower, or are on terms at least as favorable as might reasonably have been obtained at such time from an unaffiliated party; and</w:t>
      </w:r>
    </w:p>
    <w:p>
      <w:pPr>
        <w:spacing w:after="0" w:line="179" w:lineRule="exact"/>
        <w:rPr>
          <w:rFonts w:ascii="Times New Roman" w:cs="Times New Roman" w:eastAsia="Times New Roman" w:hAnsi="Times New Roman"/>
          <w:sz w:val="22"/>
          <w:szCs w:val="22"/>
          <w:color w:val="auto"/>
        </w:rPr>
      </w:pPr>
    </w:p>
    <w:p>
      <w:pPr>
        <w:ind w:left="660" w:right="40" w:firstLine="1293"/>
        <w:spacing w:after="0" w:line="284" w:lineRule="auto"/>
        <w:tabs>
          <w:tab w:leader="none" w:pos="238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transaction with an Affiliate, which is approved by a majority of disinterested members of the board of directors (or equivalent governing body) of the Borrower in good faith.</w:t>
      </w:r>
    </w:p>
    <w:p>
      <w:pPr>
        <w:spacing w:after="0" w:line="140"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i w:val="1"/>
          <w:iCs w:val="1"/>
          <w:color w:val="auto"/>
        </w:rPr>
        <w:t>No Changes in Fiscal Year</w:t>
      </w:r>
      <w:r>
        <w:rPr>
          <w:rFonts w:ascii="Times New Roman" w:cs="Times New Roman" w:eastAsia="Times New Roman" w:hAnsi="Times New Roman"/>
          <w:sz w:val="18"/>
          <w:szCs w:val="18"/>
          <w:color w:val="auto"/>
        </w:rPr>
        <w:t>. The Borrower shall not, nor shall it permit any Restricted Subsidiary to, change its fiscal year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financial reporting purposes from its present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and its Restricted Subsidiaries may change their fiscal year end one time (with one additional change for purposes of aligning the fiscal year of the Target Company and its Subsidiaries with the current fiscal year of the Borrower or the fiscal year of the Borrower and its Subsidiaries with the fiscal year of the Target Company and any additional changes consented to by the Administrative Agent), subject to any adjustments to this Agreement that are necessary in order to reflect such change in financial reporting (and the parties hereto hereby authorize the Borrower and the Administrative Agent to make any such amendments to this Agreement as they jointly deem necessary to give effect to the foregoing).</w:t>
      </w:r>
    </w:p>
    <w:p>
      <w:pPr>
        <w:spacing w:after="0" w:line="170" w:lineRule="exact"/>
        <w:rPr>
          <w:sz w:val="20"/>
          <w:szCs w:val="20"/>
          <w:color w:val="auto"/>
        </w:rPr>
      </w:pPr>
    </w:p>
    <w:p>
      <w:pPr>
        <w:ind w:right="14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i w:val="1"/>
          <w:iCs w:val="1"/>
          <w:color w:val="auto"/>
        </w:rPr>
        <w:t>Change in the Nature of Business</w:t>
      </w:r>
      <w:r>
        <w:rPr>
          <w:rFonts w:ascii="Times New Roman" w:cs="Times New Roman" w:eastAsia="Times New Roman" w:hAnsi="Times New Roman"/>
          <w:sz w:val="18"/>
          <w:szCs w:val="18"/>
          <w:color w:val="auto"/>
        </w:rPr>
        <w:t>. The Borrower and its Restricted Subsidiaries, taken as a whole, will not fundamentally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and substantively alter the character of their business, taken as a whole, from the business conducted by the Borrower on the Escrow Release Date and other business activities which are extensions thereof or otherwise incidental or related or ancillary to any of the foregoing.</w:t>
      </w:r>
    </w:p>
    <w:p>
      <w:pPr>
        <w:spacing w:after="0" w:line="171" w:lineRule="exact"/>
        <w:rPr>
          <w:sz w:val="20"/>
          <w:szCs w:val="20"/>
          <w:color w:val="auto"/>
        </w:rPr>
      </w:pPr>
    </w:p>
    <w:p>
      <w:pPr>
        <w:ind w:right="40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18"/>
          <w:szCs w:val="18"/>
          <w:color w:val="auto"/>
        </w:rPr>
        <w:t>. (I) Solely during a Secured Covenants Period, the Borrower will not, and will not permit any of its 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Subsidiaries to, contract, create, incur, assume or suffer to exist any Indebtedness, except;</w:t>
      </w:r>
    </w:p>
    <w:p>
      <w:pPr>
        <w:spacing w:after="0" w:line="192" w:lineRule="exact"/>
        <w:rPr>
          <w:sz w:val="20"/>
          <w:szCs w:val="20"/>
          <w:color w:val="auto"/>
        </w:rPr>
      </w:pPr>
    </w:p>
    <w:p>
      <w:pPr>
        <w:ind w:left="660" w:right="240" w:firstLine="1293"/>
        <w:spacing w:after="0" w:line="257" w:lineRule="auto"/>
        <w:tabs>
          <w:tab w:leader="none" w:pos="237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under this Agreement (including pursuant to Section 2.14, Section 2.15 and Section 2.16) and under the other Loan Documents (and any Refinancing Notes incurred to refinance such Indebtedness), Hedging Liability (other than for speculative purposes) and Funds Transfer Liability, Deposit Account Liability and Data Processing Obligations of the Borrower and its Restricted Subsidiaries;</w:t>
      </w:r>
    </w:p>
    <w:p>
      <w:pPr>
        <w:spacing w:after="0" w:line="172" w:lineRule="exact"/>
        <w:rPr>
          <w:rFonts w:ascii="Times New Roman" w:cs="Times New Roman" w:eastAsia="Times New Roman" w:hAnsi="Times New Roman"/>
          <w:sz w:val="22"/>
          <w:szCs w:val="22"/>
          <w:color w:val="auto"/>
        </w:rPr>
      </w:pPr>
    </w:p>
    <w:p>
      <w:pPr>
        <w:ind w:left="660" w:right="220" w:firstLine="1293"/>
        <w:spacing w:after="0" w:line="284" w:lineRule="auto"/>
        <w:tabs>
          <w:tab w:leader="none" w:pos="238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pursuant to Hedge Agreements entered into in the ordinary course of business and not for speculative purposes with Persons other than Lenders (or their Affiliates);</w:t>
      </w:r>
    </w:p>
    <w:p>
      <w:pPr>
        <w:spacing w:after="0" w:line="144"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intercompany Indebtedness among the Borrower and its Restricted Subsidiaries to the extent permitted</w:t>
      </w:r>
    </w:p>
    <w:p>
      <w:pPr>
        <w:spacing w:after="0" w:line="41"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by Section 6.17;</w:t>
      </w:r>
    </w:p>
    <w:p>
      <w:pPr>
        <w:sectPr>
          <w:pgSz w:w="11900" w:h="16838" w:orient="portrait"/>
          <w:cols w:equalWidth="0" w:num="1">
            <w:col w:w="11400"/>
          </w:cols>
          <w:pgMar w:left="240" w:top="625" w:right="259" w:bottom="1440" w:gutter="0" w:footer="0" w:header="0"/>
        </w:sectPr>
      </w:pPr>
    </w:p>
    <w:bookmarkStart w:id="250" w:name="page251"/>
    <w:bookmarkEnd w:id="250"/>
    <w:p>
      <w:pPr>
        <w:ind w:right="60" w:firstLine="1293"/>
        <w:spacing w:after="0" w:line="247" w:lineRule="auto"/>
        <w:tabs>
          <w:tab w:leader="none" w:pos="172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Indebtedness (including Capitalized Lease Obligations and other Indebtedness arising under Capital Leases) the proceeds of which are used to finance the acquisition, lease, construction, repair, replacement, expansion or improvement of fixed or capital assets or otherwise incurred in respect of capital expenditures, whether through the direct purchase of assets or the purchase of capital stock of any Person owning such assets and (ii) Indebtedness incurred in connection with the leases of precious metals and/or commodities;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principal amount of Indebtedness outstanding under this clause (d), together with any Refinancing Indebtedness incurred under clause (r) below in respect thereof, shall not exceed the greater of $500 million and 2.50% of Consolidated Total Assets (measured as of the date such Indebtedness is issued or incurred and based upon the financial statements most recently delivered on or prior to such date pursuant to Section 6.1(a) or (b), but giving effect to any Specified Transaction occurring thereafter and on or prior to the date of determination);</w:t>
      </w:r>
    </w:p>
    <w:p>
      <w:pPr>
        <w:spacing w:after="0" w:line="192"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and its Restricted Subsidiaries not otherwise permitted by this Section</w:t>
      </w:r>
    </w:p>
    <w:p>
      <w:pPr>
        <w:spacing w:after="0" w:line="3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 xml:space="preserve">6.14(I);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Indebtedness outstanding under this clause (e) shall not exceed the greater of $500 million and 2.50% of Consolidated Total Assets (measured as of the date such Indebtedness is issued or incurred and based upon the financial statements most recently delivered on or prior to such date pursuant to Section 6.1(a) or (b), but giving effect to any Specified Transaction occurring thereafter and on or prior to the date of determination);</w:t>
      </w:r>
    </w:p>
    <w:p>
      <w:pPr>
        <w:spacing w:after="0" w:line="184" w:lineRule="exact"/>
        <w:rPr>
          <w:sz w:val="20"/>
          <w:szCs w:val="20"/>
          <w:color w:val="auto"/>
        </w:rPr>
      </w:pPr>
    </w:p>
    <w:p>
      <w:pPr>
        <w:ind w:right="140" w:firstLine="1293"/>
        <w:spacing w:after="0" w:line="253" w:lineRule="auto"/>
        <w:tabs>
          <w:tab w:leader="none" w:pos="169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Contingent Obligations incurred by (i) any Restricted Subsidiary in respect of Indebtedness of the Borrower or any other Restricted Subsidiary that is permitted to be incurred under this Agreement and (ii) the Borrower in respect of Indebtedness of any Restricted Subsidiary that is permitted to be incurred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Contingent Obligations incurred by the Borrower or any Loan Party with respect to Indebtedness incurred by any Restricted Subsidiary that is not a Loan Party, must be permitted by Section 6.17;</w:t>
      </w:r>
    </w:p>
    <w:p>
      <w:pPr>
        <w:spacing w:after="0" w:line="179" w:lineRule="exact"/>
        <w:rPr>
          <w:rFonts w:ascii="Times New Roman" w:cs="Times New Roman" w:eastAsia="Times New Roman" w:hAnsi="Times New Roman"/>
          <w:sz w:val="22"/>
          <w:szCs w:val="22"/>
          <w:color w:val="auto"/>
        </w:rPr>
      </w:pPr>
    </w:p>
    <w:p>
      <w:pPr>
        <w:ind w:firstLine="1293"/>
        <w:spacing w:after="0" w:line="284" w:lineRule="auto"/>
        <w:tabs>
          <w:tab w:leader="none" w:pos="172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Obligations incurred in the ordinary course of business in respect of obligations to suppliers, customers, franchisees, lessors, licensees or distribution partners;</w:t>
      </w:r>
    </w:p>
    <w:p>
      <w:pPr>
        <w:spacing w:after="0" w:line="144" w:lineRule="exact"/>
        <w:rPr>
          <w:rFonts w:ascii="Times New Roman" w:cs="Times New Roman" w:eastAsia="Times New Roman" w:hAnsi="Times New Roman"/>
          <w:sz w:val="22"/>
          <w:szCs w:val="22"/>
          <w:color w:val="auto"/>
        </w:rPr>
      </w:pPr>
    </w:p>
    <w:p>
      <w:pPr>
        <w:ind w:right="40" w:firstLine="1293"/>
        <w:spacing w:after="0" w:line="253" w:lineRule="auto"/>
        <w:tabs>
          <w:tab w:leader="none" w:pos="172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unsecured (other than vendor’s liens arising by operation of law) Indebtedness in respect of obligations of the Borrower or any Restricted Subsidiary to pay the deferred purchase price of goods or services or progress payments in connection with such goods and services;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obligations are incurred in connection with open accounts extended by suppliers on customary trade terms in the ordinary course of business and not in connection with the borrowing of money or any</w:t>
      </w:r>
    </w:p>
    <w:p>
      <w:pPr>
        <w:sectPr>
          <w:pgSz w:w="11900" w:h="16838" w:orient="portrait"/>
          <w:cols w:equalWidth="0" w:num="1">
            <w:col w:w="10740"/>
          </w:cols>
          <w:pgMar w:left="900" w:top="625" w:right="259" w:bottom="1440" w:gutter="0" w:footer="0" w:header="0"/>
        </w:sectPr>
      </w:pPr>
    </w:p>
    <w:bookmarkStart w:id="251" w:name="page252"/>
    <w:bookmarkEnd w:id="251"/>
    <w:p>
      <w:pPr>
        <w:ind w:right="440"/>
        <w:spacing w:after="0" w:line="257" w:lineRule="auto"/>
        <w:rPr>
          <w:sz w:val="20"/>
          <w:szCs w:val="20"/>
          <w:color w:val="auto"/>
        </w:rPr>
      </w:pPr>
      <w:r>
        <w:rPr>
          <w:rFonts w:ascii="Times New Roman" w:cs="Times New Roman" w:eastAsia="Times New Roman" w:hAnsi="Times New Roman"/>
          <w:sz w:val="22"/>
          <w:szCs w:val="22"/>
          <w:color w:val="auto"/>
        </w:rPr>
        <w:t>Hedge Agreements and (ii) unsecured Indebtedness in respect of intercompany obligations of the Borrower or any Restricted Subsidiary in respect of accounts payable incurred in connection with goods sold or services rendered in the ordinary course of business and not in connection with the borrowing of money;</w:t>
      </w:r>
    </w:p>
    <w:p>
      <w:pPr>
        <w:spacing w:after="0" w:line="173" w:lineRule="exact"/>
        <w:rPr>
          <w:sz w:val="20"/>
          <w:szCs w:val="20"/>
          <w:color w:val="auto"/>
        </w:rPr>
      </w:pPr>
    </w:p>
    <w:p>
      <w:pPr>
        <w:jc w:val="both"/>
        <w:ind w:right="100" w:firstLine="1293"/>
        <w:spacing w:after="0" w:line="273" w:lineRule="auto"/>
        <w:tabs>
          <w:tab w:leader="none" w:pos="168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arising from agreements of the Borrower or any Restricted Subsidiary providing for earn outs, indemnification, adjustment of purchase price or similar obligations, in each case, entered into in connection with the disposition of any business, assets or capital stock permitted hereunder, other than Contingent Obligations incurred by any Person acquiring all or any portion of such business, assets or capital stock for the purpose of financing such acquisition;</w:t>
      </w:r>
    </w:p>
    <w:p>
      <w:pPr>
        <w:spacing w:after="0" w:line="157" w:lineRule="exact"/>
        <w:rPr>
          <w:rFonts w:ascii="Times New Roman" w:cs="Times New Roman" w:eastAsia="Times New Roman" w:hAnsi="Times New Roman"/>
          <w:sz w:val="21"/>
          <w:szCs w:val="21"/>
          <w:color w:val="auto"/>
        </w:rPr>
      </w:pPr>
    </w:p>
    <w:p>
      <w:pPr>
        <w:jc w:val="both"/>
        <w:ind w:right="100" w:firstLine="1293"/>
        <w:spacing w:after="0" w:line="263" w:lineRule="auto"/>
        <w:tabs>
          <w:tab w:leader="none" w:pos="16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agreements of the Borrower or any Restricted Subsidiary providing for earn outs, indemnification, adjustment of purchase price or similar obligations, in each case, entered into in connection with the Transactions and any Permitted Acquisitions or other investments permitted under Section 6.17;</w:t>
      </w:r>
    </w:p>
    <w:p>
      <w:pPr>
        <w:spacing w:after="0" w:line="167" w:lineRule="exact"/>
        <w:rPr>
          <w:rFonts w:ascii="Times New Roman" w:cs="Times New Roman" w:eastAsia="Times New Roman" w:hAnsi="Times New Roman"/>
          <w:sz w:val="22"/>
          <w:szCs w:val="22"/>
          <w:color w:val="auto"/>
        </w:rPr>
      </w:pPr>
    </w:p>
    <w:p>
      <w:pPr>
        <w:ind w:right="40" w:firstLine="1293"/>
        <w:spacing w:after="0" w:line="263" w:lineRule="auto"/>
        <w:tabs>
          <w:tab w:leader="none" w:pos="172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performance bonds, bid bonds, appeal bonds, surety bonds, performance and completion guarantees and similar obligations incurred in the ordinary course of business and not in connection with the borrowing of money or Hedge Agreements;</w:t>
      </w:r>
    </w:p>
    <w:p>
      <w:pPr>
        <w:spacing w:after="0" w:line="167" w:lineRule="exact"/>
        <w:rPr>
          <w:rFonts w:ascii="Times New Roman" w:cs="Times New Roman" w:eastAsia="Times New Roman" w:hAnsi="Times New Roman"/>
          <w:sz w:val="22"/>
          <w:szCs w:val="22"/>
          <w:color w:val="auto"/>
        </w:rPr>
      </w:pPr>
    </w:p>
    <w:p>
      <w:pPr>
        <w:ind w:right="40" w:firstLine="1293"/>
        <w:spacing w:after="0" w:line="263" w:lineRule="auto"/>
        <w:tabs>
          <w:tab w:leader="none" w:pos="16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Restricted Subsidiary consisting of (i) obligations to pay insurance premiums or (ii) take or pay obligations contained in supply agreements, in each case arising in the ordinary course of business and not in connection with the borrowing of money or Hedge Agreements;</w:t>
      </w:r>
    </w:p>
    <w:p>
      <w:pPr>
        <w:spacing w:after="0" w:line="167" w:lineRule="exact"/>
        <w:rPr>
          <w:rFonts w:ascii="Times New Roman" w:cs="Times New Roman" w:eastAsia="Times New Roman" w:hAnsi="Times New Roman"/>
          <w:sz w:val="22"/>
          <w:szCs w:val="22"/>
          <w:color w:val="auto"/>
        </w:rPr>
      </w:pPr>
    </w:p>
    <w:p>
      <w:pPr>
        <w:ind w:right="20" w:firstLine="1293"/>
        <w:spacing w:after="0" w:line="257" w:lineRule="auto"/>
        <w:tabs>
          <w:tab w:leader="none" w:pos="178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representing deferred compensation or similar arrangements to employees, consultants or independent contractors of the Borrower and its Restricted Subsidiaries incurred in the ordinary course of business or otherwise incurred in connection with the consummation of the Transactions or any Permitted Acquisition or other investment whether consummated prior to the Escrow Release Date or permitted under Section 6.17;</w:t>
      </w:r>
    </w:p>
    <w:p>
      <w:pPr>
        <w:spacing w:after="0" w:line="172" w:lineRule="exact"/>
        <w:rPr>
          <w:rFonts w:ascii="Times New Roman" w:cs="Times New Roman" w:eastAsia="Times New Roman" w:hAnsi="Times New Roman"/>
          <w:sz w:val="22"/>
          <w:szCs w:val="22"/>
          <w:color w:val="auto"/>
        </w:rPr>
      </w:pPr>
    </w:p>
    <w:p>
      <w:pPr>
        <w:ind w:firstLine="1293"/>
        <w:spacing w:after="0" w:line="282" w:lineRule="auto"/>
        <w:tabs>
          <w:tab w:leader="none" w:pos="1729"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consisting of promissory notes issued to current or former officers, managers, consultants, directors and employees (or their respective spouses, former spouses, successors, executors, administrators, heirs, legatees or distributees) to finance the purchase or redemption of capital stock of the Borrower permitted by Section 6.18;</w:t>
      </w:r>
    </w:p>
    <w:p>
      <w:pPr>
        <w:spacing w:after="0" w:line="148" w:lineRule="exact"/>
        <w:rPr>
          <w:rFonts w:ascii="Times New Roman" w:cs="Times New Roman" w:eastAsia="Times New Roman" w:hAnsi="Times New Roman"/>
          <w:sz w:val="21"/>
          <w:szCs w:val="21"/>
          <w:color w:val="auto"/>
        </w:rPr>
      </w:pPr>
    </w:p>
    <w:p>
      <w:pPr>
        <w:ind w:right="540" w:firstLine="1293"/>
        <w:spacing w:after="0" w:line="284" w:lineRule="auto"/>
        <w:tabs>
          <w:tab w:leader="none" w:pos="172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Cash Management Services, netting services, automatic clearing house arrangements, employees’ credit or purchase cards,</w:t>
      </w:r>
    </w:p>
    <w:p>
      <w:pPr>
        <w:sectPr>
          <w:pgSz w:w="11900" w:h="16838" w:orient="portrait"/>
          <w:cols w:equalWidth="0" w:num="1">
            <w:col w:w="10700"/>
          </w:cols>
          <w:pgMar w:left="900" w:top="625" w:right="299" w:bottom="1440" w:gutter="0" w:footer="0" w:header="0"/>
        </w:sectPr>
      </w:pPr>
    </w:p>
    <w:bookmarkStart w:id="252" w:name="page253"/>
    <w:bookmarkEnd w:id="252"/>
    <w:p>
      <w:pPr>
        <w:ind w:left="4"/>
        <w:spacing w:after="0"/>
        <w:rPr>
          <w:sz w:val="20"/>
          <w:szCs w:val="20"/>
          <w:color w:val="auto"/>
        </w:rPr>
      </w:pPr>
      <w:r>
        <w:rPr>
          <w:rFonts w:ascii="Times New Roman" w:cs="Times New Roman" w:eastAsia="Times New Roman" w:hAnsi="Times New Roman"/>
          <w:sz w:val="22"/>
          <w:szCs w:val="22"/>
          <w:color w:val="auto"/>
        </w:rPr>
        <w:t>overdraft protections and similar arrangements in each case incurred in the ordinary course of business;</w:t>
      </w:r>
    </w:p>
    <w:p>
      <w:pPr>
        <w:spacing w:after="0" w:line="220" w:lineRule="exact"/>
        <w:rPr>
          <w:sz w:val="20"/>
          <w:szCs w:val="20"/>
          <w:color w:val="auto"/>
        </w:rPr>
      </w:pPr>
    </w:p>
    <w:p>
      <w:pPr>
        <w:ind w:left="4" w:right="40" w:firstLine="1293"/>
        <w:spacing w:after="0" w:line="263" w:lineRule="auto"/>
        <w:tabs>
          <w:tab w:leader="none" w:pos="1732"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existence on the Amendment No. 7 Effective Date and if such Indebtedness is in excess of $50 million as set forth in all material respects on </w:t>
      </w:r>
      <w:r>
        <w:rPr>
          <w:rFonts w:ascii="Times New Roman" w:cs="Times New Roman" w:eastAsia="Times New Roman" w:hAnsi="Times New Roman"/>
          <w:sz w:val="22"/>
          <w:szCs w:val="22"/>
          <w:u w:val="single" w:color="auto"/>
          <w:color w:val="auto"/>
        </w:rPr>
        <w:t>Schedule 6.14</w:t>
      </w:r>
      <w:r>
        <w:rPr>
          <w:rFonts w:ascii="Times New Roman" w:cs="Times New Roman" w:eastAsia="Times New Roman" w:hAnsi="Times New Roman"/>
          <w:sz w:val="22"/>
          <w:szCs w:val="22"/>
          <w:color w:val="auto"/>
        </w:rPr>
        <w:t xml:space="preserve"> and intercompany Indebtedness in existence on the Amendment No. 7 Effective Date;</w:t>
      </w:r>
    </w:p>
    <w:p>
      <w:pPr>
        <w:spacing w:after="0" w:line="167" w:lineRule="exact"/>
        <w:rPr>
          <w:rFonts w:ascii="Times New Roman" w:cs="Times New Roman" w:eastAsia="Times New Roman" w:hAnsi="Times New Roman"/>
          <w:sz w:val="22"/>
          <w:szCs w:val="22"/>
          <w:color w:val="auto"/>
        </w:rPr>
      </w:pPr>
    </w:p>
    <w:p>
      <w:pPr>
        <w:ind w:left="4" w:right="160" w:firstLine="1293"/>
        <w:spacing w:after="0" w:line="250" w:lineRule="auto"/>
        <w:tabs>
          <w:tab w:leader="none" w:pos="1732"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incurred by the Borrower or any Restricted Subsidiary constituting reimbursement obligations with respect to bankers’ acceptances and letters of credit issued in the ordinary course of business, including letters of credit in respect of workers’ compensation laws, unemployment insurance laws or similar legislation, or other Indebtedness with respect to reimbursement type obligations regarding workers’ compensation laws, unemployment insurance laws or similar legislation;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the drawing of such bankers’ acceptances and letters of credit or the incurrence of such Indebtedness, such obligations are reimbursed within 30 days following such drawing or incurrence;</w:t>
      </w:r>
    </w:p>
    <w:p>
      <w:pPr>
        <w:spacing w:after="0" w:line="181" w:lineRule="exact"/>
        <w:rPr>
          <w:rFonts w:ascii="Times New Roman" w:cs="Times New Roman" w:eastAsia="Times New Roman" w:hAnsi="Times New Roman"/>
          <w:sz w:val="22"/>
          <w:szCs w:val="22"/>
          <w:color w:val="auto"/>
        </w:rPr>
      </w:pPr>
    </w:p>
    <w:p>
      <w:pPr>
        <w:ind w:left="4" w:firstLine="1293"/>
        <w:spacing w:after="0" w:line="263" w:lineRule="auto"/>
        <w:tabs>
          <w:tab w:leader="none" w:pos="1696"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incurrence by the Borrower or any Restricted Subsidiary of Refinancing Indebtedness which serves to refund or refinance any Indebtedness permitted under clauses (d), (p) (other than the Senior Secured Notes and the Senior Unsecured Notes listed on </w:t>
      </w:r>
      <w:r>
        <w:rPr>
          <w:rFonts w:ascii="Times New Roman" w:cs="Times New Roman" w:eastAsia="Times New Roman" w:hAnsi="Times New Roman"/>
          <w:sz w:val="22"/>
          <w:szCs w:val="22"/>
          <w:u w:val="single" w:color="auto"/>
          <w:color w:val="auto"/>
        </w:rPr>
        <w:t>Schedule 6.14</w:t>
      </w:r>
      <w:r>
        <w:rPr>
          <w:rFonts w:ascii="Times New Roman" w:cs="Times New Roman" w:eastAsia="Times New Roman" w:hAnsi="Times New Roman"/>
          <w:sz w:val="22"/>
          <w:szCs w:val="22"/>
          <w:color w:val="auto"/>
        </w:rPr>
        <w:t>), (s), (u), (v), (w), (x), (y), (aa), (hh) and (ii) of this Section 6.14(I);</w:t>
      </w:r>
    </w:p>
    <w:p>
      <w:pPr>
        <w:spacing w:after="0" w:line="167" w:lineRule="exact"/>
        <w:rPr>
          <w:rFonts w:ascii="Times New Roman" w:cs="Times New Roman" w:eastAsia="Times New Roman" w:hAnsi="Times New Roman"/>
          <w:sz w:val="22"/>
          <w:szCs w:val="22"/>
          <w:color w:val="auto"/>
        </w:rPr>
      </w:pPr>
    </w:p>
    <w:p>
      <w:pPr>
        <w:ind w:left="4" w:right="40" w:firstLine="1293"/>
        <w:spacing w:after="0" w:line="264" w:lineRule="auto"/>
        <w:tabs>
          <w:tab w:leader="none" w:pos="1708"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(x) the Borrower or any Subsidiary incurred to finance a permitted Acquisition or (y) Persons that are acquired by the Borrower or any Restricted Subsidiary or merged into the Borrower or a Restricted Subsidiary in a permitted Acquisition in accordance with the terms of this Agreement or that is assumed by the Borrower or any Restricted Subsidiary in connection with such permitted Acquisition;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Indebtedness under this clause</w:t>
      </w:r>
    </w:p>
    <w:p>
      <w:pPr>
        <w:spacing w:after="0" w:line="1" w:lineRule="exact"/>
        <w:rPr>
          <w:rFonts w:ascii="Times New Roman" w:cs="Times New Roman" w:eastAsia="Times New Roman" w:hAnsi="Times New Roman"/>
          <w:sz w:val="21"/>
          <w:szCs w:val="21"/>
          <w:color w:val="auto"/>
        </w:rPr>
      </w:pPr>
    </w:p>
    <w:p>
      <w:pPr>
        <w:ind w:left="304" w:hanging="304"/>
        <w:spacing w:after="0"/>
        <w:tabs>
          <w:tab w:leader="none" w:pos="30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not incurred in contemplation of such permitted Acquisition;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w:t>
      </w:r>
    </w:p>
    <w:p>
      <w:pPr>
        <w:spacing w:after="0" w:line="195" w:lineRule="exact"/>
        <w:rPr>
          <w:rFonts w:ascii="Times New Roman" w:cs="Times New Roman" w:eastAsia="Times New Roman" w:hAnsi="Times New Roman"/>
          <w:sz w:val="22"/>
          <w:szCs w:val="22"/>
          <w:color w:val="auto"/>
        </w:rPr>
      </w:pPr>
    </w:p>
    <w:p>
      <w:pPr>
        <w:ind w:left="3064" w:hanging="471"/>
        <w:spacing w:after="0"/>
        <w:tabs>
          <w:tab w:leader="none" w:pos="3064" w:val="left"/>
        </w:tabs>
        <w:numPr>
          <w:ilvl w:val="2"/>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exists or shall result therefrom;</w:t>
      </w:r>
    </w:p>
    <w:p>
      <w:pPr>
        <w:spacing w:after="0" w:line="233" w:lineRule="exact"/>
        <w:rPr>
          <w:rFonts w:ascii="Times New Roman" w:cs="Times New Roman" w:eastAsia="Times New Roman" w:hAnsi="Times New Roman"/>
          <w:sz w:val="22"/>
          <w:szCs w:val="22"/>
          <w:color w:val="auto"/>
        </w:rPr>
      </w:pPr>
    </w:p>
    <w:p>
      <w:pPr>
        <w:ind w:left="1304" w:right="60" w:firstLine="1289"/>
        <w:spacing w:after="0" w:line="263" w:lineRule="auto"/>
        <w:tabs>
          <w:tab w:leader="none" w:pos="3068" w:val="left"/>
        </w:tabs>
        <w:numPr>
          <w:ilvl w:val="2"/>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incurred in reliance on clause (x) of this Section 6.14(I)(s) shall not be secured by a Lien and shall not mature or require any payment of principal, in each case, prior to the date which is 91 days after the Term B Termination Date;</w:t>
      </w:r>
    </w:p>
    <w:p>
      <w:pPr>
        <w:spacing w:after="0" w:line="167" w:lineRule="exact"/>
        <w:rPr>
          <w:rFonts w:ascii="Times New Roman" w:cs="Times New Roman" w:eastAsia="Times New Roman" w:hAnsi="Times New Roman"/>
          <w:sz w:val="22"/>
          <w:szCs w:val="22"/>
          <w:color w:val="auto"/>
        </w:rPr>
      </w:pPr>
    </w:p>
    <w:p>
      <w:pPr>
        <w:ind w:left="3064" w:hanging="471"/>
        <w:spacing w:after="0"/>
        <w:tabs>
          <w:tab w:leader="none" w:pos="3064" w:val="left"/>
        </w:tabs>
        <w:numPr>
          <w:ilvl w:val="2"/>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Indebtedness incurred in reliance on clause (x) of this Section 6.14(I)</w:t>
      </w:r>
    </w:p>
    <w:p>
      <w:pPr>
        <w:spacing w:after="0" w:line="41" w:lineRule="exact"/>
        <w:rPr>
          <w:rFonts w:ascii="Times New Roman" w:cs="Times New Roman" w:eastAsia="Times New Roman" w:hAnsi="Times New Roman"/>
          <w:sz w:val="21"/>
          <w:szCs w:val="21"/>
          <w:color w:val="auto"/>
        </w:rPr>
      </w:pPr>
    </w:p>
    <w:p>
      <w:pPr>
        <w:ind w:left="1584" w:hanging="287"/>
        <w:spacing w:after="0"/>
        <w:tabs>
          <w:tab w:leader="none" w:pos="1584"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such Indebtedness that is secured by any Lien, together with all</w:t>
      </w:r>
    </w:p>
    <w:p>
      <w:pPr>
        <w:sectPr>
          <w:pgSz w:w="11900" w:h="16838" w:orient="portrait"/>
          <w:cols w:equalWidth="0" w:num="1">
            <w:col w:w="10744"/>
          </w:cols>
          <w:pgMar w:left="896" w:top="625" w:right="259" w:bottom="1440" w:gutter="0" w:footer="0" w:header="0"/>
        </w:sectPr>
      </w:pPr>
    </w:p>
    <w:bookmarkStart w:id="253" w:name="page254"/>
    <w:bookmarkEnd w:id="253"/>
    <w:p>
      <w:pPr>
        <w:ind w:left="1300"/>
        <w:spacing w:after="0"/>
        <w:rPr>
          <w:sz w:val="20"/>
          <w:szCs w:val="20"/>
          <w:color w:val="auto"/>
        </w:rPr>
      </w:pPr>
      <w:r>
        <w:rPr>
          <w:rFonts w:ascii="Times New Roman" w:cs="Times New Roman" w:eastAsia="Times New Roman" w:hAnsi="Times New Roman"/>
          <w:sz w:val="22"/>
          <w:szCs w:val="22"/>
          <w:color w:val="auto"/>
        </w:rPr>
        <w:t>Refinancing Indebtedness in respect thereof, shall not exceed $200 million; and</w:t>
      </w:r>
    </w:p>
    <w:p>
      <w:pPr>
        <w:spacing w:after="0" w:line="220" w:lineRule="exact"/>
        <w:rPr>
          <w:sz w:val="20"/>
          <w:szCs w:val="20"/>
          <w:color w:val="auto"/>
        </w:rPr>
      </w:pPr>
    </w:p>
    <w:p>
      <w:pPr>
        <w:ind w:left="1300" w:right="80" w:firstLine="1289"/>
        <w:spacing w:after="0" w:line="251" w:lineRule="auto"/>
        <w:tabs>
          <w:tab w:leader="none" w:pos="3076"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subclause (C) above, immediately prior to, and after giving effect to such permitted Acquisition, at the Borrower’s option either on the date of execution of the related acquisition agreement or on the date such Acquisition is consummated, the Borrower and its Restricted Subsidiaries shall be in compliance, on a Pro Forma Basis, with the covenants set forth in Section 6.22 recomputed as of the last day of the most recently completed period for which financial statements have been or were required to be delivered pursuant to Section 6.1(a) or (b);</w:t>
      </w:r>
    </w:p>
    <w:p>
      <w:pPr>
        <w:spacing w:after="0" w:line="181" w:lineRule="exact"/>
        <w:rPr>
          <w:rFonts w:ascii="Times New Roman" w:cs="Times New Roman" w:eastAsia="Times New Roman" w:hAnsi="Times New Roman"/>
          <w:sz w:val="22"/>
          <w:szCs w:val="22"/>
          <w:color w:val="auto"/>
        </w:rPr>
      </w:pPr>
    </w:p>
    <w:p>
      <w:pPr>
        <w:ind w:right="420" w:firstLine="1293"/>
        <w:spacing w:after="0" w:line="284" w:lineRule="auto"/>
        <w:tabs>
          <w:tab w:leader="none" w:pos="168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of its Restricted Subsidiaries supported by a letter of credit in a principal amount not to exceed the face amount of such letter of credit;</w:t>
      </w:r>
    </w:p>
    <w:p>
      <w:pPr>
        <w:spacing w:after="0" w:line="144"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or unsecured loans or notes issued in lieu of Incremental Facilities (such loans or notes,</w:t>
      </w:r>
    </w:p>
    <w:p>
      <w:pPr>
        <w:spacing w:after="0" w:line="3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Incremental Equivalent Debt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secured (i) is secured only by the Collateral and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or junior basis with the Obligations and (ii) is subject to customary intercreditor arrangements reasonably satisfactory to the Administrative Agent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any such Incremental Equivalent Debt (x) otherwise satisfies clauses (A), (B), (E), (F), (H) (solely with respect to such additional secured Indebtedness in the form of term loans that are secured on a </w:t>
      </w:r>
      <w:r>
        <w:rPr>
          <w:rFonts w:ascii="Times New Roman" w:cs="Times New Roman" w:eastAsia="Times New Roman" w:hAnsi="Times New Roman"/>
          <w:sz w:val="21"/>
          <w:szCs w:val="21"/>
          <w:i w:val="1"/>
          <w:iCs w:val="1"/>
          <w:color w:val="auto"/>
        </w:rPr>
        <w:t xml:space="preserve">pari passu </w:t>
      </w:r>
      <w:r>
        <w:rPr>
          <w:rFonts w:ascii="Times New Roman" w:cs="Times New Roman" w:eastAsia="Times New Roman" w:hAnsi="Times New Roman"/>
          <w:sz w:val="21"/>
          <w:szCs w:val="21"/>
          <w:color w:val="auto"/>
        </w:rPr>
        <w:t>basis with the Obligations), (I), (J), (K) and (N) of Section 2.14(a) as if such Incremental Equivalent Debt were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 Incremental Facility and (y) together with any Incremental Facility, does not exceed the Incremental Cap;</w:t>
      </w:r>
    </w:p>
    <w:p>
      <w:pPr>
        <w:spacing w:after="0" w:line="174" w:lineRule="exact"/>
        <w:rPr>
          <w:sz w:val="20"/>
          <w:szCs w:val="20"/>
          <w:color w:val="auto"/>
        </w:rPr>
      </w:pPr>
    </w:p>
    <w:p>
      <w:pPr>
        <w:ind w:firstLine="1293"/>
        <w:spacing w:after="0" w:line="247" w:lineRule="auto"/>
        <w:tabs>
          <w:tab w:leader="none" w:pos="172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senior subordinated or subordinated unsecured Indebtedness of the Borrower or any of the Loan Parties;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 the terms of such Indebtedness (excluding pricing, fees, rate floors, optional prepayment or redemption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terms and subordination terms (such subordination terms to be on current market terms)) are not, when taken as a whole, materially more favorable (as reasonably determined by the Borrower in good faith) to the lenders providing such Indebtedness than those applicable to the Facilities (other than any covenants or any other provisions applicable only to periods after the Final Maturity Date (in each case, as of the incurrence of such Indebtedness)) or is otherwise on current market terms for such type of Indebtedness (as reasonably determined by the Borrower in good faith), (ii) such Indebtedness has a final scheduled maturity date no earlier than the Term B Termination Date then in effect, (iii) such Indebtedness has a Weighted Average Life to Maturity no shorter than that of any Term B Facility and (iv) such Indebtedness is guaranteed only by the Loan Parties;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after giving effect thereto, (A) the Leverage Ratio does not exceed the greater of the Leverage Ratio that is 0.25x less than the then-applicable Leverage</w:t>
      </w:r>
    </w:p>
    <w:p>
      <w:pPr>
        <w:sectPr>
          <w:pgSz w:w="11900" w:h="16838" w:orient="portrait"/>
          <w:cols w:equalWidth="0" w:num="1">
            <w:col w:w="10760"/>
          </w:cols>
          <w:pgMar w:left="900" w:top="625" w:right="239" w:bottom="1440" w:gutter="0" w:footer="0" w:header="0"/>
        </w:sectPr>
      </w:pPr>
    </w:p>
    <w:bookmarkStart w:id="254" w:name="page255"/>
    <w:bookmarkEnd w:id="254"/>
    <w:p>
      <w:pPr>
        <w:ind w:right="200"/>
        <w:spacing w:after="0" w:line="250" w:lineRule="auto"/>
        <w:rPr>
          <w:sz w:val="20"/>
          <w:szCs w:val="20"/>
          <w:color w:val="auto"/>
        </w:rPr>
      </w:pPr>
      <w:r>
        <w:rPr>
          <w:rFonts w:ascii="Times New Roman" w:cs="Times New Roman" w:eastAsia="Times New Roman" w:hAnsi="Times New Roman"/>
          <w:sz w:val="22"/>
          <w:szCs w:val="22"/>
          <w:color w:val="auto"/>
        </w:rPr>
        <w:t>Ratio required under Section 6.22(a) hereof (prior to giving effect to Amendment No. 9) and 3.75 to 1.00, in each case calculated on a Pro Forma Basis as of the last day of the most recently ended period of four consecutive fiscal quarters for which financial statements have been or were required to be delivered pursuant to Section 6.1(a) or (b) and (B) no Default or Event of Default under Section 7.1(a), 7.1(j) or 7.1(k) hereof shall have occurred and be continuing or would result therefrom;</w:t>
      </w:r>
    </w:p>
    <w:p>
      <w:pPr>
        <w:spacing w:after="0" w:line="177" w:lineRule="exact"/>
        <w:rPr>
          <w:sz w:val="20"/>
          <w:szCs w:val="20"/>
          <w:color w:val="auto"/>
        </w:rPr>
      </w:pPr>
    </w:p>
    <w:p>
      <w:pPr>
        <w:ind w:right="80" w:firstLine="1293"/>
        <w:spacing w:after="0" w:line="259" w:lineRule="auto"/>
        <w:tabs>
          <w:tab w:leader="none" w:pos="1776"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senior unsecured Indebtedness of the Borrower or any of its Restricted Subsidiaries;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terms of such Indebtedness (excluding pricing, fees, rate floors, optional prepayment or redemption terms and subordination terms (such subordination terms to be on current market terms)) are not, when taken as a whole, materially more favorable (as reasonably determined by the Borrower in good faith) to the lenders providing such Indebtedness than those applicable to the Facilities (other than any covenants or any other provisions applicable only to periods after the Final Maturity Date (in each case, as of the incurrence of such Indebtedness)) or is otherwise on current market terms for such type of Indebtedness (as reasonably determined by the Borrower in good faith), (ii) such Indebtedness has a final scheduled maturity date no earlier than the Term B Termination Date then in effect, (iii) such Indebtedness has a Weighted Average Life to Maturity no shorter than that of any Term B Facility, (iv) the maximum aggregate principal amount of such Indebtedness by non-Loan Parties, together with any Indebtedness incurred under clause (ii) in the first proviso in Section</w:t>
      </w:r>
    </w:p>
    <w:p>
      <w:pPr>
        <w:spacing w:after="0" w:line="1" w:lineRule="exact"/>
        <w:rPr>
          <w:rFonts w:ascii="Times New Roman" w:cs="Times New Roman" w:eastAsia="Times New Roman" w:hAnsi="Times New Roman"/>
          <w:sz w:val="21"/>
          <w:szCs w:val="21"/>
          <w:color w:val="auto"/>
        </w:rPr>
      </w:pPr>
    </w:p>
    <w:p>
      <w:pPr>
        <w:ind w:right="10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6.14(I)(x) below, does not exceed the greater of $300 million and 1.00% of Consolidated Total Assets and (v) subject to the preceding clause (iv), such Indebtedness is guaranteed only by the Loan Parties;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after giving effect thereto, (i) the Leverage Ratio does not exceed the greater of the Leverage Ratio that is 0.25x less than the then-applicable Leverage Ratio required under Section 6.22(a) hereof (prior to giving effect to Amendment No. 9) and 3.75 to 1.00, in each case calculated on a Pro Forma Basis as of the last day of the most recently ended period of four consecutive fiscal quarters for which financial statements have been or were required to be delivered pursuant to Section 6.1(a) or (b) and (ii) no Default or Event of Default under Section 7.1(a), 7.1 (j) or 7.1(k) hereof shall have occurred and be continuing or would result therefrom;</w:t>
      </w:r>
    </w:p>
    <w:p>
      <w:pPr>
        <w:spacing w:after="0" w:line="183" w:lineRule="exact"/>
        <w:rPr>
          <w:rFonts w:ascii="Times New Roman" w:cs="Times New Roman" w:eastAsia="Times New Roman" w:hAnsi="Times New Roman"/>
          <w:sz w:val="21"/>
          <w:szCs w:val="21"/>
          <w:color w:val="auto"/>
        </w:rPr>
      </w:pPr>
    </w:p>
    <w:p>
      <w:pPr>
        <w:ind w:firstLine="1293"/>
        <w:spacing w:after="0" w:line="250" w:lineRule="auto"/>
        <w:tabs>
          <w:tab w:leader="none" w:pos="172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secured Indebtedness of the Borrower or any of its Restricted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after giving effect thereto, the Senior Secured Leverage Ratio does not exceed 2.50:1.00, calculated on a Pro Forma Basis as of the last day of the most recently ended period of four consecutive fiscal quarters for which financial statements have been or were required to be delivered pursuant to Section 6.1(a) or (b), (ii) the maximum aggregate principal amount of such Indebtedness by non-Loan Parties, together with any Indebtedness incurred under clause (iv) in the first proviso in Section 6.14(I)(w) above, does not exceed the greater of $300 million and 1.00% of Consolidated Total Assets and (iii) subject to the preceding clause (ii), such Indebtedness</w:t>
      </w:r>
    </w:p>
    <w:p>
      <w:pPr>
        <w:sectPr>
          <w:pgSz w:w="11900" w:h="16838" w:orient="portrait"/>
          <w:cols w:equalWidth="0" w:num="1">
            <w:col w:w="10760"/>
          </w:cols>
          <w:pgMar w:left="900" w:top="625" w:right="239" w:bottom="1440" w:gutter="0" w:footer="0" w:header="0"/>
        </w:sectPr>
      </w:pPr>
    </w:p>
    <w:bookmarkStart w:id="255" w:name="page256"/>
    <w:bookmarkEnd w:id="255"/>
    <w:p>
      <w:pPr>
        <w:ind w:right="80"/>
        <w:spacing w:after="0" w:line="248" w:lineRule="auto"/>
        <w:rPr>
          <w:sz w:val="20"/>
          <w:szCs w:val="20"/>
          <w:color w:val="auto"/>
        </w:rPr>
      </w:pPr>
      <w:r>
        <w:rPr>
          <w:rFonts w:ascii="Times New Roman" w:cs="Times New Roman" w:eastAsia="Times New Roman" w:hAnsi="Times New Roman"/>
          <w:sz w:val="22"/>
          <w:szCs w:val="22"/>
          <w:color w:val="auto"/>
        </w:rPr>
        <w:t xml:space="preserve">is guaranteed only by the Loan Parties;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 no Default or Event of Default under Section 7.1(a), 7.1(j) or 7.1(k) hereof shall have occurred and be continuing or would result therefrom and (B) such Indebtedness (x) is secured by the Collateral only, (y) otherwise satisfies clauses (A), (B), (E), (F), (H) (solely with respect to such additional secured Indebtedness in the form of term loans (other than term A loans) that are secured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Obligations), (I), (J), (K) and (N) of Section 2.14(a) as if such Indebtedness were an Incremental Facility and (z) is subject to an intercreditor agreement substantially similar to the Intercreditor Agreement (with respect to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debt) or other intercreditor arrangements reasonably satisfactory to the Administrative Agent;</w:t>
      </w:r>
    </w:p>
    <w:p>
      <w:pPr>
        <w:spacing w:after="0" w:line="186" w:lineRule="exact"/>
        <w:rPr>
          <w:sz w:val="20"/>
          <w:szCs w:val="20"/>
          <w:color w:val="auto"/>
        </w:rPr>
      </w:pPr>
    </w:p>
    <w:p>
      <w:pPr>
        <w:ind w:firstLine="1293"/>
        <w:spacing w:after="0" w:line="251" w:lineRule="auto"/>
        <w:tabs>
          <w:tab w:leader="none" w:pos="172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Indebtedness of the Borrower or any of its Restricted Subsidiaries that are not Loan Parties;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aggregate principal amount of Indebtedness outstanding under this clause (y), together with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Refinancing Indebtedness incurred under clause (r) above in respect thereof, shall not exceed the greater of $400 million and 1.25% of Consolidated Total Assets, measured as of the date such Indebtedness is issued or incurred and based upon the financial statements most recently delivered on or prior to such date pursuant to Section 6.1, but giving effect to any Specified Transaction occurring thereafter and on or prior to the date of determination;</w:t>
      </w:r>
    </w:p>
    <w:p>
      <w:pPr>
        <w:spacing w:after="0" w:line="181"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sz w:val="20"/>
          <w:szCs w:val="20"/>
          <w:color w:val="auto"/>
        </w:rPr>
      </w:pPr>
    </w:p>
    <w:p>
      <w:pPr>
        <w:ind w:left="1800" w:hanging="507"/>
        <w:spacing w:after="0"/>
        <w:tabs>
          <w:tab w:leader="none" w:pos="180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represented by the (i) 2024 Convertible Notes and (ii) the 2026 Senior Unsecured Notes;</w:t>
      </w:r>
    </w:p>
    <w:p>
      <w:pPr>
        <w:spacing w:after="0" w:line="244" w:lineRule="exact"/>
        <w:rPr>
          <w:rFonts w:ascii="Times New Roman" w:cs="Times New Roman" w:eastAsia="Times New Roman" w:hAnsi="Times New Roman"/>
          <w:sz w:val="21"/>
          <w:szCs w:val="21"/>
          <w:color w:val="auto"/>
        </w:rPr>
      </w:pPr>
    </w:p>
    <w:p>
      <w:pPr>
        <w:ind w:left="1840" w:hanging="547"/>
        <w:spacing w:after="0"/>
        <w:tabs>
          <w:tab w:leader="none" w:pos="184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800" w:hanging="507"/>
        <w:spacing w:after="0"/>
        <w:tabs>
          <w:tab w:leader="none" w:pos="180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endorsement of negotiable instruments for deposit or collection or similar transactions in the ordinary</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course of business;</w:t>
      </w:r>
    </w:p>
    <w:p>
      <w:pPr>
        <w:spacing w:after="0" w:line="207" w:lineRule="exact"/>
        <w:rPr>
          <w:rFonts w:ascii="Times New Roman" w:cs="Times New Roman" w:eastAsia="Times New Roman" w:hAnsi="Times New Roman"/>
          <w:sz w:val="21"/>
          <w:szCs w:val="21"/>
          <w:color w:val="auto"/>
        </w:rPr>
      </w:pPr>
    </w:p>
    <w:p>
      <w:pPr>
        <w:ind w:left="1840" w:hanging="547"/>
        <w:spacing w:after="0"/>
        <w:tabs>
          <w:tab w:leader="none" w:pos="184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of the Borrower or any of its Restricted Subsidiaries incurred in connection with rebate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programs;</w:t>
      </w:r>
    </w:p>
    <w:p>
      <w:pPr>
        <w:spacing w:after="0" w:line="207" w:lineRule="exact"/>
        <w:rPr>
          <w:rFonts w:ascii="Times New Roman" w:cs="Times New Roman" w:eastAsia="Times New Roman" w:hAnsi="Times New Roman"/>
          <w:sz w:val="22"/>
          <w:szCs w:val="22"/>
          <w:color w:val="auto"/>
        </w:rPr>
      </w:pPr>
    </w:p>
    <w:p>
      <w:pPr>
        <w:ind w:left="1800" w:hanging="507"/>
        <w:spacing w:after="0"/>
        <w:tabs>
          <w:tab w:leader="none" w:pos="18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Receivables Financing shall not to exceed $1,000 million at any time outstanding;</w:t>
      </w:r>
    </w:p>
    <w:p>
      <w:pPr>
        <w:spacing w:after="0" w:line="233" w:lineRule="exact"/>
        <w:rPr>
          <w:rFonts w:ascii="Times New Roman" w:cs="Times New Roman" w:eastAsia="Times New Roman" w:hAnsi="Times New Roman"/>
          <w:sz w:val="22"/>
          <w:szCs w:val="22"/>
          <w:color w:val="auto"/>
        </w:rPr>
      </w:pPr>
    </w:p>
    <w:p>
      <w:pPr>
        <w:ind w:left="1760" w:hanging="467"/>
        <w:spacing w:after="0"/>
        <w:tabs>
          <w:tab w:leader="none" w:pos="176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represented by the Convertible Notes;</w:t>
      </w:r>
    </w:p>
    <w:p>
      <w:pPr>
        <w:spacing w:after="0" w:line="233" w:lineRule="exact"/>
        <w:rPr>
          <w:rFonts w:ascii="Times New Roman" w:cs="Times New Roman" w:eastAsia="Times New Roman" w:hAnsi="Times New Roman"/>
          <w:sz w:val="22"/>
          <w:szCs w:val="22"/>
          <w:color w:val="auto"/>
        </w:rPr>
      </w:pPr>
    </w:p>
    <w:p>
      <w:pPr>
        <w:ind w:right="720" w:firstLine="1293"/>
        <w:spacing w:after="0" w:line="284" w:lineRule="auto"/>
        <w:tabs>
          <w:tab w:leader="none" w:pos="1837"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Restricted Subsidiary undertaken in connection with cash management and related activities with respect to any Subsidiary in the ordinary course of business;</w:t>
      </w:r>
    </w:p>
    <w:p>
      <w:pPr>
        <w:sectPr>
          <w:pgSz w:w="11900" w:h="16838" w:orient="portrait"/>
          <w:cols w:equalWidth="0" w:num="1">
            <w:col w:w="10740"/>
          </w:cols>
          <w:pgMar w:left="900" w:top="621" w:right="259" w:bottom="1440" w:gutter="0" w:footer="0" w:header="0"/>
        </w:sectPr>
      </w:pPr>
    </w:p>
    <w:bookmarkStart w:id="256" w:name="page257"/>
    <w:bookmarkEnd w:id="256"/>
    <w:p>
      <w:pPr>
        <w:ind w:firstLine="1293"/>
        <w:spacing w:after="0" w:line="257" w:lineRule="auto"/>
        <w:tabs>
          <w:tab w:leader="none" w:pos="183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including working capital facilities, asset-level financings, Capitalized Lease Obligations and purchase money indebtedness incurred by any Foreign Subsidiary of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Indebtedness outstanding under this clause (hh), together with any Refinancing Indebtedness in respect thereof incurred pursuant to clause (r) above shall not exceed $500 million and 2.50% of Foreign Subsidiary Total Assets;</w:t>
      </w:r>
    </w:p>
    <w:p>
      <w:pPr>
        <w:spacing w:after="0" w:line="172" w:lineRule="exact"/>
        <w:rPr>
          <w:rFonts w:ascii="Times New Roman" w:cs="Times New Roman" w:eastAsia="Times New Roman" w:hAnsi="Times New Roman"/>
          <w:sz w:val="22"/>
          <w:szCs w:val="22"/>
          <w:color w:val="auto"/>
        </w:rPr>
      </w:pPr>
    </w:p>
    <w:p>
      <w:pPr>
        <w:ind w:right="20" w:firstLine="1293"/>
        <w:spacing w:after="0" w:line="284" w:lineRule="auto"/>
        <w:tabs>
          <w:tab w:leader="none" w:pos="174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any sale-leaseback transaction, together with any Refinancing Indebtedness in respect thereof incurred pursuant to clause (r) above shall not exceed $1,000 million; and</w:t>
      </w:r>
    </w:p>
    <w:p>
      <w:pPr>
        <w:spacing w:after="0" w:line="144" w:lineRule="exact"/>
        <w:rPr>
          <w:rFonts w:ascii="Times New Roman" w:cs="Times New Roman" w:eastAsia="Times New Roman" w:hAnsi="Times New Roman"/>
          <w:sz w:val="22"/>
          <w:szCs w:val="22"/>
          <w:color w:val="auto"/>
        </w:rPr>
      </w:pPr>
    </w:p>
    <w:p>
      <w:pPr>
        <w:ind w:right="140" w:firstLine="1293"/>
        <w:spacing w:after="0" w:line="284" w:lineRule="auto"/>
        <w:tabs>
          <w:tab w:leader="none" w:pos="174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customary premiums (if any), interest (including post-petition interest), fees, expenses, charges and additional or contingent interest on obligations described in each of Section 6.14(I)(a) through 6.14(I)(ii) above.</w:t>
      </w:r>
    </w:p>
    <w:p>
      <w:pPr>
        <w:spacing w:after="0" w:line="144" w:lineRule="exact"/>
        <w:rPr>
          <w:sz w:val="20"/>
          <w:szCs w:val="20"/>
          <w:color w:val="auto"/>
        </w:rPr>
      </w:pPr>
    </w:p>
    <w:p>
      <w:pPr>
        <w:ind w:left="-660" w:right="200" w:firstLine="1953"/>
        <w:spacing w:after="0" w:line="271" w:lineRule="auto"/>
        <w:tabs>
          <w:tab w:leader="none" w:pos="1627"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an Unsecured Covenants Period is in effect, the Borrower will not, and will not permit any of its Restricted Subsidiaries to, contract, create, incur, assume or suffer to exist any Indebtedness, except;</w:t>
      </w:r>
    </w:p>
    <w:p>
      <w:pPr>
        <w:spacing w:after="0" w:line="157" w:lineRule="exact"/>
        <w:rPr>
          <w:rFonts w:ascii="Times New Roman" w:cs="Times New Roman" w:eastAsia="Times New Roman" w:hAnsi="Times New Roman"/>
          <w:sz w:val="22"/>
          <w:szCs w:val="22"/>
          <w:color w:val="auto"/>
        </w:rPr>
      </w:pPr>
    </w:p>
    <w:p>
      <w:pPr>
        <w:ind w:right="60" w:firstLine="645"/>
        <w:spacing w:after="0" w:line="257" w:lineRule="auto"/>
        <w:tabs>
          <w:tab w:leader="none" w:pos="106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under this Agreement (including pursuant to Section 2.14, Section 2.15 and Section 2.16) and under the other Loan Documents (and any Refinancing Notes incurred to refinance such Indebtedness), Hedging Liability (other than for speculative purposes) and Funds Transfer Liability, Deposit Account Liability and Data Processing Obligations of the Borrower and its Restricted Subsidiaries;</w:t>
      </w:r>
    </w:p>
    <w:p>
      <w:pPr>
        <w:spacing w:after="0" w:line="172" w:lineRule="exact"/>
        <w:rPr>
          <w:sz w:val="20"/>
          <w:szCs w:val="20"/>
          <w:color w:val="auto"/>
        </w:rPr>
      </w:pPr>
    </w:p>
    <w:p>
      <w:pPr>
        <w:ind w:right="200" w:firstLine="1293"/>
        <w:spacing w:after="0" w:line="284" w:lineRule="auto"/>
        <w:tabs>
          <w:tab w:leader="none" w:pos="172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pursuant to Hedge Agreements entered into in the ordinary course of business and not for speculative purposes with Persons other than Lenders (or their Affiliates);</w:t>
      </w:r>
    </w:p>
    <w:p>
      <w:pPr>
        <w:spacing w:after="0" w:line="144"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intercompany Indebtedness among the Borrower and its Restricted Subsidiaries to the extent permitted</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by Section 6.17;</w:t>
      </w:r>
    </w:p>
    <w:p>
      <w:pPr>
        <w:spacing w:after="0" w:line="207" w:lineRule="exact"/>
        <w:rPr>
          <w:rFonts w:ascii="Times New Roman" w:cs="Times New Roman" w:eastAsia="Times New Roman" w:hAnsi="Times New Roman"/>
          <w:sz w:val="21"/>
          <w:szCs w:val="21"/>
          <w:color w:val="auto"/>
        </w:rPr>
      </w:pPr>
    </w:p>
    <w:p>
      <w:pPr>
        <w:ind w:right="40" w:firstLine="1293"/>
        <w:spacing w:after="0" w:line="249" w:lineRule="auto"/>
        <w:tabs>
          <w:tab w:leader="none" w:pos="172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Indebtedness (including Capitalized Lease Obligations and other Indebtedness arising under Capital Leases) the proceeds of which are used to finance the acquisition, lease, construction, repair, replacement, expansion or improvement of fixed or capital assets or otherwise incurred in respect of capital expenditures, whether through the direct purchase of assets or the purchase of capital stock of any Person owning such assets and (ii) Indebtedness incurred in connection with the leases of precious metals and/or commodities;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principal amount of Indebtedness outstanding under this clause (d), together with any Refinancing Indebtedness incurred under clause (r) below in respect thereof, shall not exceed the greater of $500 million and 2.50% of Consolidated Total Assets (measured as of the date such Indebtedness is issued or incurred and based upon the financial statements most</w:t>
      </w:r>
    </w:p>
    <w:p>
      <w:pPr>
        <w:sectPr>
          <w:pgSz w:w="11900" w:h="16838" w:orient="portrait"/>
          <w:cols w:equalWidth="0" w:num="1">
            <w:col w:w="10720"/>
          </w:cols>
          <w:pgMar w:left="900" w:top="625" w:right="279" w:bottom="1440" w:gutter="0" w:footer="0" w:header="0"/>
        </w:sectPr>
      </w:pPr>
    </w:p>
    <w:bookmarkStart w:id="257" w:name="page258"/>
    <w:bookmarkEnd w:id="257"/>
    <w:p>
      <w:pPr>
        <w:ind w:right="240"/>
        <w:spacing w:after="0" w:line="271" w:lineRule="auto"/>
        <w:rPr>
          <w:sz w:val="20"/>
          <w:szCs w:val="20"/>
          <w:color w:val="auto"/>
        </w:rPr>
      </w:pPr>
      <w:r>
        <w:rPr>
          <w:rFonts w:ascii="Times New Roman" w:cs="Times New Roman" w:eastAsia="Times New Roman" w:hAnsi="Times New Roman"/>
          <w:sz w:val="22"/>
          <w:szCs w:val="22"/>
          <w:color w:val="auto"/>
        </w:rPr>
        <w:t>recently delivered on or prior to such date pursuant to Section 6.1(a) or (b), but giving effect to any Specified Transaction occurring thereafter and on or prior to the date of determination);</w:t>
      </w:r>
    </w:p>
    <w:p>
      <w:pPr>
        <w:spacing w:after="0" w:line="158" w:lineRule="exact"/>
        <w:rPr>
          <w:sz w:val="20"/>
          <w:szCs w:val="20"/>
          <w:color w:val="auto"/>
        </w:rPr>
      </w:pPr>
    </w:p>
    <w:p>
      <w:pPr>
        <w:ind w:right="180" w:firstLine="1293"/>
        <w:spacing w:after="0" w:line="251" w:lineRule="auto"/>
        <w:tabs>
          <w:tab w:leader="none" w:pos="171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(other than Priority Debt) of the Borrower and its Restricted Subsidiaries not otherwise permitted by this Section 6.14(II);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Indebtedness outstanding under this clause (e) shall not exceed the greater of $500 million and 2.50% of Consolidated Total Assets (measured as of the date such Indebtedness is issued or incurred and based upon the financial statements most recently delivered on or prior to such date pursuant to Section 6.1(a) or (b), but giving effect to any Specified Transaction occurring thereafter and on or prior to the date of determination);</w:t>
      </w:r>
    </w:p>
    <w:p>
      <w:pPr>
        <w:spacing w:after="0" w:line="181" w:lineRule="exact"/>
        <w:rPr>
          <w:rFonts w:ascii="Times New Roman" w:cs="Times New Roman" w:eastAsia="Times New Roman" w:hAnsi="Times New Roman"/>
          <w:sz w:val="22"/>
          <w:szCs w:val="22"/>
          <w:color w:val="auto"/>
        </w:rPr>
      </w:pPr>
    </w:p>
    <w:p>
      <w:pPr>
        <w:ind w:right="160" w:firstLine="1293"/>
        <w:spacing w:after="0" w:line="263" w:lineRule="auto"/>
        <w:tabs>
          <w:tab w:leader="none" w:pos="1692"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Obligations incurred by (i) any Restricted Subsidiary in respect of Indebtedness of the Borrower or any other Restricted Subsidiary that is permitted to be incurred under this Agreement and (ii) the Borrower in respect of Indebtedness of any Restricted Subsidiary that is permitted to be incurred under this Agreement;</w:t>
      </w:r>
    </w:p>
    <w:p>
      <w:pPr>
        <w:spacing w:after="0" w:line="167" w:lineRule="exact"/>
        <w:rPr>
          <w:rFonts w:ascii="Times New Roman" w:cs="Times New Roman" w:eastAsia="Times New Roman" w:hAnsi="Times New Roman"/>
          <w:sz w:val="22"/>
          <w:szCs w:val="22"/>
          <w:color w:val="auto"/>
        </w:rPr>
      </w:pPr>
    </w:p>
    <w:p>
      <w:pPr>
        <w:ind w:firstLine="1293"/>
        <w:spacing w:after="0" w:line="284" w:lineRule="auto"/>
        <w:tabs>
          <w:tab w:leader="none" w:pos="1729"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Obligations incurred in the ordinary course of business in respect of obligations to suppliers, customers, franchisees, lessors, licensees or distribution partners;</w:t>
      </w:r>
    </w:p>
    <w:p>
      <w:pPr>
        <w:spacing w:after="0" w:line="144" w:lineRule="exact"/>
        <w:rPr>
          <w:rFonts w:ascii="Times New Roman" w:cs="Times New Roman" w:eastAsia="Times New Roman" w:hAnsi="Times New Roman"/>
          <w:sz w:val="22"/>
          <w:szCs w:val="22"/>
          <w:color w:val="auto"/>
        </w:rPr>
      </w:pPr>
    </w:p>
    <w:p>
      <w:pPr>
        <w:ind w:right="20" w:firstLine="1293"/>
        <w:spacing w:after="0" w:line="264" w:lineRule="auto"/>
        <w:tabs>
          <w:tab w:leader="none" w:pos="1729"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unsecured (other than vendor’s liens arising by operation of law) Indebtedness in respect of obligations of the Borrower or any Restricted Subsidiary to pay the deferred purchase price of goods or services or progress payments in connection with such goods and services;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obligations are incurred in connection with open accounts extended by suppliers on customary trade terms in the ordinary course of business and not in connection with the borrowing of money or any Hedge Agreements and (ii) unsecured Indebtedness in respect of intercompany obligations of the Borrower or any Restricted Subsidiary in respect of accounts payable incurred in connection with goods sold or services rendered in the ordinary course of business and not in connection with the borrowing of money;</w:t>
      </w:r>
    </w:p>
    <w:p>
      <w:pPr>
        <w:spacing w:after="0" w:line="166" w:lineRule="exact"/>
        <w:rPr>
          <w:rFonts w:ascii="Times New Roman" w:cs="Times New Roman" w:eastAsia="Times New Roman" w:hAnsi="Times New Roman"/>
          <w:sz w:val="21"/>
          <w:szCs w:val="21"/>
          <w:color w:val="auto"/>
        </w:rPr>
      </w:pPr>
    </w:p>
    <w:p>
      <w:pPr>
        <w:jc w:val="both"/>
        <w:ind w:right="140" w:firstLine="1293"/>
        <w:spacing w:after="0" w:line="273" w:lineRule="auto"/>
        <w:tabs>
          <w:tab w:leader="none" w:pos="168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arising from agreements of the Borrower or any Restricted Subsidiary providing for earn outs, indemnification, adjustment of purchase price or similar obligations, in each case, entered into in connection with the disposition of any business, assets or capital stock permitted hereunder, other than Contingent Obligations incurred by any Person acquiring all or any portion of such business, assets or capital stock for the purpose of financing such acquisition;</w:t>
      </w:r>
    </w:p>
    <w:p>
      <w:pPr>
        <w:sectPr>
          <w:pgSz w:w="11900" w:h="16838" w:orient="portrait"/>
          <w:cols w:equalWidth="0" w:num="1">
            <w:col w:w="10740"/>
          </w:cols>
          <w:pgMar w:left="900" w:top="625" w:right="259" w:bottom="1440" w:gutter="0" w:footer="0" w:header="0"/>
        </w:sectPr>
      </w:pPr>
    </w:p>
    <w:bookmarkStart w:id="258" w:name="page259"/>
    <w:bookmarkEnd w:id="258"/>
    <w:p>
      <w:pPr>
        <w:jc w:val="both"/>
        <w:ind w:left="-540" w:right="100" w:firstLine="1293"/>
        <w:spacing w:after="0" w:line="263" w:lineRule="auto"/>
        <w:tabs>
          <w:tab w:leader="none" w:pos="114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agreements of the Borrower or any Restricted Subsidiary providing for earn outs, indemnification, adjustment of purchase price or similar obligations, in each case, entered into in connection with the Transactions and any Permitted Acquisitions or other investments permitted under Section 6.17;</w:t>
      </w:r>
    </w:p>
    <w:p>
      <w:pPr>
        <w:spacing w:after="0" w:line="167" w:lineRule="exact"/>
        <w:rPr>
          <w:rFonts w:ascii="Times New Roman" w:cs="Times New Roman" w:eastAsia="Times New Roman" w:hAnsi="Times New Roman"/>
          <w:sz w:val="22"/>
          <w:szCs w:val="22"/>
          <w:color w:val="auto"/>
        </w:rPr>
      </w:pPr>
    </w:p>
    <w:p>
      <w:pPr>
        <w:ind w:left="-540" w:right="40" w:firstLine="1293"/>
        <w:spacing w:after="0" w:line="263" w:lineRule="auto"/>
        <w:tabs>
          <w:tab w:leader="none" w:pos="118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performance bonds, bid bonds, appeal bonds, surety bonds, performance and completion guarantees and similar obligations incurred in the ordinary course of business and not in connection with the borrowing of money or Hedge Agreements;</w:t>
      </w:r>
    </w:p>
    <w:p>
      <w:pPr>
        <w:spacing w:after="0" w:line="167" w:lineRule="exact"/>
        <w:rPr>
          <w:rFonts w:ascii="Times New Roman" w:cs="Times New Roman" w:eastAsia="Times New Roman" w:hAnsi="Times New Roman"/>
          <w:sz w:val="22"/>
          <w:szCs w:val="22"/>
          <w:color w:val="auto"/>
        </w:rPr>
      </w:pPr>
    </w:p>
    <w:p>
      <w:pPr>
        <w:ind w:left="-540" w:right="40" w:firstLine="1293"/>
        <w:spacing w:after="0" w:line="263" w:lineRule="auto"/>
        <w:tabs>
          <w:tab w:leader="none" w:pos="114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Restricted Subsidiary consisting of (i) obligations to pay insurance premiums or (ii) take or pay obligations contained in supply agreements, in each case arising in the ordinary course of business and not in connection with the borrowing of money or Hedge Agreements;</w:t>
      </w:r>
    </w:p>
    <w:p>
      <w:pPr>
        <w:spacing w:after="0" w:line="167" w:lineRule="exact"/>
        <w:rPr>
          <w:rFonts w:ascii="Times New Roman" w:cs="Times New Roman" w:eastAsia="Times New Roman" w:hAnsi="Times New Roman"/>
          <w:sz w:val="22"/>
          <w:szCs w:val="22"/>
          <w:color w:val="auto"/>
        </w:rPr>
      </w:pPr>
    </w:p>
    <w:p>
      <w:pPr>
        <w:ind w:left="-540" w:right="20" w:firstLine="1293"/>
        <w:spacing w:after="0" w:line="257" w:lineRule="auto"/>
        <w:tabs>
          <w:tab w:leader="none" w:pos="124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representing deferred compensation or similar arrangements to employees, consultants or independent contractors of the Borrower and its Restricted Subsidiaries incurred in the ordinary course of business or otherwise incurred in connection with the consummation of the Transactions or any Permitted Acquisition or other investment whether consummated prior to the Escrow Release Date or permitted under Section 6.17;</w:t>
      </w:r>
    </w:p>
    <w:p>
      <w:pPr>
        <w:spacing w:after="0" w:line="172" w:lineRule="exact"/>
        <w:rPr>
          <w:rFonts w:ascii="Times New Roman" w:cs="Times New Roman" w:eastAsia="Times New Roman" w:hAnsi="Times New Roman"/>
          <w:sz w:val="22"/>
          <w:szCs w:val="22"/>
          <w:color w:val="auto"/>
        </w:rPr>
      </w:pPr>
    </w:p>
    <w:p>
      <w:pPr>
        <w:ind w:left="-540" w:firstLine="1293"/>
        <w:spacing w:after="0" w:line="282" w:lineRule="auto"/>
        <w:tabs>
          <w:tab w:leader="none" w:pos="1189"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consisting of promissory notes issued to current or former officers, managers, consultants, directors and employees (or their respective spouses, former spouses, successors, executors, administrators, heirs, legatees or distributees) to finance the purchase or redemption of capital stock of the Borrower permitted by Section 6.18;</w:t>
      </w:r>
    </w:p>
    <w:p>
      <w:pPr>
        <w:spacing w:after="0" w:line="148" w:lineRule="exact"/>
        <w:rPr>
          <w:rFonts w:ascii="Times New Roman" w:cs="Times New Roman" w:eastAsia="Times New Roman" w:hAnsi="Times New Roman"/>
          <w:sz w:val="21"/>
          <w:szCs w:val="21"/>
          <w:color w:val="auto"/>
        </w:rPr>
      </w:pPr>
    </w:p>
    <w:p>
      <w:pPr>
        <w:ind w:left="-540" w:right="80" w:firstLine="1293"/>
        <w:spacing w:after="0" w:line="263" w:lineRule="auto"/>
        <w:tabs>
          <w:tab w:leader="none" w:pos="118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Cash Management Services, netting services, automatic clearing house arrangements, employees’ credit or purchase cards, overdraft protections and similar arrangements in each case incurred in the ordinary course of business;</w:t>
      </w:r>
    </w:p>
    <w:p>
      <w:pPr>
        <w:spacing w:after="0" w:line="167" w:lineRule="exact"/>
        <w:rPr>
          <w:rFonts w:ascii="Times New Roman" w:cs="Times New Roman" w:eastAsia="Times New Roman" w:hAnsi="Times New Roman"/>
          <w:sz w:val="22"/>
          <w:szCs w:val="22"/>
          <w:color w:val="auto"/>
        </w:rPr>
      </w:pPr>
    </w:p>
    <w:p>
      <w:pPr>
        <w:ind w:left="-540" w:firstLine="1293"/>
        <w:spacing w:after="0" w:line="263" w:lineRule="auto"/>
        <w:tabs>
          <w:tab w:leader="none" w:pos="118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existence on the Amendment No. 7 Effective Date and if such Indebtedness is in excess of $50 million as set forth in all material respects on </w:t>
      </w:r>
      <w:r>
        <w:rPr>
          <w:rFonts w:ascii="Times New Roman" w:cs="Times New Roman" w:eastAsia="Times New Roman" w:hAnsi="Times New Roman"/>
          <w:sz w:val="22"/>
          <w:szCs w:val="22"/>
          <w:u w:val="single" w:color="auto"/>
          <w:color w:val="auto"/>
        </w:rPr>
        <w:t>Schedule 6.14</w:t>
      </w:r>
      <w:r>
        <w:rPr>
          <w:rFonts w:ascii="Times New Roman" w:cs="Times New Roman" w:eastAsia="Times New Roman" w:hAnsi="Times New Roman"/>
          <w:sz w:val="22"/>
          <w:szCs w:val="22"/>
          <w:color w:val="auto"/>
        </w:rPr>
        <w:t xml:space="preserve"> and intercompany Indebtedness in existence on the Amendment No. 7 Effective Date;</w:t>
      </w:r>
    </w:p>
    <w:p>
      <w:pPr>
        <w:spacing w:after="0" w:line="167" w:lineRule="exact"/>
        <w:rPr>
          <w:rFonts w:ascii="Times New Roman" w:cs="Times New Roman" w:eastAsia="Times New Roman" w:hAnsi="Times New Roman"/>
          <w:sz w:val="22"/>
          <w:szCs w:val="22"/>
          <w:color w:val="auto"/>
        </w:rPr>
      </w:pPr>
    </w:p>
    <w:p>
      <w:pPr>
        <w:ind w:left="-540" w:right="320" w:firstLine="1293"/>
        <w:spacing w:after="0" w:line="257" w:lineRule="auto"/>
        <w:tabs>
          <w:tab w:leader="none" w:pos="118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the Borrower or any Restricted Subsidiary constituting reimbursement obligations with respect to bankers’ acceptances and letters of credit issued in the ordinary course of business, including letters of credit in respect of workers’ compensation laws, unemployment insurance laws or similar legislation, or other Indebtedness with respect to reimbursement type obligations</w:t>
      </w:r>
    </w:p>
    <w:p>
      <w:pPr>
        <w:sectPr>
          <w:pgSz w:w="11900" w:h="16838" w:orient="portrait"/>
          <w:cols w:equalWidth="0" w:num="1">
            <w:col w:w="10160"/>
          </w:cols>
          <w:pgMar w:left="1440" w:top="626" w:right="299" w:bottom="1440" w:gutter="0" w:footer="0" w:header="0"/>
        </w:sectPr>
      </w:pPr>
    </w:p>
    <w:bookmarkStart w:id="259" w:name="page260"/>
    <w:bookmarkEnd w:id="259"/>
    <w:p>
      <w:pPr>
        <w:jc w:val="both"/>
        <w:ind w:right="200"/>
        <w:spacing w:after="0" w:line="259" w:lineRule="auto"/>
        <w:rPr>
          <w:sz w:val="20"/>
          <w:szCs w:val="20"/>
          <w:color w:val="auto"/>
        </w:rPr>
      </w:pPr>
      <w:r>
        <w:rPr>
          <w:rFonts w:ascii="Times New Roman" w:cs="Times New Roman" w:eastAsia="Times New Roman" w:hAnsi="Times New Roman"/>
          <w:sz w:val="22"/>
          <w:szCs w:val="22"/>
          <w:color w:val="auto"/>
        </w:rPr>
        <w:t xml:space="preserve">regarding workers’ compensation laws, unemployment insurance laws or similar legislation;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the drawing of such bankers’ acceptances and letters of credit or the incurrence of such Indebtedness, such obligations are reimbursed within 30 days following such drawing or incurrence;</w:t>
      </w:r>
    </w:p>
    <w:p>
      <w:pPr>
        <w:spacing w:after="0" w:line="171" w:lineRule="exact"/>
        <w:rPr>
          <w:sz w:val="20"/>
          <w:szCs w:val="20"/>
          <w:color w:val="auto"/>
        </w:rPr>
      </w:pPr>
    </w:p>
    <w:p>
      <w:pPr>
        <w:ind w:right="540" w:firstLine="1293"/>
        <w:spacing w:after="0" w:line="284" w:lineRule="auto"/>
        <w:tabs>
          <w:tab w:leader="none" w:pos="1692"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incurrence by the Borrower or any Restricted Subsidiary of any Refinancing Indebtedness with respect to any Indebtedness permitted under clauses (d), (p), (w), (x), (aa) and (ii) of this Section 6.14(II);</w:t>
      </w:r>
    </w:p>
    <w:p>
      <w:pPr>
        <w:spacing w:after="0" w:line="144" w:lineRule="exact"/>
        <w:rPr>
          <w:rFonts w:ascii="Times New Roman" w:cs="Times New Roman" w:eastAsia="Times New Roman" w:hAnsi="Times New Roman"/>
          <w:sz w:val="22"/>
          <w:szCs w:val="22"/>
          <w:color w:val="auto"/>
        </w:rPr>
      </w:pPr>
    </w:p>
    <w:p>
      <w:pPr>
        <w:ind w:left="1700" w:hanging="407"/>
        <w:spacing w:after="0"/>
        <w:tabs>
          <w:tab w:leader="none" w:pos="17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right="420" w:firstLine="1293"/>
        <w:spacing w:after="0" w:line="284" w:lineRule="auto"/>
        <w:tabs>
          <w:tab w:leader="none" w:pos="168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of its Restricted Subsidiaries supported by a letter of credit in a principal amount not to exceed the face amount of such letter of credit;</w:t>
      </w:r>
    </w:p>
    <w:p>
      <w:pPr>
        <w:spacing w:after="0" w:line="144"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right="80" w:firstLine="1293"/>
        <w:spacing w:after="0" w:line="263" w:lineRule="auto"/>
        <w:tabs>
          <w:tab w:leader="none" w:pos="177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of the Borrower ranking pari passu with or junior to, or that is subordinated to, the Obligations subject to Pro Forma Compliance with Section 6.22 after giving effect to the incurrence of such Indebtedness;</w:t>
      </w:r>
    </w:p>
    <w:p>
      <w:pPr>
        <w:spacing w:after="0" w:line="167" w:lineRule="exact"/>
        <w:rPr>
          <w:rFonts w:ascii="Times New Roman" w:cs="Times New Roman" w:eastAsia="Times New Roman" w:hAnsi="Times New Roman"/>
          <w:sz w:val="22"/>
          <w:szCs w:val="22"/>
          <w:color w:val="auto"/>
        </w:rPr>
      </w:pPr>
    </w:p>
    <w:p>
      <w:pPr>
        <w:ind w:firstLine="1293"/>
        <w:spacing w:after="0" w:line="249" w:lineRule="auto"/>
        <w:tabs>
          <w:tab w:leader="none" w:pos="1729"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Indebtedness for borrowed money (including any guaranty of Indebtedness for borrowed money) of the Borrower or any Restricted Subsidiary that is secured by Liens on Property of the Borrower or any Restricted Subsidiary and (ii) Indebtedness for borrowed money (including any guaranty of Indebtedness for borrowed money) of Restricted Subsidiaries that are not Guarantors (collectively, “</w:t>
      </w:r>
      <w:r>
        <w:rPr>
          <w:rFonts w:ascii="Times New Roman" w:cs="Times New Roman" w:eastAsia="Times New Roman" w:hAnsi="Times New Roman"/>
          <w:sz w:val="22"/>
          <w:szCs w:val="22"/>
          <w:i w:val="1"/>
          <w:iCs w:val="1"/>
          <w:color w:val="auto"/>
        </w:rPr>
        <w:t>Priority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Indebtedness at any time outstanding under this clause (x) shall not exceed the greater of $2,000 million and 12.5% of Consolidated Total Assets; </w:t>
      </w: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w:t>
      </w:r>
      <w:r>
        <w:rPr>
          <w:rFonts w:ascii="Times New Roman" w:cs="Times New Roman" w:eastAsia="Times New Roman" w:hAnsi="Times New Roman"/>
          <w:sz w:val="22"/>
          <w:szCs w:val="22"/>
          <w:i w:val="1"/>
          <w:iCs w:val="1"/>
          <w:color w:val="auto"/>
        </w:rPr>
        <w:t>Priority Debt</w:t>
      </w:r>
      <w:r>
        <w:rPr>
          <w:rFonts w:ascii="Times New Roman" w:cs="Times New Roman" w:eastAsia="Times New Roman" w:hAnsi="Times New Roman"/>
          <w:sz w:val="22"/>
          <w:szCs w:val="22"/>
          <w:color w:val="auto"/>
        </w:rPr>
        <w:t>” shall exclude (A) any Indebtedness of the Borrower or any of the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owing to the Borrower or a Restricted Subsidiary and (B) for the avoidance of doubt, any Indebtedness incurred under clauses (d), (ee) and (ii) of this Section 6.14(II);</w:t>
      </w:r>
    </w:p>
    <w:p>
      <w:pPr>
        <w:spacing w:after="0" w:line="182"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sz w:val="20"/>
          <w:szCs w:val="20"/>
          <w:color w:val="auto"/>
        </w:rPr>
      </w:pPr>
    </w:p>
    <w:p>
      <w:pPr>
        <w:ind w:left="1800" w:hanging="507"/>
        <w:spacing w:after="0"/>
        <w:tabs>
          <w:tab w:leader="none" w:pos="180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represented by the (i) 2024 Convertible Notes and (ii) the 2026 Senior Unsecured Notes;</w:t>
      </w:r>
    </w:p>
    <w:p>
      <w:pPr>
        <w:spacing w:after="0" w:line="244" w:lineRule="exact"/>
        <w:rPr>
          <w:rFonts w:ascii="Times New Roman" w:cs="Times New Roman" w:eastAsia="Times New Roman" w:hAnsi="Times New Roman"/>
          <w:sz w:val="21"/>
          <w:szCs w:val="21"/>
          <w:color w:val="auto"/>
        </w:rPr>
      </w:pPr>
    </w:p>
    <w:p>
      <w:pPr>
        <w:ind w:left="1840" w:hanging="547"/>
        <w:spacing w:after="0"/>
        <w:tabs>
          <w:tab w:leader="none" w:pos="184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ectPr>
          <w:pgSz w:w="11900" w:h="16838" w:orient="portrait"/>
          <w:cols w:equalWidth="0" w:num="1">
            <w:col w:w="10760"/>
          </w:cols>
          <w:pgMar w:left="900" w:top="621" w:right="239" w:bottom="1440" w:gutter="0" w:footer="0" w:header="0"/>
        </w:sectPr>
      </w:pPr>
    </w:p>
    <w:bookmarkStart w:id="260" w:name="page261"/>
    <w:bookmarkEnd w:id="260"/>
    <w:p>
      <w:pPr>
        <w:ind w:left="1800" w:hanging="507"/>
        <w:spacing w:after="0"/>
        <w:tabs>
          <w:tab w:leader="none" w:pos="180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endorsement of negotiable instruments for deposit or collection or similar transactions in the ordinary</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course of business;</w:t>
      </w:r>
    </w:p>
    <w:p>
      <w:pPr>
        <w:spacing w:after="0" w:line="207" w:lineRule="exact"/>
        <w:rPr>
          <w:rFonts w:ascii="Times New Roman" w:cs="Times New Roman" w:eastAsia="Times New Roman" w:hAnsi="Times New Roman"/>
          <w:sz w:val="21"/>
          <w:szCs w:val="21"/>
          <w:color w:val="auto"/>
        </w:rPr>
      </w:pPr>
    </w:p>
    <w:p>
      <w:pPr>
        <w:ind w:left="1840" w:hanging="547"/>
        <w:spacing w:after="0"/>
        <w:tabs>
          <w:tab w:leader="none" w:pos="184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of the Borrower or any of its Restricted Subsidiaries incurred in connection with rebate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programs;</w:t>
      </w:r>
    </w:p>
    <w:p>
      <w:pPr>
        <w:spacing w:after="0" w:line="207" w:lineRule="exact"/>
        <w:rPr>
          <w:rFonts w:ascii="Times New Roman" w:cs="Times New Roman" w:eastAsia="Times New Roman" w:hAnsi="Times New Roman"/>
          <w:sz w:val="22"/>
          <w:szCs w:val="22"/>
          <w:color w:val="auto"/>
        </w:rPr>
      </w:pPr>
    </w:p>
    <w:p>
      <w:pPr>
        <w:ind w:left="1800" w:hanging="507"/>
        <w:spacing w:after="0"/>
        <w:tabs>
          <w:tab w:leader="none" w:pos="18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Receivables Financing shall not to exceed $1,000 million at any time outstanding;</w:t>
      </w:r>
    </w:p>
    <w:p>
      <w:pPr>
        <w:spacing w:after="0" w:line="233" w:lineRule="exact"/>
        <w:rPr>
          <w:rFonts w:ascii="Times New Roman" w:cs="Times New Roman" w:eastAsia="Times New Roman" w:hAnsi="Times New Roman"/>
          <w:sz w:val="22"/>
          <w:szCs w:val="22"/>
          <w:color w:val="auto"/>
        </w:rPr>
      </w:pPr>
    </w:p>
    <w:p>
      <w:pPr>
        <w:ind w:left="1760" w:hanging="467"/>
        <w:spacing w:after="0"/>
        <w:tabs>
          <w:tab w:leader="none" w:pos="17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represented by the Convertible Notes;</w:t>
      </w:r>
    </w:p>
    <w:p>
      <w:pPr>
        <w:spacing w:after="0" w:line="233" w:lineRule="exact"/>
        <w:rPr>
          <w:rFonts w:ascii="Times New Roman" w:cs="Times New Roman" w:eastAsia="Times New Roman" w:hAnsi="Times New Roman"/>
          <w:sz w:val="22"/>
          <w:szCs w:val="22"/>
          <w:color w:val="auto"/>
        </w:rPr>
      </w:pPr>
    </w:p>
    <w:p>
      <w:pPr>
        <w:ind w:right="700" w:firstLine="1293"/>
        <w:spacing w:after="0" w:line="284" w:lineRule="auto"/>
        <w:tabs>
          <w:tab w:leader="none" w:pos="183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Restricted Subsidiary undertaken in connection with cash management and related activities with respect to any Subsidiary in the ordinary course of business;</w:t>
      </w:r>
    </w:p>
    <w:p>
      <w:pPr>
        <w:spacing w:after="0" w:line="144" w:lineRule="exact"/>
        <w:rPr>
          <w:rFonts w:ascii="Times New Roman" w:cs="Times New Roman" w:eastAsia="Times New Roman" w:hAnsi="Times New Roman"/>
          <w:sz w:val="22"/>
          <w:szCs w:val="22"/>
          <w:color w:val="auto"/>
        </w:rPr>
      </w:pPr>
    </w:p>
    <w:p>
      <w:pPr>
        <w:ind w:left="1840" w:hanging="547"/>
        <w:spacing w:after="0"/>
        <w:tabs>
          <w:tab w:leader="none" w:pos="184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right="20" w:firstLine="1293"/>
        <w:spacing w:after="0" w:line="284" w:lineRule="auto"/>
        <w:tabs>
          <w:tab w:leader="none" w:pos="174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any sale-leaseback transaction, together with any Refinancing Indebtedness in respect thereof incurred pursuant to clause (r) above shall not exceed $1,000 million; and</w:t>
      </w:r>
    </w:p>
    <w:p>
      <w:pPr>
        <w:spacing w:after="0" w:line="144" w:lineRule="exact"/>
        <w:rPr>
          <w:rFonts w:ascii="Times New Roman" w:cs="Times New Roman" w:eastAsia="Times New Roman" w:hAnsi="Times New Roman"/>
          <w:sz w:val="22"/>
          <w:szCs w:val="22"/>
          <w:color w:val="auto"/>
        </w:rPr>
      </w:pPr>
    </w:p>
    <w:p>
      <w:pPr>
        <w:ind w:right="140" w:firstLine="1293"/>
        <w:spacing w:after="0" w:line="284" w:lineRule="auto"/>
        <w:tabs>
          <w:tab w:leader="none" w:pos="174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customary premiums (if any), interest (including post-petition interest), fees, expenses, charges and additional or contingent interest on obligations described in each of Section 6.14(II)(a) through 6.14(II)(ii) above.</w:t>
      </w:r>
    </w:p>
    <w:p>
      <w:pPr>
        <w:spacing w:after="0" w:line="144" w:lineRule="exact"/>
        <w:rPr>
          <w:sz w:val="20"/>
          <w:szCs w:val="20"/>
          <w:color w:val="auto"/>
        </w:rPr>
      </w:pPr>
    </w:p>
    <w:p>
      <w:pPr>
        <w:ind w:right="80" w:firstLine="1945"/>
        <w:spacing w:after="0" w:line="246"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Section 6.14 or Section 6.15, the amount of any Indebtedness denominated in any currency other than Dollars shall be calculated based on customary currency exchange rates in effect on the date on which such Indebtedness was incurred (in respect of term Indebtedness) or committed (in respect of revolving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not be deemed to have been exceeded so long as the principal amount of such refinancing Indebtedness does not exceed (i) the outstanding or committed principal amount, as applicable, of such Indebtedness being refinanced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aggregate amount of fees, underwriting discounts, premiums (including tender premiums), defeasance costs and other costs and expenses incurred in connection with such refinancing.</w:t>
      </w:r>
    </w:p>
    <w:p>
      <w:pPr>
        <w:spacing w:after="0" w:line="186" w:lineRule="exact"/>
        <w:rPr>
          <w:sz w:val="20"/>
          <w:szCs w:val="20"/>
          <w:color w:val="auto"/>
        </w:rPr>
      </w:pPr>
    </w:p>
    <w:p>
      <w:pPr>
        <w:ind w:firstLine="1945"/>
        <w:spacing w:after="0" w:line="271" w:lineRule="auto"/>
        <w:rPr>
          <w:sz w:val="20"/>
          <w:szCs w:val="20"/>
          <w:color w:val="auto"/>
        </w:rPr>
      </w:pPr>
      <w:r>
        <w:rPr>
          <w:rFonts w:ascii="Times New Roman" w:cs="Times New Roman" w:eastAsia="Times New Roman" w:hAnsi="Times New Roman"/>
          <w:sz w:val="22"/>
          <w:szCs w:val="22"/>
          <w:color w:val="auto"/>
        </w:rPr>
        <w:t>Further, for purposes of determining compliance with this Section 6.14, (A) Indebtedness need not be permitted solely by reference to one category of</w:t>
      </w:r>
    </w:p>
    <w:p>
      <w:pPr>
        <w:sectPr>
          <w:pgSz w:w="11900" w:h="16838" w:orient="portrait"/>
          <w:cols w:equalWidth="0" w:num="1">
            <w:col w:w="10720"/>
          </w:cols>
          <w:pgMar w:left="900" w:top="625" w:right="279" w:bottom="1440" w:gutter="0" w:footer="0" w:header="0"/>
        </w:sectPr>
      </w:pPr>
    </w:p>
    <w:bookmarkStart w:id="261" w:name="page262"/>
    <w:bookmarkEnd w:id="261"/>
    <w:p>
      <w:pPr>
        <w:ind w:left="660" w:right="140"/>
        <w:spacing w:after="0" w:line="246" w:lineRule="auto"/>
        <w:rPr>
          <w:sz w:val="20"/>
          <w:szCs w:val="20"/>
          <w:color w:val="auto"/>
        </w:rPr>
      </w:pPr>
      <w:r>
        <w:rPr>
          <w:rFonts w:ascii="Times New Roman" w:cs="Times New Roman" w:eastAsia="Times New Roman" w:hAnsi="Times New Roman"/>
          <w:sz w:val="22"/>
          <w:szCs w:val="22"/>
          <w:color w:val="auto"/>
        </w:rPr>
        <w:t xml:space="preserve">permitted Indebtedness (or any portion thereof) described in this Section 6.14 but may be permitted in part under any relevant combination thereof (and subject to compliance, where relevant, with Section 6.15) and (B) in the event that an item of Indebtedness (or any portion thereof) meets the criteria of one or more of the categories of permitted Indebtedness (or any portion thereof) described in this Section 6.14, the Borrower may, in its sole discretion, classify or divide such item of Indebtedness (or any portion thereof) in any manner that complies with this Section 6.14 and will be entitled to only include the amount and type of such item of Indebtedness (or any portion thereof) in one of the above clauses (or any portion thereof) and such item of Indebtedness (or any portion thereof) shall be treated as having been incurred or existing pursuant only to such clause or clauses (or any portion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Indebtedness outstanding under this Agreement shall at all times be deemed to have been incurred pursuant to clause (I)(a) or (II)(a), as applicable, of this Section 6.14.</w:t>
      </w:r>
    </w:p>
    <w:p>
      <w:pPr>
        <w:spacing w:after="0" w:line="189" w:lineRule="exact"/>
        <w:rPr>
          <w:sz w:val="20"/>
          <w:szCs w:val="20"/>
          <w:color w:val="auto"/>
        </w:rPr>
      </w:pPr>
    </w:p>
    <w:p>
      <w:pPr>
        <w:ind w:left="660" w:right="140" w:firstLine="1945"/>
        <w:spacing w:after="0" w:line="263" w:lineRule="auto"/>
        <w:rPr>
          <w:sz w:val="20"/>
          <w:szCs w:val="20"/>
          <w:color w:val="auto"/>
        </w:rPr>
      </w:pPr>
      <w:r>
        <w:rPr>
          <w:rFonts w:ascii="Times New Roman" w:cs="Times New Roman" w:eastAsia="Times New Roman" w:hAnsi="Times New Roman"/>
          <w:sz w:val="21"/>
          <w:szCs w:val="21"/>
          <w:color w:val="auto"/>
        </w:rPr>
        <w:t>Notwithstanding the foregoing (but subject to the provisions of Section 9.12 following a Secured Covenant Reinstatement Event), solely during a Secured Covenants Period, the Borrower will not permit Indebtedness (other than intercompany Indebtedness that is subordinated to such other Indebtedness as previously disclosed to the Joint Lead Arrangers) to be incurred by Western Digital International Ltd. other than up to $500 million of secured or unsecured Indebtedness; provided that within ninety (90) days of the incurrence of such secured or unsecured Indebtedness, 75% of the proceeds thereof shall be applied toward the repayment of the Term Loans of each Class, pro rata, until paid in full.</w:t>
      </w:r>
    </w:p>
    <w:p>
      <w:pPr>
        <w:spacing w:after="0" w:line="164" w:lineRule="exact"/>
        <w:rPr>
          <w:sz w:val="20"/>
          <w:szCs w:val="20"/>
          <w:color w:val="auto"/>
        </w:rPr>
      </w:pPr>
    </w:p>
    <w:p>
      <w:pPr>
        <w:ind w:right="16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6.15 </w:t>
      </w:r>
      <w:r>
        <w:rPr>
          <w:rFonts w:ascii="Times New Roman" w:cs="Times New Roman" w:eastAsia="Times New Roman" w:hAnsi="Times New Roman"/>
          <w:sz w:val="22"/>
          <w:szCs w:val="22"/>
          <w:i w:val="1"/>
          <w:iCs w:val="1"/>
          <w:color w:val="auto"/>
        </w:rPr>
        <w:t>Liens</w:t>
      </w:r>
      <w:r>
        <w:rPr>
          <w:rFonts w:ascii="Times New Roman" w:cs="Times New Roman" w:eastAsia="Times New Roman" w:hAnsi="Times New Roman"/>
          <w:sz w:val="18"/>
          <w:szCs w:val="18"/>
          <w:color w:val="auto"/>
        </w:rPr>
        <w:t>. (I) Solely during a Secured Covenants Period, the Borrower will not, and will not permit any of its Restricted Subsidiaries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to, create, incur or suffer to exist any Lien on any of its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prevent the following (the Liens described below in this Section 6.15 (including clause (II), the “</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right="80" w:firstLine="1293"/>
        <w:spacing w:after="0" w:line="263" w:lineRule="auto"/>
        <w:tabs>
          <w:tab w:leader="none" w:pos="237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the payment of taxes which are not yet due and payable and Liens (or deposits as security) for taxes which are being contested in good faith by appropriate proceedings and as to which appropriate reserves have been provided for in accordance with GAAP;</w:t>
      </w:r>
    </w:p>
    <w:p>
      <w:pPr>
        <w:spacing w:after="0" w:line="167" w:lineRule="exact"/>
        <w:rPr>
          <w:rFonts w:ascii="Times New Roman" w:cs="Times New Roman" w:eastAsia="Times New Roman" w:hAnsi="Times New Roman"/>
          <w:sz w:val="22"/>
          <w:szCs w:val="22"/>
          <w:color w:val="auto"/>
        </w:rPr>
      </w:pPr>
    </w:p>
    <w:p>
      <w:pPr>
        <w:ind w:left="660" w:firstLine="1293"/>
        <w:spacing w:after="0" w:line="268" w:lineRule="auto"/>
        <w:tabs>
          <w:tab w:leader="none" w:pos="2389"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 arising by statute in connection with worker’s compensation, unemployment insurance, old age benefits, social security obligations, statutory obligations or other similar charges, (ii) in connection with bids, tenders, contracts or leases to which the Borrower or any Restricted Subsidiary is a party or (iii) to secure public or statutory obligations of such Person or deposits of cash or Cash Equivalents to secure surety or appeal bonds to which such Person is a party, or deposits as security or for the payment of rent, in each case, incurred in the ordinary course of business;</w:t>
      </w:r>
    </w:p>
    <w:p>
      <w:pPr>
        <w:sectPr>
          <w:pgSz w:w="11900" w:h="16838" w:orient="portrait"/>
          <w:cols w:equalWidth="0" w:num="1">
            <w:col w:w="11420"/>
          </w:cols>
          <w:pgMar w:left="240" w:top="625" w:right="239" w:bottom="1440" w:gutter="0" w:footer="0" w:header="0"/>
        </w:sectPr>
      </w:pPr>
    </w:p>
    <w:bookmarkStart w:id="262" w:name="page263"/>
    <w:bookmarkEnd w:id="262"/>
    <w:p>
      <w:pPr>
        <w:ind w:left="4" w:right="80" w:firstLine="1293"/>
        <w:spacing w:after="0" w:line="257" w:lineRule="auto"/>
        <w:tabs>
          <w:tab w:leader="none" w:pos="1720"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workmen’s, materialmen’s, landlords’, carriers’ or other similar Liens arising in the ordinary course of business with respect to obligations which are not overdue by a period of more than 60 days or if more than 60 days overdue (i) which would not reasonably be expected to have a Material Adverse Effect or (ii) which are being contested in good faith by appropriate proceedings;</w:t>
      </w:r>
    </w:p>
    <w:p>
      <w:pPr>
        <w:spacing w:after="0" w:line="172" w:lineRule="exact"/>
        <w:rPr>
          <w:rFonts w:ascii="Times New Roman" w:cs="Times New Roman" w:eastAsia="Times New Roman" w:hAnsi="Times New Roman"/>
          <w:sz w:val="22"/>
          <w:szCs w:val="22"/>
          <w:color w:val="auto"/>
        </w:rPr>
      </w:pPr>
    </w:p>
    <w:p>
      <w:pPr>
        <w:ind w:left="1724" w:hanging="427"/>
        <w:spacing w:after="0"/>
        <w:tabs>
          <w:tab w:leader="none" w:pos="1724"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by or pursuant to this Agreement and the Collateral Documents;</w:t>
      </w:r>
    </w:p>
    <w:p>
      <w:pPr>
        <w:spacing w:after="0" w:line="233" w:lineRule="exact"/>
        <w:rPr>
          <w:rFonts w:ascii="Times New Roman" w:cs="Times New Roman" w:eastAsia="Times New Roman" w:hAnsi="Times New Roman"/>
          <w:sz w:val="22"/>
          <w:szCs w:val="22"/>
          <w:color w:val="auto"/>
        </w:rPr>
      </w:pPr>
    </w:p>
    <w:p>
      <w:pPr>
        <w:ind w:left="4" w:right="140" w:firstLine="1293"/>
        <w:spacing w:after="0" w:line="253" w:lineRule="auto"/>
        <w:tabs>
          <w:tab w:leader="none" w:pos="1720"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of the Borrower or any Restricted Subsidiary created solely for the purpose of securing indebtedness permitted by Section 6.14(I)(d)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Lien shall extend to or cover other Property of the Borrower or such Restricted Subsidiary other than the respective Property so acquired or similar Property acquired from the same lender or its Affiliates, and the principal amount of indebtedness secured by any such Lien shall at no time exceed the purchase price of all such Property;</w:t>
      </w:r>
    </w:p>
    <w:p>
      <w:pPr>
        <w:spacing w:after="0" w:line="179" w:lineRule="exact"/>
        <w:rPr>
          <w:rFonts w:ascii="Times New Roman" w:cs="Times New Roman" w:eastAsia="Times New Roman" w:hAnsi="Times New Roman"/>
          <w:sz w:val="22"/>
          <w:szCs w:val="22"/>
          <w:color w:val="auto"/>
        </w:rPr>
      </w:pPr>
    </w:p>
    <w:p>
      <w:pPr>
        <w:ind w:left="1684" w:hanging="387"/>
        <w:spacing w:after="0"/>
        <w:tabs>
          <w:tab w:leader="none" w:pos="1684"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assumed in connection with permitted Acquisitions;</w:t>
      </w:r>
    </w:p>
    <w:p>
      <w:pPr>
        <w:spacing w:after="0" w:line="233" w:lineRule="exact"/>
        <w:rPr>
          <w:rFonts w:ascii="Times New Roman" w:cs="Times New Roman" w:eastAsia="Times New Roman" w:hAnsi="Times New Roman"/>
          <w:sz w:val="22"/>
          <w:szCs w:val="22"/>
          <w:color w:val="auto"/>
        </w:rPr>
      </w:pPr>
    </w:p>
    <w:p>
      <w:pPr>
        <w:jc w:val="both"/>
        <w:ind w:left="4" w:right="160" w:firstLine="1293"/>
        <w:spacing w:after="0" w:line="263" w:lineRule="auto"/>
        <w:tabs>
          <w:tab w:leader="none" w:pos="1732"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and other similar encumbrances as to the use of real property of the Borrower or any Restricted Subsidiary incurred in the ordinary course of business which do not impair their use in the operation of the business of such Person;</w:t>
      </w:r>
    </w:p>
    <w:p>
      <w:pPr>
        <w:spacing w:after="0" w:line="167" w:lineRule="exact"/>
        <w:rPr>
          <w:rFonts w:ascii="Times New Roman" w:cs="Times New Roman" w:eastAsia="Times New Roman" w:hAnsi="Times New Roman"/>
          <w:sz w:val="22"/>
          <w:szCs w:val="22"/>
          <w:color w:val="auto"/>
        </w:rPr>
      </w:pPr>
    </w:p>
    <w:p>
      <w:pPr>
        <w:ind w:left="1724" w:hanging="427"/>
        <w:spacing w:after="0"/>
        <w:tabs>
          <w:tab w:leader="none" w:pos="1724"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connection with sale-leaseback transactions securing Indebtedness permitted by Section 6.14(I)</w:t>
      </w:r>
    </w:p>
    <w:p>
      <w:pPr>
        <w:spacing w:after="0" w:line="41" w:lineRule="exact"/>
        <w:rPr>
          <w:rFonts w:ascii="Times New Roman" w:cs="Times New Roman" w:eastAsia="Times New Roman" w:hAnsi="Times New Roman"/>
          <w:sz w:val="21"/>
          <w:szCs w:val="21"/>
          <w:color w:val="auto"/>
        </w:rPr>
      </w:pPr>
    </w:p>
    <w:p>
      <w:pPr>
        <w:ind w:left="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(ii);</w:t>
      </w:r>
    </w:p>
    <w:p>
      <w:pPr>
        <w:spacing w:after="0" w:line="207" w:lineRule="exact"/>
        <w:rPr>
          <w:rFonts w:ascii="Times New Roman" w:cs="Times New Roman" w:eastAsia="Times New Roman" w:hAnsi="Times New Roman"/>
          <w:sz w:val="21"/>
          <w:szCs w:val="21"/>
          <w:color w:val="auto"/>
        </w:rPr>
      </w:pPr>
    </w:p>
    <w:p>
      <w:pPr>
        <w:ind w:left="4" w:right="120" w:firstLine="1293"/>
        <w:spacing w:after="0" w:line="284" w:lineRule="auto"/>
        <w:tabs>
          <w:tab w:leader="none" w:pos="1684"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ground leases or subleases, licenses or sublicenses in respect of real property on which facilities owned or leased by the Borrower or any of its Restricted Subsidiaries are located;</w:t>
      </w:r>
    </w:p>
    <w:p>
      <w:pPr>
        <w:spacing w:after="0" w:line="144" w:lineRule="exact"/>
        <w:rPr>
          <w:rFonts w:ascii="Times New Roman" w:cs="Times New Roman" w:eastAsia="Times New Roman" w:hAnsi="Times New Roman"/>
          <w:sz w:val="22"/>
          <w:szCs w:val="22"/>
          <w:color w:val="auto"/>
        </w:rPr>
      </w:pPr>
    </w:p>
    <w:p>
      <w:pPr>
        <w:ind w:left="4" w:right="100" w:firstLine="1293"/>
        <w:spacing w:after="0" w:line="284" w:lineRule="auto"/>
        <w:tabs>
          <w:tab w:leader="none" w:pos="1684"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judgments or decrees for the payment of money in circumstances not constituting an Event of Default under Section 7.1;</w:t>
      </w:r>
    </w:p>
    <w:p>
      <w:pPr>
        <w:spacing w:after="0" w:line="144" w:lineRule="exact"/>
        <w:rPr>
          <w:rFonts w:ascii="Times New Roman" w:cs="Times New Roman" w:eastAsia="Times New Roman" w:hAnsi="Times New Roman"/>
          <w:sz w:val="22"/>
          <w:szCs w:val="22"/>
          <w:color w:val="auto"/>
        </w:rPr>
      </w:pPr>
    </w:p>
    <w:p>
      <w:pPr>
        <w:ind w:left="4" w:right="20" w:firstLine="1293"/>
        <w:spacing w:after="0" w:line="257" w:lineRule="auto"/>
        <w:tabs>
          <w:tab w:leader="none" w:pos="1732"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sublessor, licensor or sublicensor or Lien securing a lessor’s, sublessor’s, licensor’s or sublicensor’s interest under any lease not prohibited by this Agreement and leases, licenses, subleases or sublicenses granted to others that do not (x) interfere in any material respect with the business of the Borrower and its Restricted Subsidiaries, taken as a whole, or (y) secure any Indebtedness;</w:t>
      </w:r>
    </w:p>
    <w:p>
      <w:pPr>
        <w:spacing w:after="0" w:line="172" w:lineRule="exact"/>
        <w:rPr>
          <w:rFonts w:ascii="Times New Roman" w:cs="Times New Roman" w:eastAsia="Times New Roman" w:hAnsi="Times New Roman"/>
          <w:sz w:val="22"/>
          <w:szCs w:val="22"/>
          <w:color w:val="auto"/>
        </w:rPr>
      </w:pPr>
    </w:p>
    <w:p>
      <w:pPr>
        <w:ind w:left="1684" w:hanging="387"/>
        <w:spacing w:after="0"/>
        <w:tabs>
          <w:tab w:leader="none" w:pos="1684"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licenses, sublicenses, covenants not to sue or other grants of rights to intellectual property rights granted</w:t>
      </w:r>
    </w:p>
    <w:p>
      <w:pPr>
        <w:spacing w:after="0" w:line="41" w:lineRule="exact"/>
        <w:rPr>
          <w:rFonts w:ascii="Times New Roman" w:cs="Times New Roman" w:eastAsia="Times New Roman" w:hAnsi="Times New Roman"/>
          <w:sz w:val="21"/>
          <w:szCs w:val="21"/>
          <w:color w:val="auto"/>
        </w:rPr>
      </w:pPr>
    </w:p>
    <w:p>
      <w:pPr>
        <w:ind w:left="4" w:right="920" w:hanging="4"/>
        <w:spacing w:after="0" w:line="259" w:lineRule="auto"/>
        <w:tabs>
          <w:tab w:leader="none" w:pos="26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ordinary course of business or (ii) in the reasonable business judgment of the Borrower or the Restricted Subsidiaries in the</w:t>
      </w:r>
    </w:p>
    <w:p>
      <w:pPr>
        <w:sectPr>
          <w:pgSz w:w="11900" w:h="16838" w:orient="portrait"/>
          <w:cols w:equalWidth="0" w:num="1">
            <w:col w:w="10724"/>
          </w:cols>
          <w:pgMar w:left="896" w:top="625" w:right="2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2"/>
          <w:szCs w:val="22"/>
          <w:color w:val="auto"/>
        </w:rPr>
        <w:t>conduct of its business (including in the settlement of litigation or entering into cross-licenses);</w:t>
      </w:r>
    </w:p>
    <w:p>
      <w:pPr>
        <w:spacing w:after="0" w:line="220" w:lineRule="exact"/>
        <w:rPr>
          <w:sz w:val="20"/>
          <w:szCs w:val="20"/>
          <w:color w:val="auto"/>
        </w:rPr>
      </w:pPr>
    </w:p>
    <w:p>
      <w:pPr>
        <w:ind w:right="80" w:firstLine="1293"/>
        <w:spacing w:after="0" w:line="263" w:lineRule="auto"/>
        <w:tabs>
          <w:tab w:leader="none" w:pos="178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zoning, building or similar law or right reserved to, or vested in, any Governmental Authority to control or regulate the use of any real property that does not materially interfere with the ordinary course of conduct of the business of the Borrower and its Restricted Subsidiaries, taken as a whole;</w:t>
      </w:r>
    </w:p>
    <w:p>
      <w:pPr>
        <w:spacing w:after="0" w:line="167" w:lineRule="exact"/>
        <w:rPr>
          <w:rFonts w:ascii="Times New Roman" w:cs="Times New Roman" w:eastAsia="Times New Roman" w:hAnsi="Times New Roman"/>
          <w:sz w:val="22"/>
          <w:szCs w:val="22"/>
          <w:color w:val="auto"/>
        </w:rPr>
      </w:pPr>
    </w:p>
    <w:p>
      <w:pPr>
        <w:ind w:right="100" w:firstLine="1293"/>
        <w:spacing w:after="0" w:line="257" w:lineRule="auto"/>
        <w:tabs>
          <w:tab w:leader="none" w:pos="17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of a collection bank arising under Section 4-210 of the UCC on items in the course of collection, (ii) attaching to commodity trading accounts or other commodity brokerage accounts incurred in the ordinary course of business and (iii) in favor of a banking institution arising as a matter of law encumbering deposits (including the right to set off), which are within the general parameters customary in the banking industry;</w:t>
      </w:r>
    </w:p>
    <w:p>
      <w:pPr>
        <w:spacing w:after="0" w:line="172" w:lineRule="exact"/>
        <w:rPr>
          <w:rFonts w:ascii="Times New Roman" w:cs="Times New Roman" w:eastAsia="Times New Roman" w:hAnsi="Times New Roman"/>
          <w:sz w:val="22"/>
          <w:szCs w:val="22"/>
          <w:color w:val="auto"/>
        </w:rPr>
      </w:pPr>
    </w:p>
    <w:p>
      <w:pPr>
        <w:ind w:right="480" w:firstLine="1293"/>
        <w:spacing w:after="0" w:line="282" w:lineRule="auto"/>
        <w:tabs>
          <w:tab w:leader="none" w:pos="1729"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 on cash advances in favor of the seller of any property to be acquired in an investment permitted pursuant to Section 6.17 to be applied against the purchase price for such investment or (ii) consisting of an agreement to sell, transfer, lease or otherwise dispose of any property in a transaction permitted under Section 6.16;</w:t>
      </w:r>
    </w:p>
    <w:p>
      <w:pPr>
        <w:spacing w:after="0" w:line="148" w:lineRule="exact"/>
        <w:rPr>
          <w:rFonts w:ascii="Times New Roman" w:cs="Times New Roman" w:eastAsia="Times New Roman" w:hAnsi="Times New Roman"/>
          <w:sz w:val="21"/>
          <w:szCs w:val="21"/>
          <w:color w:val="auto"/>
        </w:rPr>
      </w:pPr>
    </w:p>
    <w:p>
      <w:pPr>
        <w:ind w:left="1720" w:hanging="427"/>
        <w:spacing w:after="0"/>
        <w:tabs>
          <w:tab w:leader="none" w:pos="172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securities that are the subject of repurchase agreements constituting Cash Equivalents;</w:t>
      </w:r>
    </w:p>
    <w:p>
      <w:pPr>
        <w:spacing w:after="0" w:line="233" w:lineRule="exact"/>
        <w:rPr>
          <w:rFonts w:ascii="Times New Roman" w:cs="Times New Roman" w:eastAsia="Times New Roman" w:hAnsi="Times New Roman"/>
          <w:sz w:val="22"/>
          <w:szCs w:val="22"/>
          <w:color w:val="auto"/>
        </w:rPr>
      </w:pPr>
    </w:p>
    <w:p>
      <w:pPr>
        <w:ind w:firstLine="1293"/>
        <w:spacing w:after="0" w:line="250" w:lineRule="auto"/>
        <w:tabs>
          <w:tab w:leader="none" w:pos="17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contractual rights of set-off (i) relating to the establishment of depository relations with banks not given in connection with the issuance of indebtedness, (ii) relating to pooled deposit, automatic clearing house or sweep accounts of the Borrower or any Restricted Subsidiary to permit satisfaction of overdraft or similar obligations incurred in the ordinary course of business of the Borrower and its Restricted Subsidiaries, (iii) relating to purchase orders and other agreements entered into with customers of the Borrower or any Restricted Subsidiary in the ordinary course of business or (iv) relating to the credit cards and credit accounts of the Borrower or any of its Restricted Subsidiaries in the ordinary course of business;</w:t>
      </w:r>
    </w:p>
    <w:p>
      <w:pPr>
        <w:spacing w:after="0" w:line="181" w:lineRule="exact"/>
        <w:rPr>
          <w:rFonts w:ascii="Times New Roman" w:cs="Times New Roman" w:eastAsia="Times New Roman" w:hAnsi="Times New Roman"/>
          <w:sz w:val="22"/>
          <w:szCs w:val="22"/>
          <w:color w:val="auto"/>
        </w:rPr>
      </w:pPr>
    </w:p>
    <w:p>
      <w:pPr>
        <w:ind w:right="60" w:firstLine="1293"/>
        <w:spacing w:after="0" w:line="284" w:lineRule="auto"/>
        <w:tabs>
          <w:tab w:leader="none" w:pos="169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or escrow arrangements made by the Borrower or any of its Restricted Subsidiaries in connection with any letter of intent or purchase agreement permitted hereunder;</w:t>
      </w:r>
    </w:p>
    <w:p>
      <w:pPr>
        <w:spacing w:after="0" w:line="144" w:lineRule="exact"/>
        <w:rPr>
          <w:rFonts w:ascii="Times New Roman" w:cs="Times New Roman" w:eastAsia="Times New Roman" w:hAnsi="Times New Roman"/>
          <w:sz w:val="22"/>
          <w:szCs w:val="22"/>
          <w:color w:val="auto"/>
        </w:rPr>
      </w:pPr>
    </w:p>
    <w:p>
      <w:pPr>
        <w:ind w:left="1700" w:hanging="407"/>
        <w:spacing w:after="0"/>
        <w:tabs>
          <w:tab w:leader="none" w:pos="170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insurance policies and the proceeds thereof securing the financing of the premiums with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 thereto;</w:t>
      </w:r>
    </w:p>
    <w:p>
      <w:pPr>
        <w:spacing w:after="0" w:line="203" w:lineRule="exact"/>
        <w:rPr>
          <w:rFonts w:ascii="Times New Roman" w:cs="Times New Roman" w:eastAsia="Times New Roman" w:hAnsi="Times New Roman"/>
          <w:sz w:val="22"/>
          <w:szCs w:val="22"/>
          <w:color w:val="auto"/>
        </w:rPr>
      </w:pPr>
    </w:p>
    <w:p>
      <w:pPr>
        <w:jc w:val="both"/>
        <w:ind w:right="540" w:firstLine="1293"/>
        <w:spacing w:after="0" w:line="265" w:lineRule="auto"/>
        <w:tabs>
          <w:tab w:leader="none" w:pos="168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incurred to secure any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principal amount of all such obligations secured by such Liens, together with all Refinancing Indebtedness in respect thereof, shall not exceed the greater of $500</w:t>
      </w:r>
    </w:p>
    <w:p>
      <w:pPr>
        <w:sectPr>
          <w:pgSz w:w="11900" w:h="16838" w:orient="portrait"/>
          <w:cols w:equalWidth="0" w:num="1">
            <w:col w:w="10660"/>
          </w:cols>
          <w:pgMar w:left="900" w:top="626" w:right="339" w:bottom="1440" w:gutter="0" w:footer="0" w:header="0"/>
        </w:sectPr>
      </w:pPr>
    </w:p>
    <w:bookmarkStart w:id="264" w:name="page265"/>
    <w:bookmarkEnd w:id="264"/>
    <w:p>
      <w:pPr>
        <w:jc w:val="both"/>
        <w:ind w:right="680"/>
        <w:spacing w:after="0" w:line="257" w:lineRule="auto"/>
        <w:rPr>
          <w:sz w:val="20"/>
          <w:szCs w:val="20"/>
          <w:color w:val="auto"/>
        </w:rPr>
      </w:pPr>
      <w:r>
        <w:rPr>
          <w:rFonts w:ascii="Times New Roman" w:cs="Times New Roman" w:eastAsia="Times New Roman" w:hAnsi="Times New Roman"/>
          <w:sz w:val="22"/>
          <w:szCs w:val="22"/>
          <w:color w:val="auto"/>
        </w:rPr>
        <w:t>million and 2.50% of Consolidated Total Assets (measured as of the date such Liens are incurred and based upon the financial statements most recently delivered on or prior to such date pursuant to Section 6.1, but giving effect to any Specified Transaction occurring thereafter and on or prior to the date of determination);</w:t>
      </w:r>
    </w:p>
    <w:p>
      <w:pPr>
        <w:spacing w:after="0" w:line="173" w:lineRule="exact"/>
        <w:rPr>
          <w:sz w:val="20"/>
          <w:szCs w:val="20"/>
          <w:color w:val="auto"/>
        </w:rPr>
      </w:pPr>
    </w:p>
    <w:p>
      <w:pPr>
        <w:ind w:right="220" w:firstLine="1293"/>
        <w:spacing w:after="0" w:line="263" w:lineRule="auto"/>
        <w:tabs>
          <w:tab w:leader="none" w:pos="17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issuer of customs, stay, performance, bid, appeal or surety bonds or completion guarantees and other obligations of a like nature or letters of credit issued pursuant to the request of and for the account of such Person in the ordinary course of its business;</w:t>
      </w:r>
    </w:p>
    <w:p>
      <w:pPr>
        <w:spacing w:after="0" w:line="167" w:lineRule="exact"/>
        <w:rPr>
          <w:rFonts w:ascii="Times New Roman" w:cs="Times New Roman" w:eastAsia="Times New Roman" w:hAnsi="Times New Roman"/>
          <w:sz w:val="22"/>
          <w:szCs w:val="22"/>
          <w:color w:val="auto"/>
        </w:rPr>
      </w:pPr>
    </w:p>
    <w:p>
      <w:pPr>
        <w:ind w:firstLine="1293"/>
        <w:spacing w:after="0" w:line="250" w:lineRule="auto"/>
        <w:tabs>
          <w:tab w:leader="none" w:pos="17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Amendment No. 7 Effective Date or pursuant to agreements in existence on the Amendment No. 7 Effective Date and to the extent securing Indebtedness in excess of $50 million, as described on </w:t>
      </w:r>
      <w:r>
        <w:rPr>
          <w:rFonts w:ascii="Times New Roman" w:cs="Times New Roman" w:eastAsia="Times New Roman" w:hAnsi="Times New Roman"/>
          <w:sz w:val="22"/>
          <w:szCs w:val="22"/>
          <w:u w:val="single" w:color="auto"/>
          <w:color w:val="auto"/>
        </w:rPr>
        <w:t>Schedule 6.15</w:t>
      </w:r>
      <w:r>
        <w:rPr>
          <w:rFonts w:ascii="Times New Roman" w:cs="Times New Roman" w:eastAsia="Times New Roman" w:hAnsi="Times New Roman"/>
          <w:sz w:val="22"/>
          <w:szCs w:val="22"/>
          <w:color w:val="auto"/>
        </w:rPr>
        <w:t xml:space="preserve"> and any modifications, replacements, renewals or extensions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shall secure only those obligations that they secure on the Amendment No. 7 Effective Date (and any Refinancing Indebtedness in respect of such obligations permitted by Section 6.14) and shall not subsequently apply to any other property or assets of the Borrower or any Restricted Subsidiary other than (x) after-acquired property that is affixed or incorporated into the property covered by such Lien and (y) proceeds and products thereof;</w:t>
      </w:r>
    </w:p>
    <w:p>
      <w:pPr>
        <w:spacing w:after="0" w:line="181" w:lineRule="exact"/>
        <w:rPr>
          <w:rFonts w:ascii="Times New Roman" w:cs="Times New Roman" w:eastAsia="Times New Roman" w:hAnsi="Times New Roman"/>
          <w:sz w:val="22"/>
          <w:szCs w:val="22"/>
          <w:color w:val="auto"/>
        </w:rPr>
      </w:pPr>
    </w:p>
    <w:p>
      <w:pPr>
        <w:ind w:right="180" w:firstLine="1293"/>
        <w:spacing w:after="0" w:line="253" w:lineRule="auto"/>
        <w:tabs>
          <w:tab w:leader="none" w:pos="177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or shares of stock of a Person at the time such Person becomes a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Liens are not created or incurred in connection with, or in contemplation of, such other Person becoming such a Restricted Subsidiary or concurrently therewith;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such Liens may not extend to any other property owned by the Borrower or any of its Restricted Subsidiaries;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such Liens secure Indebtedness permitted to be incurred under clause (y) of Section 6.14(I)(s);</w:t>
      </w:r>
    </w:p>
    <w:p>
      <w:pPr>
        <w:spacing w:after="0" w:line="179" w:lineRule="exact"/>
        <w:rPr>
          <w:rFonts w:ascii="Times New Roman" w:cs="Times New Roman" w:eastAsia="Times New Roman" w:hAnsi="Times New Roman"/>
          <w:sz w:val="22"/>
          <w:szCs w:val="22"/>
          <w:color w:val="auto"/>
        </w:rPr>
      </w:pPr>
    </w:p>
    <w:p>
      <w:pPr>
        <w:ind w:right="560" w:firstLine="1293"/>
        <w:spacing w:after="0" w:line="251" w:lineRule="auto"/>
        <w:tabs>
          <w:tab w:leader="none" w:pos="17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at the time the Borrower or a Subsidiary acquired the property or concurrently therewith, including any acquisition by means of a merger or consolidation with or into the Borrower or any of its Restricted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Liens are not created or incurred in connection with, or in contemplation of, such acquisition;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Liens may not extend to any other property owned by the Borrower or any of its Restricted Subsidiaries;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such Liens secure Indebtedness permitted to be incurred under clause (y) of Section 6.14(I)(s);</w:t>
      </w:r>
    </w:p>
    <w:p>
      <w:pPr>
        <w:spacing w:after="0" w:line="181" w:lineRule="exact"/>
        <w:rPr>
          <w:rFonts w:ascii="Times New Roman" w:cs="Times New Roman" w:eastAsia="Times New Roman" w:hAnsi="Times New Roman"/>
          <w:sz w:val="22"/>
          <w:szCs w:val="22"/>
          <w:color w:val="auto"/>
        </w:rPr>
      </w:pPr>
    </w:p>
    <w:p>
      <w:pPr>
        <w:jc w:val="both"/>
        <w:ind w:right="420" w:firstLine="1293"/>
        <w:spacing w:after="0" w:line="263" w:lineRule="auto"/>
        <w:tabs>
          <w:tab w:leader="none" w:pos="17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specific items of inventory or other goods and the proceeds thereof of any Person securing such Person’s obligations under any agreement to facilitate the purchase, shipment or storage of such inventory or other goods, and</w:t>
      </w:r>
    </w:p>
    <w:p>
      <w:pPr>
        <w:sectPr>
          <w:pgSz w:w="11900" w:h="16838" w:orient="portrait"/>
          <w:cols w:equalWidth="0" w:num="1">
            <w:col w:w="10760"/>
          </w:cols>
          <w:pgMar w:left="900" w:top="625" w:right="239" w:bottom="1440" w:gutter="0" w:footer="0" w:header="0"/>
        </w:sectPr>
      </w:pPr>
    </w:p>
    <w:bookmarkStart w:id="265" w:name="page266"/>
    <w:bookmarkEnd w:id="265"/>
    <w:p>
      <w:pPr>
        <w:ind w:left="4"/>
        <w:spacing w:after="0"/>
        <w:rPr>
          <w:sz w:val="20"/>
          <w:szCs w:val="20"/>
          <w:color w:val="auto"/>
        </w:rPr>
      </w:pPr>
      <w:r>
        <w:rPr>
          <w:rFonts w:ascii="Times New Roman" w:cs="Times New Roman" w:eastAsia="Times New Roman" w:hAnsi="Times New Roman"/>
          <w:sz w:val="22"/>
          <w:szCs w:val="22"/>
          <w:color w:val="auto"/>
        </w:rPr>
        <w:t>pledges or deposits in the ordinary course of business securing inventory purchases from vendors;</w:t>
      </w:r>
    </w:p>
    <w:p>
      <w:pPr>
        <w:spacing w:after="0" w:line="220" w:lineRule="exact"/>
        <w:rPr>
          <w:sz w:val="20"/>
          <w:szCs w:val="20"/>
          <w:color w:val="auto"/>
        </w:rPr>
      </w:pPr>
    </w:p>
    <w:p>
      <w:pPr>
        <w:ind w:left="4" w:firstLine="1293"/>
        <w:spacing w:after="0" w:line="261" w:lineRule="auto"/>
        <w:tabs>
          <w:tab w:leader="none" w:pos="1720"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to secure any refinancing, refunding, extension, renewal or replacement (or successive refinancing, refunding, extensions, renewals or replacements) as a whole, or in part, of any Indebtedness permitted by Section 6.14 and secured by any Lien referred to in Section 6.15(I)(e), (v), (w) and (x);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 such new Lien shall be limited to all or part of the same property that secured the original Lien (plus improvements on such property), and (ii) the Indebtedness secured by such Lien at such time is not increased to any amount greater than the sum of (A) the outstanding principal amount or, if greater, committed amount of the Indebtedness described under Section 6.15(I)(e), (v),</w:t>
      </w:r>
    </w:p>
    <w:p>
      <w:pPr>
        <w:spacing w:after="0" w:line="1" w:lineRule="exact"/>
        <w:rPr>
          <w:rFonts w:ascii="Times New Roman" w:cs="Times New Roman" w:eastAsia="Times New Roman" w:hAnsi="Times New Roman"/>
          <w:sz w:val="21"/>
          <w:szCs w:val="21"/>
          <w:color w:val="auto"/>
        </w:rPr>
      </w:pPr>
    </w:p>
    <w:p>
      <w:pPr>
        <w:ind w:left="4" w:right="200" w:hanging="4"/>
        <w:spacing w:after="0" w:line="248" w:lineRule="auto"/>
        <w:tabs>
          <w:tab w:leader="none" w:pos="35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(x) at the time the original Lien became a Permitted Lien hereunder, and (B) an amount necessary to pay any fees and expenses, including premiums, related to such refinancing, refunding, extension, renewal or replacement;</w:t>
      </w:r>
    </w:p>
    <w:p>
      <w:pPr>
        <w:spacing w:after="0" w:line="182" w:lineRule="exact"/>
        <w:rPr>
          <w:rFonts w:ascii="Times New Roman" w:cs="Times New Roman" w:eastAsia="Times New Roman" w:hAnsi="Times New Roman"/>
          <w:sz w:val="22"/>
          <w:szCs w:val="22"/>
          <w:color w:val="auto"/>
        </w:rPr>
      </w:pPr>
    </w:p>
    <w:p>
      <w:pPr>
        <w:ind w:left="4" w:firstLine="1293"/>
        <w:spacing w:after="0" w:line="257" w:lineRule="auto"/>
        <w:tabs>
          <w:tab w:leader="none" w:pos="1816"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to secure any Indebtedness permitted by Section 6.14(I)(b) to the extent that the Borrower or any other Loan Party is required to post segregated collateral to any clearing agency in respect of any such Indebtedness as required, or as may be required, by the Commodity Exchange Act, any regulations thereto, or any other applicable legislation or regulations in connection therewith;</w:t>
      </w:r>
    </w:p>
    <w:p>
      <w:pPr>
        <w:spacing w:after="0" w:line="172" w:lineRule="exact"/>
        <w:rPr>
          <w:rFonts w:ascii="Times New Roman" w:cs="Times New Roman" w:eastAsia="Times New Roman" w:hAnsi="Times New Roman"/>
          <w:sz w:val="22"/>
          <w:szCs w:val="22"/>
          <w:color w:val="auto"/>
        </w:rPr>
      </w:pPr>
    </w:p>
    <w:p>
      <w:pPr>
        <w:ind w:left="4" w:right="220" w:firstLine="1293"/>
        <w:spacing w:after="0" w:line="284" w:lineRule="auto"/>
        <w:tabs>
          <w:tab w:leader="none" w:pos="184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to secure (x) Refinancing Indebtedness, (y) Incremental Equivalent Debt and (z) Indebtedness allowed under Section 6.14(I)(x);</w:t>
      </w:r>
    </w:p>
    <w:p>
      <w:pPr>
        <w:spacing w:after="0" w:line="144" w:lineRule="exact"/>
        <w:rPr>
          <w:rFonts w:ascii="Times New Roman" w:cs="Times New Roman" w:eastAsia="Times New Roman" w:hAnsi="Times New Roman"/>
          <w:sz w:val="22"/>
          <w:szCs w:val="22"/>
          <w:color w:val="auto"/>
        </w:rPr>
      </w:pPr>
    </w:p>
    <w:p>
      <w:pPr>
        <w:ind w:left="1804" w:hanging="507"/>
        <w:spacing w:after="0"/>
        <w:tabs>
          <w:tab w:leader="none" w:pos="1804"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844" w:hanging="547"/>
        <w:spacing w:after="0"/>
        <w:tabs>
          <w:tab w:leader="none" w:pos="1844"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804" w:hanging="507"/>
        <w:spacing w:after="0"/>
        <w:tabs>
          <w:tab w:leader="none" w:pos="1804"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of the right to receive income effected as a part of the sale of a business unit or for</w:t>
      </w:r>
    </w:p>
    <w:p>
      <w:pPr>
        <w:spacing w:after="0" w:line="29"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collection purposes;</w:t>
      </w:r>
    </w:p>
    <w:p>
      <w:pPr>
        <w:spacing w:after="0" w:line="207" w:lineRule="exact"/>
        <w:rPr>
          <w:rFonts w:ascii="Times New Roman" w:cs="Times New Roman" w:eastAsia="Times New Roman" w:hAnsi="Times New Roman"/>
          <w:sz w:val="22"/>
          <w:szCs w:val="22"/>
          <w:color w:val="auto"/>
        </w:rPr>
      </w:pPr>
    </w:p>
    <w:p>
      <w:pPr>
        <w:ind w:left="1764" w:hanging="467"/>
        <w:spacing w:after="0"/>
        <w:tabs>
          <w:tab w:leader="none" w:pos="1764"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under any Permitted Receivables Financing permitted under Section 6.14(I)(ee);</w:t>
      </w:r>
    </w:p>
    <w:p>
      <w:pPr>
        <w:spacing w:after="0" w:line="233" w:lineRule="exact"/>
        <w:rPr>
          <w:rFonts w:ascii="Times New Roman" w:cs="Times New Roman" w:eastAsia="Times New Roman" w:hAnsi="Times New Roman"/>
          <w:sz w:val="22"/>
          <w:szCs w:val="22"/>
          <w:color w:val="auto"/>
        </w:rPr>
      </w:pPr>
    </w:p>
    <w:p>
      <w:pPr>
        <w:ind w:left="4" w:right="520" w:firstLine="1293"/>
        <w:spacing w:after="0" w:line="284" w:lineRule="auto"/>
        <w:tabs>
          <w:tab w:leader="none" w:pos="184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44" w:lineRule="exact"/>
        <w:rPr>
          <w:rFonts w:ascii="Times New Roman" w:cs="Times New Roman" w:eastAsia="Times New Roman" w:hAnsi="Times New Roman"/>
          <w:sz w:val="22"/>
          <w:szCs w:val="22"/>
          <w:color w:val="auto"/>
        </w:rPr>
      </w:pPr>
    </w:p>
    <w:p>
      <w:pPr>
        <w:ind w:left="4" w:right="320" w:firstLine="1293"/>
        <w:spacing w:after="0" w:line="284" w:lineRule="auto"/>
        <w:tabs>
          <w:tab w:leader="none" w:pos="184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prior rights of consignees and their lenders under consignment arrangements entered into in the ordinary course of business;</w:t>
      </w:r>
    </w:p>
    <w:p>
      <w:pPr>
        <w:sectPr>
          <w:pgSz w:w="11900" w:h="16838" w:orient="portrait"/>
          <w:cols w:equalWidth="0" w:num="1">
            <w:col w:w="10724"/>
          </w:cols>
          <w:pgMar w:left="896" w:top="625" w:right="279" w:bottom="1440" w:gutter="0" w:footer="0" w:header="0"/>
        </w:sectPr>
      </w:pPr>
    </w:p>
    <w:bookmarkStart w:id="266" w:name="page267"/>
    <w:bookmarkEnd w:id="266"/>
    <w:p>
      <w:pPr>
        <w:ind w:left="4" w:right="40" w:firstLine="1293"/>
        <w:spacing w:after="0" w:line="284" w:lineRule="auto"/>
        <w:tabs>
          <w:tab w:leader="none" w:pos="1744" w:val="left"/>
        </w:tabs>
        <w:numPr>
          <w:ilvl w:val="2"/>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UCC financing statements or consignments entered into in connection with any transaction otherwise permitted under this Agreement; and</w:t>
      </w:r>
    </w:p>
    <w:p>
      <w:pPr>
        <w:spacing w:after="0" w:line="144" w:lineRule="exact"/>
        <w:rPr>
          <w:rFonts w:ascii="Times New Roman" w:cs="Times New Roman" w:eastAsia="Times New Roman" w:hAnsi="Times New Roman"/>
          <w:sz w:val="22"/>
          <w:szCs w:val="22"/>
          <w:color w:val="auto"/>
        </w:rPr>
      </w:pPr>
    </w:p>
    <w:p>
      <w:pPr>
        <w:ind w:left="4" w:right="500" w:firstLine="1293"/>
        <w:spacing w:after="0" w:line="284" w:lineRule="auto"/>
        <w:tabs>
          <w:tab w:leader="none" w:pos="1744" w:val="left"/>
        </w:tabs>
        <w:numPr>
          <w:ilvl w:val="2"/>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of a Subsidiary that is not a Loan Party securing Indebtedness of such Subsidiaries permitted by Section 6.14(I).</w:t>
      </w:r>
    </w:p>
    <w:p>
      <w:pPr>
        <w:spacing w:after="0" w:line="139" w:lineRule="exact"/>
        <w:rPr>
          <w:rFonts w:ascii="Times New Roman" w:cs="Times New Roman" w:eastAsia="Times New Roman" w:hAnsi="Times New Roman"/>
          <w:sz w:val="22"/>
          <w:szCs w:val="22"/>
          <w:color w:val="auto"/>
        </w:rPr>
      </w:pPr>
    </w:p>
    <w:p>
      <w:pPr>
        <w:ind w:left="-656" w:firstLine="656"/>
        <w:spacing w:after="0" w:line="282" w:lineRule="auto"/>
        <w:tabs>
          <w:tab w:leader="none" w:pos="27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 Unsecured Covenants Period is in effect, the Borrower will not, and will not permit any of its Restricted Subsidiaries to, create, incur or suffer to exist any Lien on any of its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prevent the following:</w:t>
      </w:r>
    </w:p>
    <w:p>
      <w:pPr>
        <w:spacing w:after="0" w:line="166" w:lineRule="exact"/>
        <w:rPr>
          <w:rFonts w:ascii="Times New Roman" w:cs="Times New Roman" w:eastAsia="Times New Roman" w:hAnsi="Times New Roman"/>
          <w:sz w:val="18"/>
          <w:szCs w:val="18"/>
          <w:color w:val="auto"/>
        </w:rPr>
      </w:pPr>
    </w:p>
    <w:p>
      <w:pPr>
        <w:ind w:left="4" w:right="220" w:firstLine="645"/>
        <w:spacing w:after="0" w:line="263" w:lineRule="auto"/>
        <w:tabs>
          <w:tab w:leader="none" w:pos="1072"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the payment of taxes which are not yet due and payable and Liens (or deposits as security) for taxes which are being contested in good faith by appropriate proceedings and as to which appropriate reserves have been provided for in accordance with GAAP;</w:t>
      </w:r>
    </w:p>
    <w:p>
      <w:pPr>
        <w:spacing w:after="0" w:line="167" w:lineRule="exact"/>
        <w:rPr>
          <w:rFonts w:ascii="Times New Roman" w:cs="Times New Roman" w:eastAsia="Times New Roman" w:hAnsi="Times New Roman"/>
          <w:sz w:val="22"/>
          <w:szCs w:val="22"/>
          <w:color w:val="auto"/>
        </w:rPr>
      </w:pPr>
    </w:p>
    <w:p>
      <w:pPr>
        <w:ind w:left="4" w:right="60" w:firstLine="645"/>
        <w:spacing w:after="0" w:line="253" w:lineRule="auto"/>
        <w:tabs>
          <w:tab w:leader="none" w:pos="1084"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arising by statute in connection with worker’s compensation, unemployment insurance, old age benefits, social security obligations, statutory obligations or other similar charges, (ii) in connection with bids, tenders, contracts or leases to which the Borrower or any Restricted Subsidiary is a party or (iii) to secure public or statutory obligations of such Person or deposits of cash or Cash Equivalents to secure surety or appeal bonds to which such Person is a party, or deposits as security or for the payment of rent, in each case, incurred in the ordinary course of business;</w:t>
      </w:r>
    </w:p>
    <w:p>
      <w:pPr>
        <w:spacing w:after="0" w:line="179" w:lineRule="exact"/>
        <w:rPr>
          <w:rFonts w:ascii="Times New Roman" w:cs="Times New Roman" w:eastAsia="Times New Roman" w:hAnsi="Times New Roman"/>
          <w:sz w:val="22"/>
          <w:szCs w:val="22"/>
          <w:color w:val="auto"/>
        </w:rPr>
      </w:pPr>
    </w:p>
    <w:p>
      <w:pPr>
        <w:ind w:left="4" w:right="320" w:firstLine="645"/>
        <w:spacing w:after="0" w:line="257" w:lineRule="auto"/>
        <w:tabs>
          <w:tab w:leader="none" w:pos="1072"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workmen’s, materialmen’s, landlords’, carriers’ or other similar Liens arising in the ordinary course of business with respect to obligations which are not overdue by a period of more than 60 days or if more than 60 days overdue (i) which would not reasonably be expected to have a Material Adverse Effect or (ii) which are being contested in good faith by appropriate proceedings;</w:t>
      </w:r>
    </w:p>
    <w:p>
      <w:pPr>
        <w:spacing w:after="0" w:line="172" w:lineRule="exact"/>
        <w:rPr>
          <w:rFonts w:ascii="Times New Roman" w:cs="Times New Roman" w:eastAsia="Times New Roman" w:hAnsi="Times New Roman"/>
          <w:sz w:val="22"/>
          <w:szCs w:val="22"/>
          <w:color w:val="auto"/>
        </w:rPr>
      </w:pPr>
    </w:p>
    <w:p>
      <w:pPr>
        <w:ind w:left="1084" w:hanging="435"/>
        <w:spacing w:after="0"/>
        <w:tabs>
          <w:tab w:leader="none" w:pos="1084"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by or pursuant to this Agreement and the Collateral Documents;</w:t>
      </w:r>
    </w:p>
    <w:p>
      <w:pPr>
        <w:spacing w:after="0" w:line="233" w:lineRule="exact"/>
        <w:rPr>
          <w:rFonts w:ascii="Times New Roman" w:cs="Times New Roman" w:eastAsia="Times New Roman" w:hAnsi="Times New Roman"/>
          <w:sz w:val="22"/>
          <w:szCs w:val="22"/>
          <w:color w:val="auto"/>
        </w:rPr>
      </w:pPr>
    </w:p>
    <w:p>
      <w:pPr>
        <w:ind w:left="4" w:right="40" w:firstLine="645"/>
        <w:spacing w:after="0" w:line="253" w:lineRule="auto"/>
        <w:tabs>
          <w:tab w:leader="none" w:pos="1072"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of the Borrower or any Restricted Subsidiary created solely for the purpose of securing indebtedness permitted by Section 6.14(II)(d)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Lien shall extend to or cover other Property of the Borrower or such Restricted Subsidiary other than the respective Property so acquired or similar Property acquired from the same lender or its Affiliates, and the principal amount of indebtedness secured by any such Lien shall at no time exceed the purchase price of all such Property;</w:t>
      </w:r>
    </w:p>
    <w:p>
      <w:pPr>
        <w:spacing w:after="0" w:line="179" w:lineRule="exact"/>
        <w:rPr>
          <w:rFonts w:ascii="Times New Roman" w:cs="Times New Roman" w:eastAsia="Times New Roman" w:hAnsi="Times New Roman"/>
          <w:sz w:val="22"/>
          <w:szCs w:val="22"/>
          <w:color w:val="auto"/>
        </w:rPr>
      </w:pPr>
    </w:p>
    <w:p>
      <w:pPr>
        <w:ind w:left="1044" w:hanging="395"/>
        <w:spacing w:after="0"/>
        <w:tabs>
          <w:tab w:leader="none" w:pos="1044"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assumed in connection with permitted Acquisitions;</w:t>
      </w:r>
    </w:p>
    <w:p>
      <w:pPr>
        <w:sectPr>
          <w:pgSz w:w="11900" w:h="16838" w:orient="portrait"/>
          <w:cols w:equalWidth="0" w:num="1">
            <w:col w:w="10744"/>
          </w:cols>
          <w:pgMar w:left="896" w:top="625" w:right="259" w:bottom="1440" w:gutter="0" w:footer="0" w:header="0"/>
        </w:sectPr>
      </w:pPr>
    </w:p>
    <w:bookmarkStart w:id="267" w:name="page268"/>
    <w:bookmarkEnd w:id="267"/>
    <w:p>
      <w:pPr>
        <w:jc w:val="both"/>
        <w:ind w:left="-540" w:right="480" w:firstLine="645"/>
        <w:spacing w:after="0" w:line="263" w:lineRule="auto"/>
        <w:tabs>
          <w:tab w:leader="none" w:pos="5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and other similar encumbrances as to the use of real property of the Borrower or any Restricted Subsidiary incurred in the ordinary course of business which do not impair their use in the operation of the business of such Person;</w:t>
      </w:r>
    </w:p>
    <w:p>
      <w:pPr>
        <w:spacing w:after="0" w:line="167" w:lineRule="exact"/>
        <w:rPr>
          <w:rFonts w:ascii="Times New Roman" w:cs="Times New Roman" w:eastAsia="Times New Roman" w:hAnsi="Times New Roman"/>
          <w:sz w:val="22"/>
          <w:szCs w:val="22"/>
          <w:color w:val="auto"/>
        </w:rPr>
      </w:pPr>
    </w:p>
    <w:p>
      <w:pPr>
        <w:ind w:left="540" w:hanging="435"/>
        <w:spacing w:after="0"/>
        <w:tabs>
          <w:tab w:leader="none" w:pos="5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connection with sale-leaseback transactions securing Indebtedness permitted by Section 6.14(II)(ii);</w:t>
      </w:r>
    </w:p>
    <w:p>
      <w:pPr>
        <w:spacing w:after="0" w:line="233" w:lineRule="exact"/>
        <w:rPr>
          <w:rFonts w:ascii="Times New Roman" w:cs="Times New Roman" w:eastAsia="Times New Roman" w:hAnsi="Times New Roman"/>
          <w:sz w:val="22"/>
          <w:szCs w:val="22"/>
          <w:color w:val="auto"/>
        </w:rPr>
      </w:pPr>
    </w:p>
    <w:p>
      <w:pPr>
        <w:ind w:left="-540" w:right="540" w:firstLine="645"/>
        <w:spacing w:after="0" w:line="284" w:lineRule="auto"/>
        <w:tabs>
          <w:tab w:leader="none" w:pos="49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ground leases or subleases, licenses or sublicenses in respect of real property on which facilities owned or leased by the Borrower or any of its Restricted Subsidiaries are located;</w:t>
      </w:r>
    </w:p>
    <w:p>
      <w:pPr>
        <w:spacing w:after="0" w:line="144" w:lineRule="exact"/>
        <w:rPr>
          <w:rFonts w:ascii="Times New Roman" w:cs="Times New Roman" w:eastAsia="Times New Roman" w:hAnsi="Times New Roman"/>
          <w:sz w:val="22"/>
          <w:szCs w:val="22"/>
          <w:color w:val="auto"/>
        </w:rPr>
      </w:pPr>
    </w:p>
    <w:p>
      <w:pPr>
        <w:ind w:left="-540" w:right="180" w:firstLine="645"/>
        <w:spacing w:after="0" w:line="284" w:lineRule="auto"/>
        <w:tabs>
          <w:tab w:leader="none" w:pos="49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judgments or decrees for the payment of money in circumstances not constituting an Event of Default under Section 7.1;</w:t>
      </w:r>
    </w:p>
    <w:p>
      <w:pPr>
        <w:spacing w:after="0" w:line="144" w:lineRule="exact"/>
        <w:rPr>
          <w:rFonts w:ascii="Times New Roman" w:cs="Times New Roman" w:eastAsia="Times New Roman" w:hAnsi="Times New Roman"/>
          <w:sz w:val="22"/>
          <w:szCs w:val="22"/>
          <w:color w:val="auto"/>
        </w:rPr>
      </w:pPr>
    </w:p>
    <w:p>
      <w:pPr>
        <w:ind w:left="-540" w:right="540" w:firstLine="645"/>
        <w:spacing w:after="0" w:line="257" w:lineRule="auto"/>
        <w:tabs>
          <w:tab w:leader="none" w:pos="5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sublessor, licensor or sublicensor or Lien securing a lessor’s, sublessor’s, licensor’s or sublicensor’s interest under any lease not prohibited by this Agreement and leases, licenses, subleases or sublicenses granted to others that do not (x) interfere in any material respect with the business of the Borrower and its Restricted Subsidiaries, taken as a whole, or (y) secure any Indebtedness;</w:t>
      </w:r>
    </w:p>
    <w:p>
      <w:pPr>
        <w:spacing w:after="0" w:line="172" w:lineRule="exact"/>
        <w:rPr>
          <w:rFonts w:ascii="Times New Roman" w:cs="Times New Roman" w:eastAsia="Times New Roman" w:hAnsi="Times New Roman"/>
          <w:sz w:val="22"/>
          <w:szCs w:val="22"/>
          <w:color w:val="auto"/>
        </w:rPr>
      </w:pPr>
    </w:p>
    <w:p>
      <w:pPr>
        <w:ind w:left="-540" w:right="60" w:firstLine="645"/>
        <w:spacing w:after="0" w:line="263" w:lineRule="auto"/>
        <w:tabs>
          <w:tab w:leader="none" w:pos="49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sublicenses, covenants not to sue or other grants of rights to intellectual property rights granted (i) in the ordinary course of business or (ii) in the reasonable business judgment of the Borrower or the Restricted Subsidiaries in the conduct of its business (including in the settlement of litigation or entering into cross-licenses);</w:t>
      </w:r>
    </w:p>
    <w:p>
      <w:pPr>
        <w:spacing w:after="0" w:line="167" w:lineRule="exact"/>
        <w:rPr>
          <w:rFonts w:ascii="Times New Roman" w:cs="Times New Roman" w:eastAsia="Times New Roman" w:hAnsi="Times New Roman"/>
          <w:sz w:val="22"/>
          <w:szCs w:val="22"/>
          <w:color w:val="auto"/>
        </w:rPr>
      </w:pPr>
    </w:p>
    <w:p>
      <w:pPr>
        <w:jc w:val="both"/>
        <w:ind w:left="-540" w:firstLine="645"/>
        <w:spacing w:after="0" w:line="263" w:lineRule="auto"/>
        <w:tabs>
          <w:tab w:leader="none" w:pos="60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zoning, building or similar law or right reserved to, or vested in, any Governmental Authority to control or regulate the use of any real property that does not materially interfere with the ordinary course of conduct of the business of the Borrower and its Restricted Subsidiaries, taken as a whole;</w:t>
      </w:r>
    </w:p>
    <w:p>
      <w:pPr>
        <w:spacing w:after="0" w:line="167" w:lineRule="exact"/>
        <w:rPr>
          <w:rFonts w:ascii="Times New Roman" w:cs="Times New Roman" w:eastAsia="Times New Roman" w:hAnsi="Times New Roman"/>
          <w:sz w:val="22"/>
          <w:szCs w:val="22"/>
          <w:color w:val="auto"/>
        </w:rPr>
      </w:pPr>
    </w:p>
    <w:p>
      <w:pPr>
        <w:ind w:left="-540" w:right="40" w:firstLine="645"/>
        <w:spacing w:after="0" w:line="257" w:lineRule="auto"/>
        <w:tabs>
          <w:tab w:leader="none" w:pos="5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of a collection bank arising under Section 4-210 of the UCC on items in the course of collection, (ii) attaching to commodity trading accounts or other commodity brokerage accounts incurred in the ordinary course of business and (iii) in favor of a banking institution arising as a matter of law encumbering deposits (including the right to set off), which are within the general parameters customary in the banking industry;</w:t>
      </w:r>
    </w:p>
    <w:p>
      <w:pPr>
        <w:spacing w:after="0" w:line="172" w:lineRule="exact"/>
        <w:rPr>
          <w:rFonts w:ascii="Times New Roman" w:cs="Times New Roman" w:eastAsia="Times New Roman" w:hAnsi="Times New Roman"/>
          <w:sz w:val="22"/>
          <w:szCs w:val="22"/>
          <w:color w:val="auto"/>
        </w:rPr>
      </w:pPr>
    </w:p>
    <w:p>
      <w:pPr>
        <w:ind w:left="-540" w:right="260" w:firstLine="645"/>
        <w:spacing w:after="0" w:line="263" w:lineRule="auto"/>
        <w:tabs>
          <w:tab w:leader="none" w:pos="5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on cash advances in favor of the seller of any property to be acquired in an investment permitted pursuant to Section 6.17 to be applied against the purchase price for such investment or (ii) consisting of an agreement to sell, transfer, lease or otherwise dispose of any property in a transaction permitted under Section 6.16;</w:t>
      </w:r>
    </w:p>
    <w:p>
      <w:pPr>
        <w:sectPr>
          <w:pgSz w:w="11900" w:h="16838" w:orient="portrait"/>
          <w:cols w:equalWidth="0" w:num="1">
            <w:col w:w="10180"/>
          </w:cols>
          <w:pgMar w:left="1440" w:top="625" w:right="279" w:bottom="1440" w:gutter="0" w:footer="0" w:header="0"/>
        </w:sectPr>
      </w:pPr>
    </w:p>
    <w:bookmarkStart w:id="268" w:name="page269"/>
    <w:bookmarkEnd w:id="268"/>
    <w:p>
      <w:pPr>
        <w:ind w:left="1084" w:hanging="435"/>
        <w:spacing w:after="0"/>
        <w:tabs>
          <w:tab w:leader="none" w:pos="1084"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securities that are the subject of repurchase agreements constituting Cash Equivalents;</w:t>
      </w:r>
    </w:p>
    <w:p>
      <w:pPr>
        <w:spacing w:after="0" w:line="233" w:lineRule="exact"/>
        <w:rPr>
          <w:rFonts w:ascii="Times New Roman" w:cs="Times New Roman" w:eastAsia="Times New Roman" w:hAnsi="Times New Roman"/>
          <w:sz w:val="22"/>
          <w:szCs w:val="22"/>
          <w:color w:val="auto"/>
        </w:rPr>
      </w:pPr>
    </w:p>
    <w:p>
      <w:pPr>
        <w:ind w:left="4" w:right="20" w:firstLine="645"/>
        <w:spacing w:after="0" w:line="262" w:lineRule="auto"/>
        <w:tabs>
          <w:tab w:leader="none" w:pos="1084"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that are contractual rights of set-off (i) relating to the establishment of depository relations with banks not given in connection with the issuance of indebtedness, (ii) relating to pooled deposit, automatic clearing house or sweep accounts of the Borrower or any Restricted Subsidiary to permit satisfaction of overdraft or similar obligations incurred in the ordinary course of business of the Borrower and its Restricted Subsidiaries, (iii) relating to purchase orders and other agreements entered into with customers of the Borrower or any Restricted Subsidiary in the ordinary course of business or</w:t>
      </w:r>
    </w:p>
    <w:p>
      <w:pPr>
        <w:spacing w:after="0" w:line="2" w:lineRule="exact"/>
        <w:rPr>
          <w:rFonts w:ascii="Times New Roman" w:cs="Times New Roman" w:eastAsia="Times New Roman" w:hAnsi="Times New Roman"/>
          <w:sz w:val="21"/>
          <w:szCs w:val="21"/>
          <w:color w:val="auto"/>
        </w:rPr>
      </w:pPr>
    </w:p>
    <w:p>
      <w:pPr>
        <w:ind w:left="4" w:right="520" w:hanging="4"/>
        <w:spacing w:after="0" w:line="248" w:lineRule="auto"/>
        <w:tabs>
          <w:tab w:leader="none" w:pos="37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the credit cards and credit accounts of the Borrower or any of its Restricted Subsidiaries in the ordinary course of business;</w:t>
      </w:r>
    </w:p>
    <w:p>
      <w:pPr>
        <w:spacing w:after="0" w:line="182" w:lineRule="exact"/>
        <w:rPr>
          <w:rFonts w:ascii="Times New Roman" w:cs="Times New Roman" w:eastAsia="Times New Roman" w:hAnsi="Times New Roman"/>
          <w:sz w:val="22"/>
          <w:szCs w:val="22"/>
          <w:color w:val="auto"/>
        </w:rPr>
      </w:pPr>
    </w:p>
    <w:p>
      <w:pPr>
        <w:ind w:left="4" w:right="320" w:firstLine="645"/>
        <w:spacing w:after="0" w:line="284" w:lineRule="auto"/>
        <w:tabs>
          <w:tab w:leader="none" w:pos="1048"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or escrow arrangements made by the Borrower or any of its Restricted Subsidiaries in connection with any letter of intent or purchase agreement permitted hereunder;</w:t>
      </w:r>
    </w:p>
    <w:p>
      <w:pPr>
        <w:spacing w:after="0" w:line="144" w:lineRule="exact"/>
        <w:rPr>
          <w:rFonts w:ascii="Times New Roman" w:cs="Times New Roman" w:eastAsia="Times New Roman" w:hAnsi="Times New Roman"/>
          <w:sz w:val="22"/>
          <w:szCs w:val="22"/>
          <w:color w:val="auto"/>
        </w:rPr>
      </w:pPr>
    </w:p>
    <w:p>
      <w:pPr>
        <w:ind w:left="1064" w:hanging="415"/>
        <w:spacing w:after="0"/>
        <w:tabs>
          <w:tab w:leader="none" w:pos="1064"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insurance policies and the proceeds thereof securing the financing of the premiums with respect</w:t>
      </w:r>
    </w:p>
    <w:p>
      <w:pPr>
        <w:spacing w:after="0" w:line="29"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w:t>
      </w:r>
    </w:p>
    <w:p>
      <w:pPr>
        <w:spacing w:after="0" w:line="207" w:lineRule="exact"/>
        <w:rPr>
          <w:rFonts w:ascii="Times New Roman" w:cs="Times New Roman" w:eastAsia="Times New Roman" w:hAnsi="Times New Roman"/>
          <w:sz w:val="22"/>
          <w:szCs w:val="22"/>
          <w:color w:val="auto"/>
        </w:rPr>
      </w:pPr>
    </w:p>
    <w:p>
      <w:pPr>
        <w:ind w:left="1024" w:hanging="375"/>
        <w:spacing w:after="0"/>
        <w:tabs>
          <w:tab w:leader="none" w:pos="1024"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left="4" w:right="40" w:firstLine="645"/>
        <w:spacing w:after="0" w:line="263" w:lineRule="auto"/>
        <w:tabs>
          <w:tab w:leader="none" w:pos="1084"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issuer of customs, stay, performance, bid, appeal or surety bonds or completion guarantees and other obligations of a like nature or letters of credit issued pursuant to the request of and for the account of such Person in the ordinary course of its business;</w:t>
      </w:r>
    </w:p>
    <w:p>
      <w:pPr>
        <w:spacing w:after="0" w:line="167" w:lineRule="exact"/>
        <w:rPr>
          <w:rFonts w:ascii="Times New Roman" w:cs="Times New Roman" w:eastAsia="Times New Roman" w:hAnsi="Times New Roman"/>
          <w:sz w:val="22"/>
          <w:szCs w:val="22"/>
          <w:color w:val="auto"/>
        </w:rPr>
      </w:pPr>
    </w:p>
    <w:p>
      <w:pPr>
        <w:ind w:left="4" w:firstLine="645"/>
        <w:spacing w:after="0" w:line="250" w:lineRule="auto"/>
        <w:tabs>
          <w:tab w:leader="none" w:pos="1084"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Amendment No. 7 Effective Date or pursuant to agreements in existence on the Amendment No. 7 Effective Date and to the extent securing Indebtedness in excess of $50 million, as described on Schedule 6.15 and any modifications, replacements, renewals or extensions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shall secure only those obligations that they secure on the Amendment No. 7 Effective Date (and any Refinancing Indebtedness in respect of such obligations permitted by Section 6.14) and shall not subsequently apply to any other property or assets of the Borrower or any Restricted Subsidiary other than (x) after-acquired property that is affixed or incorporated into the property covered by such Lien and (y) proceeds and products thereof;</w:t>
      </w:r>
    </w:p>
    <w:p>
      <w:pPr>
        <w:spacing w:after="0" w:line="181" w:lineRule="exact"/>
        <w:rPr>
          <w:rFonts w:ascii="Times New Roman" w:cs="Times New Roman" w:eastAsia="Times New Roman" w:hAnsi="Times New Roman"/>
          <w:sz w:val="22"/>
          <w:szCs w:val="22"/>
          <w:color w:val="auto"/>
        </w:rPr>
      </w:pPr>
    </w:p>
    <w:p>
      <w:pPr>
        <w:ind w:left="1124" w:hanging="475"/>
        <w:spacing w:after="0"/>
        <w:tabs>
          <w:tab w:leader="none" w:pos="1124"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084" w:hanging="435"/>
        <w:spacing w:after="0"/>
        <w:tabs>
          <w:tab w:leader="none" w:pos="1084"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ectPr>
          <w:pgSz w:w="11900" w:h="16838" w:orient="portrait"/>
          <w:cols w:equalWidth="0" w:num="1">
            <w:col w:w="10764"/>
          </w:cols>
          <w:pgMar w:left="896" w:top="626" w:right="239" w:bottom="1440" w:gutter="0" w:footer="0" w:header="0"/>
        </w:sectPr>
      </w:pPr>
    </w:p>
    <w:bookmarkStart w:id="269" w:name="page270"/>
    <w:bookmarkEnd w:id="269"/>
    <w:p>
      <w:pPr>
        <w:ind w:right="120" w:firstLine="645"/>
        <w:spacing w:after="0" w:line="263" w:lineRule="auto"/>
        <w:tabs>
          <w:tab w:leader="none" w:pos="10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specific items of inventory or other goods and the proceeds thereof of any Person securing such Person’s obligations under any agreement to facilitate the purchase, shipment or storage of such inventory or other goods, and pledges or deposits in the ordinary course of business securing inventory purchases from vendors;</w:t>
      </w:r>
    </w:p>
    <w:p>
      <w:pPr>
        <w:spacing w:after="0" w:line="167" w:lineRule="exact"/>
        <w:rPr>
          <w:rFonts w:ascii="Times New Roman" w:cs="Times New Roman" w:eastAsia="Times New Roman" w:hAnsi="Times New Roman"/>
          <w:sz w:val="22"/>
          <w:szCs w:val="22"/>
          <w:color w:val="auto"/>
        </w:rPr>
      </w:pPr>
    </w:p>
    <w:p>
      <w:pPr>
        <w:ind w:right="60" w:firstLine="645"/>
        <w:spacing w:after="0" w:line="249" w:lineRule="auto"/>
        <w:tabs>
          <w:tab w:leader="none" w:pos="106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to secure any refinancing, refunding, extension, renewal or replacement (or successive refinancing, refunding, extensions, renewals or replacements) as a whole, or in part, of any Indebtedness permitted by Section 6.14 and secured by any Lien referred to in Section 6.15(II)(e) and (v);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such new Lien shall be limited to all or part of the same property that secured the original Lien (plus improvements on such property), and (ii) the Indebtedness secured by such Lien at such time is not increased to any amount greater than the sum of (A) the outstanding principal amount or, if greater, committed amount of the Indebtedness described under Section 6.15(II)(e) and (v) at the time the original Lien became a Permitted Lien hereunder, and (B) an amount necessary to pay any fees and expenses, including premiums, related to such refinancing, refunding, extension, renewal or replacement;</w:t>
      </w:r>
    </w:p>
    <w:p>
      <w:pPr>
        <w:spacing w:after="0" w:line="183" w:lineRule="exact"/>
        <w:rPr>
          <w:sz w:val="20"/>
          <w:szCs w:val="20"/>
          <w:color w:val="auto"/>
        </w:rPr>
      </w:pPr>
    </w:p>
    <w:p>
      <w:pPr>
        <w:jc w:val="both"/>
        <w:ind w:firstLine="645"/>
        <w:spacing w:after="0" w:line="257" w:lineRule="auto"/>
        <w:tabs>
          <w:tab w:leader="none" w:pos="116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to secure any Indebtedness permitted by Section 6.14(II)(b) to the extent that the Borrower or any other Loan Party is required to post segregated collateral to any clearing agency in respect of any such Indebtedness as required, or as may be required, by the Commodity Exchange Act, any regulations thereto, or any other applicable legislation or regulations in connection therewith;</w:t>
      </w:r>
    </w:p>
    <w:p>
      <w:pPr>
        <w:spacing w:after="0" w:line="172" w:lineRule="exact"/>
        <w:rPr>
          <w:rFonts w:ascii="Times New Roman" w:cs="Times New Roman" w:eastAsia="Times New Roman" w:hAnsi="Times New Roman"/>
          <w:sz w:val="22"/>
          <w:szCs w:val="22"/>
          <w:color w:val="auto"/>
        </w:rPr>
      </w:pPr>
    </w:p>
    <w:p>
      <w:pPr>
        <w:ind w:left="1180" w:hanging="535"/>
        <w:spacing w:after="0"/>
        <w:tabs>
          <w:tab w:leader="none" w:pos="11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to secure Refinancing Indebtedness,</w:t>
      </w:r>
    </w:p>
    <w:p>
      <w:pPr>
        <w:spacing w:after="0" w:line="233" w:lineRule="exact"/>
        <w:rPr>
          <w:rFonts w:ascii="Times New Roman" w:cs="Times New Roman" w:eastAsia="Times New Roman" w:hAnsi="Times New Roman"/>
          <w:sz w:val="22"/>
          <w:szCs w:val="22"/>
          <w:color w:val="auto"/>
        </w:rPr>
      </w:pPr>
    </w:p>
    <w:p>
      <w:pPr>
        <w:ind w:left="1160" w:hanging="515"/>
        <w:spacing w:after="0"/>
        <w:tabs>
          <w:tab w:leader="none" w:pos="116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180" w:hanging="535"/>
        <w:spacing w:after="0"/>
        <w:tabs>
          <w:tab w:leader="none" w:pos="11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to secure Priority Debt permitted by Section 6.14(II)(x);</w:t>
      </w:r>
    </w:p>
    <w:p>
      <w:pPr>
        <w:spacing w:after="0" w:line="233" w:lineRule="exact"/>
        <w:rPr>
          <w:rFonts w:ascii="Times New Roman" w:cs="Times New Roman" w:eastAsia="Times New Roman" w:hAnsi="Times New Roman"/>
          <w:sz w:val="22"/>
          <w:szCs w:val="22"/>
          <w:color w:val="auto"/>
        </w:rPr>
      </w:pPr>
    </w:p>
    <w:p>
      <w:pPr>
        <w:ind w:left="1160" w:hanging="515"/>
        <w:spacing w:after="0"/>
        <w:tabs>
          <w:tab w:leader="none" w:pos="116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of the right to receive income effected as a part of the sale of a business unit or for collection</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purposes;</w:t>
      </w:r>
    </w:p>
    <w:p>
      <w:pPr>
        <w:spacing w:after="0" w:line="207" w:lineRule="exact"/>
        <w:rPr>
          <w:rFonts w:ascii="Times New Roman" w:cs="Times New Roman" w:eastAsia="Times New Roman" w:hAnsi="Times New Roman"/>
          <w:sz w:val="22"/>
          <w:szCs w:val="22"/>
          <w:color w:val="auto"/>
        </w:rPr>
      </w:pPr>
    </w:p>
    <w:p>
      <w:pPr>
        <w:ind w:left="1100" w:hanging="455"/>
        <w:spacing w:after="0"/>
        <w:tabs>
          <w:tab w:leader="none" w:pos="11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under any Permitted Receivables Financing permitted under Section 6.14(II)(ee);</w:t>
      </w:r>
    </w:p>
    <w:p>
      <w:pPr>
        <w:spacing w:after="0" w:line="233" w:lineRule="exact"/>
        <w:rPr>
          <w:rFonts w:ascii="Times New Roman" w:cs="Times New Roman" w:eastAsia="Times New Roman" w:hAnsi="Times New Roman"/>
          <w:sz w:val="22"/>
          <w:szCs w:val="22"/>
          <w:color w:val="auto"/>
        </w:rPr>
      </w:pPr>
    </w:p>
    <w:p>
      <w:pPr>
        <w:ind w:right="320" w:firstLine="645"/>
        <w:spacing w:after="0" w:line="284" w:lineRule="auto"/>
        <w:tabs>
          <w:tab w:leader="none" w:pos="118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44" w:lineRule="exact"/>
        <w:rPr>
          <w:rFonts w:ascii="Times New Roman" w:cs="Times New Roman" w:eastAsia="Times New Roman" w:hAnsi="Times New Roman"/>
          <w:sz w:val="22"/>
          <w:szCs w:val="22"/>
          <w:color w:val="auto"/>
        </w:rPr>
      </w:pPr>
    </w:p>
    <w:p>
      <w:pPr>
        <w:ind w:right="120" w:firstLine="645"/>
        <w:spacing w:after="0" w:line="284" w:lineRule="auto"/>
        <w:tabs>
          <w:tab w:leader="none" w:pos="118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prior rights of consignees and their lenders under consignment arrangements entered into in the ordinary course of business;</w:t>
      </w:r>
    </w:p>
    <w:p>
      <w:pPr>
        <w:sectPr>
          <w:pgSz w:w="11900" w:h="16838" w:orient="portrait"/>
          <w:cols w:equalWidth="0" w:num="1">
            <w:col w:w="10640"/>
          </w:cols>
          <w:pgMar w:left="900" w:top="625" w:right="359" w:bottom="1440" w:gutter="0" w:footer="0" w:header="0"/>
        </w:sectPr>
      </w:pPr>
    </w:p>
    <w:bookmarkStart w:id="270" w:name="page271"/>
    <w:bookmarkEnd w:id="270"/>
    <w:p>
      <w:pPr>
        <w:ind w:left="660" w:right="260" w:firstLine="645"/>
        <w:spacing w:after="0" w:line="284" w:lineRule="auto"/>
        <w:tabs>
          <w:tab w:leader="none" w:pos="1752"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UCC financing statements or consignments entered into in connection with any transaction otherwise permitted under this Agreement; and</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sz w:val="20"/>
          <w:szCs w:val="20"/>
          <w:color w:val="auto"/>
        </w:rPr>
      </w:pPr>
    </w:p>
    <w:p>
      <w:pPr>
        <w:ind w:left="660" w:right="40" w:firstLine="648"/>
        <w:spacing w:after="0" w:line="246" w:lineRule="auto"/>
        <w:rPr>
          <w:sz w:val="20"/>
          <w:szCs w:val="20"/>
          <w:color w:val="auto"/>
        </w:rPr>
      </w:pPr>
      <w:r>
        <w:rPr>
          <w:rFonts w:ascii="Times New Roman" w:cs="Times New Roman" w:eastAsia="Times New Roman" w:hAnsi="Times New Roman"/>
          <w:sz w:val="22"/>
          <w:szCs w:val="22"/>
          <w:color w:val="auto"/>
        </w:rPr>
        <w:t>For purposes of determining compliance with this Section 6.15, (A) a Lien securing an item of Indebtedness need not be permitted solely by reference to one category of permitted Liens (or any portion thereof) described in this Section 6.15 but may be permitted in part under any combination thereof and (B) in the event that a Lien securing an item of Indebtedness (or any portion thereof) meets the criteria of one or more of the categories of permitted Liens (or any portion thereof) described in this Section 6.15, the Borrower may, in its sole discretion, classify or divide such Lien securing such item of Indebtedness (or any portion thereof) in any manner that complies with this Section 6.15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w:t>
      </w:r>
    </w:p>
    <w:p>
      <w:pPr>
        <w:spacing w:after="0" w:line="192" w:lineRule="exact"/>
        <w:rPr>
          <w:sz w:val="20"/>
          <w:szCs w:val="20"/>
          <w:color w:val="auto"/>
        </w:rPr>
      </w:pPr>
    </w:p>
    <w:p>
      <w:pPr>
        <w:ind w:left="660" w:firstLine="648"/>
        <w:spacing w:after="0" w:line="265" w:lineRule="auto"/>
        <w:rPr>
          <w:sz w:val="20"/>
          <w:szCs w:val="20"/>
          <w:color w:val="auto"/>
        </w:rPr>
      </w:pPr>
      <w:r>
        <w:rPr>
          <w:rFonts w:ascii="Times New Roman" w:cs="Times New Roman" w:eastAsia="Times New Roman" w:hAnsi="Times New Roman"/>
          <w:sz w:val="21"/>
          <w:szCs w:val="21"/>
          <w:color w:val="auto"/>
        </w:rPr>
        <w:t xml:space="preserve">Notwithstanding the foregoing under this Section 6.15, non-Loan Parties will be permitted to incur Indebtedness secured by Liens incurred by non-Loan Parties without limit so long as such Indebtedness is secured only by assets of such non-Loan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solely during a Secured Covenants Period (but subject to the provisions of Section 9.12 following a Secured Covenant Reinstatement Event), in no event shall Indebtedness of non-Loan Parties be secured by Liens on intellectual property with an aggregate value of more than $100 million as reasonably determined by the Borrower.</w:t>
      </w:r>
    </w:p>
    <w:p>
      <w:pPr>
        <w:spacing w:after="0" w:line="162" w:lineRule="exact"/>
        <w:rPr>
          <w:sz w:val="20"/>
          <w:szCs w:val="20"/>
          <w:color w:val="auto"/>
        </w:rPr>
      </w:pPr>
    </w:p>
    <w:p>
      <w:pPr>
        <w:ind w:right="6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6.16 </w:t>
      </w:r>
      <w:r>
        <w:rPr>
          <w:rFonts w:ascii="Times New Roman" w:cs="Times New Roman" w:eastAsia="Times New Roman" w:hAnsi="Times New Roman"/>
          <w:sz w:val="22"/>
          <w:szCs w:val="22"/>
          <w:i w:val="1"/>
          <w:iCs w:val="1"/>
          <w:color w:val="auto"/>
        </w:rPr>
        <w:t>Consolidation, Merger, Sale of Assets,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The Borrower will not, and will not permit any of its Restricted Subsidiaries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wind up, liquidate or dissolve its affairs or merge or consolidate, or convey, sell, lease or otherwise dispose of all or any part of its Property, including any disposition as part of any sale-leaseback transactions except that this Section 6.16 shall not prevent:</w:t>
      </w:r>
    </w:p>
    <w:p>
      <w:pPr>
        <w:spacing w:after="0" w:line="175" w:lineRule="exact"/>
        <w:rPr>
          <w:sz w:val="20"/>
          <w:szCs w:val="20"/>
          <w:color w:val="auto"/>
        </w:rPr>
      </w:pPr>
    </w:p>
    <w:p>
      <w:pPr>
        <w:ind w:left="2380" w:hanging="427"/>
        <w:spacing w:after="0"/>
        <w:tabs>
          <w:tab w:leader="none" w:pos="23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and lease of inventory in the ordinary course of business;</w:t>
      </w:r>
    </w:p>
    <w:p>
      <w:pPr>
        <w:spacing w:after="0" w:line="233" w:lineRule="exact"/>
        <w:rPr>
          <w:rFonts w:ascii="Times New Roman" w:cs="Times New Roman" w:eastAsia="Times New Roman" w:hAnsi="Times New Roman"/>
          <w:sz w:val="22"/>
          <w:szCs w:val="22"/>
          <w:color w:val="auto"/>
        </w:rPr>
      </w:pPr>
    </w:p>
    <w:p>
      <w:pPr>
        <w:ind w:left="660" w:right="100" w:firstLine="1293"/>
        <w:spacing w:after="0" w:line="263" w:lineRule="auto"/>
        <w:tabs>
          <w:tab w:leader="none" w:pos="2389"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any Property (including, but not limited to, the abandonment or allowing to lapse of intellectual property) that, in the reasonable judgment of the Borrower or its Restricted Subsidiaries, has become uneconomic, obsolete or worn out or is no longer useful in its business;</w:t>
      </w:r>
    </w:p>
    <w:p>
      <w:pPr>
        <w:spacing w:after="0" w:line="167" w:lineRule="exact"/>
        <w:rPr>
          <w:rFonts w:ascii="Times New Roman" w:cs="Times New Roman" w:eastAsia="Times New Roman" w:hAnsi="Times New Roman"/>
          <w:sz w:val="22"/>
          <w:szCs w:val="22"/>
          <w:color w:val="auto"/>
        </w:rPr>
      </w:pPr>
    </w:p>
    <w:p>
      <w:pPr>
        <w:jc w:val="both"/>
        <w:ind w:left="660" w:right="140" w:firstLine="1293"/>
        <w:spacing w:after="0" w:line="263" w:lineRule="auto"/>
        <w:tabs>
          <w:tab w:leader="none" w:pos="237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sale, transfer, lease, or other disposition of Property of the Borrower and its Restricted Subsidiaries to one another;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during any Secured Covenants Period, the fair market value of any Property in respect of any such sale,</w:t>
      </w:r>
    </w:p>
    <w:p>
      <w:pPr>
        <w:sectPr>
          <w:pgSz w:w="11900" w:h="16838" w:orient="portrait"/>
          <w:cols w:equalWidth="0" w:num="1">
            <w:col w:w="11400"/>
          </w:cols>
          <w:pgMar w:left="240" w:top="625" w:right="259" w:bottom="1440" w:gutter="0" w:footer="0" w:header="0"/>
        </w:sectPr>
      </w:pPr>
    </w:p>
    <w:bookmarkStart w:id="271" w:name="page272"/>
    <w:bookmarkEnd w:id="271"/>
    <w:p>
      <w:pPr>
        <w:ind w:right="80"/>
        <w:spacing w:after="0" w:line="254" w:lineRule="auto"/>
        <w:rPr>
          <w:sz w:val="20"/>
          <w:szCs w:val="20"/>
          <w:color w:val="auto"/>
        </w:rPr>
      </w:pPr>
      <w:r>
        <w:rPr>
          <w:rFonts w:ascii="Times New Roman" w:cs="Times New Roman" w:eastAsia="Times New Roman" w:hAnsi="Times New Roman"/>
          <w:sz w:val="22"/>
          <w:szCs w:val="22"/>
          <w:color w:val="auto"/>
        </w:rPr>
        <w:t xml:space="preserve">transfer, lease, or other disposition made by any Loan Party to any Restricted Subsidiary which is not a Loan Party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fair market value of any Loan Party that is merged with and into any Restricted Subsidiary that is not a Loan Party pursuant to a merger permitted by Section 6.16(d) hereof shall not exceed $150 million in the aggregate during the term of this Agreement;</w:t>
      </w:r>
    </w:p>
    <w:p>
      <w:pPr>
        <w:spacing w:after="0" w:line="176" w:lineRule="exact"/>
        <w:rPr>
          <w:sz w:val="20"/>
          <w:szCs w:val="20"/>
          <w:color w:val="auto"/>
        </w:rPr>
      </w:pPr>
    </w:p>
    <w:p>
      <w:pPr>
        <w:ind w:right="200" w:firstLine="1293"/>
        <w:spacing w:after="0" w:line="262" w:lineRule="auto"/>
        <w:tabs>
          <w:tab w:leader="none" w:pos="1729"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merger, consolidation or amalgamation of any Restricted Subsidiary with and into the Borrower or any other Restricted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any merger or consolidation involving the Borrower, (i) the Borrower is the legal entity surviving the merger or consolidation and (ii) such surviving entity is organized under the Applicable Laws of the United States, any state thereof, or the District of Columbia;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during any Secured Covenants Period, the fair market value of any Loan Party that is merged, consolidated or amalgamated with and into any Restricted Subsidiary which is not a Loan Party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fair market value of any Property in respect of any sale, transfer, lease, or other disposition by a Loan Party to a Restricted Subsidiary which is not a Loan Party permitted by Section 6.16(c) hereof shall not exceed $150 million in the aggregate during the term of this Agreement;</w:t>
      </w:r>
    </w:p>
    <w:p>
      <w:pPr>
        <w:spacing w:after="0" w:line="173" w:lineRule="exact"/>
        <w:rPr>
          <w:rFonts w:ascii="Times New Roman" w:cs="Times New Roman" w:eastAsia="Times New Roman" w:hAnsi="Times New Roman"/>
          <w:sz w:val="21"/>
          <w:szCs w:val="21"/>
          <w:color w:val="auto"/>
        </w:rPr>
      </w:pPr>
    </w:p>
    <w:p>
      <w:pPr>
        <w:ind w:left="1720" w:hanging="427"/>
        <w:spacing w:after="0"/>
        <w:tabs>
          <w:tab w:leader="none" w:pos="172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or sale of Cash Equivalents;</w:t>
      </w:r>
    </w:p>
    <w:p>
      <w:pPr>
        <w:spacing w:after="0" w:line="233" w:lineRule="exact"/>
        <w:rPr>
          <w:rFonts w:ascii="Times New Roman" w:cs="Times New Roman" w:eastAsia="Times New Roman" w:hAnsi="Times New Roman"/>
          <w:sz w:val="22"/>
          <w:szCs w:val="22"/>
          <w:color w:val="auto"/>
        </w:rPr>
      </w:pPr>
    </w:p>
    <w:p>
      <w:pPr>
        <w:ind w:firstLine="1293"/>
        <w:spacing w:after="0" w:line="253" w:lineRule="auto"/>
        <w:tabs>
          <w:tab w:leader="none" w:pos="169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dissolve if the Borrower determines in good faith that such dissolution is in the best interests of the Borrower, such dissolution is not disadvantageous to the Lenders and the Borrower or any Restricted Subsidiary receives any assets of such dissolved Subsidiary, subject in the case of a dissolution of a Loan Party during any Secured Covenants Period that results in a distribution of assets to a non-Loan Party to the limitations set forth in the provisos in each of clauses (c) and (d) above;</w:t>
      </w:r>
    </w:p>
    <w:p>
      <w:pPr>
        <w:spacing w:after="0" w:line="179" w:lineRule="exact"/>
        <w:rPr>
          <w:rFonts w:ascii="Times New Roman" w:cs="Times New Roman" w:eastAsia="Times New Roman" w:hAnsi="Times New Roman"/>
          <w:sz w:val="22"/>
          <w:szCs w:val="22"/>
          <w:color w:val="auto"/>
        </w:rPr>
      </w:pPr>
    </w:p>
    <w:p>
      <w:pPr>
        <w:ind w:right="320" w:firstLine="1293"/>
        <w:spacing w:after="0" w:line="263" w:lineRule="auto"/>
        <w:tabs>
          <w:tab w:leader="none" w:pos="172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lease, or other disposition of Property of the Borrower or any Restricted Subsidiary (including any disposition of Property as part of a sale and leaseback transaction) aggregating for the Borrower and its Restricted Subsidiaries not more than $200 million during any fiscal year of the Borrower;</w:t>
      </w:r>
    </w:p>
    <w:p>
      <w:pPr>
        <w:spacing w:after="0" w:line="167" w:lineRule="exact"/>
        <w:rPr>
          <w:rFonts w:ascii="Times New Roman" w:cs="Times New Roman" w:eastAsia="Times New Roman" w:hAnsi="Times New Roman"/>
          <w:sz w:val="22"/>
          <w:szCs w:val="22"/>
          <w:color w:val="auto"/>
        </w:rPr>
      </w:pPr>
    </w:p>
    <w:p>
      <w:pPr>
        <w:ind w:right="520" w:firstLine="1293"/>
        <w:spacing w:after="0" w:line="284" w:lineRule="auto"/>
        <w:tabs>
          <w:tab w:leader="none" w:pos="172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sublease, license (or cross-license) or sublicense (or cross-sublicense) of real or personal property in the ordinary course of business;</w:t>
      </w:r>
    </w:p>
    <w:p>
      <w:pPr>
        <w:spacing w:after="0" w:line="144" w:lineRule="exact"/>
        <w:rPr>
          <w:rFonts w:ascii="Times New Roman" w:cs="Times New Roman" w:eastAsia="Times New Roman" w:hAnsi="Times New Roman"/>
          <w:sz w:val="22"/>
          <w:szCs w:val="22"/>
          <w:color w:val="auto"/>
        </w:rPr>
      </w:pPr>
    </w:p>
    <w:p>
      <w:pPr>
        <w:ind w:right="280" w:firstLine="1293"/>
        <w:spacing w:after="0" w:line="253" w:lineRule="auto"/>
        <w:tabs>
          <w:tab w:leader="none" w:pos="168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of intellectual property rights (to the extent constituting discontinuing the use or maintenance of, failing to pursue, or otherwise abandon, allowing to lapse, terminating or putting into the public domain, any intellectual property), in each case, in the ordinary course of business or if the Borrower or any Restricted Subsidiary determines in its reasonable business judgment that such disposed of intellectual property is no longer economical or of strategic benefit;</w:t>
      </w:r>
    </w:p>
    <w:p>
      <w:pPr>
        <w:sectPr>
          <w:pgSz w:w="11900" w:h="16838" w:orient="portrait"/>
          <w:cols w:equalWidth="0" w:num="1">
            <w:col w:w="10760"/>
          </w:cols>
          <w:pgMar w:left="900" w:top="621" w:right="239" w:bottom="1440" w:gutter="0" w:footer="0" w:header="0"/>
        </w:sectPr>
      </w:pPr>
    </w:p>
    <w:bookmarkStart w:id="272" w:name="page273"/>
    <w:bookmarkEnd w:id="272"/>
    <w:p>
      <w:pPr>
        <w:ind w:left="4" w:right="80" w:firstLine="1293"/>
        <w:spacing w:after="0" w:line="263" w:lineRule="auto"/>
        <w:tabs>
          <w:tab w:leader="none" w:pos="168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disposal of property (including like-kind exchanges) to the extent that (i) such property is exchanged for credit against the purchase price of similar replacement property or (ii) the proceeds of such disposition are promptly applied to the purchase price of such replacement property;</w:t>
      </w:r>
    </w:p>
    <w:p>
      <w:pPr>
        <w:spacing w:after="0" w:line="167" w:lineRule="exact"/>
        <w:rPr>
          <w:rFonts w:ascii="Times New Roman" w:cs="Times New Roman" w:eastAsia="Times New Roman" w:hAnsi="Times New Roman"/>
          <w:sz w:val="22"/>
          <w:szCs w:val="22"/>
          <w:color w:val="auto"/>
        </w:rPr>
      </w:pPr>
    </w:p>
    <w:p>
      <w:pPr>
        <w:jc w:val="both"/>
        <w:ind w:left="4" w:right="300" w:firstLine="1293"/>
        <w:spacing w:after="0" w:line="263" w:lineRule="auto"/>
        <w:tabs>
          <w:tab w:leader="none" w:pos="173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disposal of investments in joint ventures to the extent required by, or made pursuant to customary buy/sell arrangements between, the joint venture parties set forth in joint venture arrangements or similar binding arrangements;</w:t>
      </w:r>
    </w:p>
    <w:p>
      <w:pPr>
        <w:spacing w:after="0" w:line="167" w:lineRule="exact"/>
        <w:rPr>
          <w:rFonts w:ascii="Times New Roman" w:cs="Times New Roman" w:eastAsia="Times New Roman" w:hAnsi="Times New Roman"/>
          <w:sz w:val="22"/>
          <w:szCs w:val="22"/>
          <w:color w:val="auto"/>
        </w:rPr>
      </w:pPr>
    </w:p>
    <w:p>
      <w:pPr>
        <w:ind w:left="1684" w:hanging="387"/>
        <w:spacing w:after="0"/>
        <w:tabs>
          <w:tab w:leader="none" w:pos="168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permitted by Section 6.17;</w:t>
      </w:r>
    </w:p>
    <w:p>
      <w:pPr>
        <w:spacing w:after="0" w:line="233" w:lineRule="exact"/>
        <w:rPr>
          <w:rFonts w:ascii="Times New Roman" w:cs="Times New Roman" w:eastAsia="Times New Roman" w:hAnsi="Times New Roman"/>
          <w:sz w:val="22"/>
          <w:szCs w:val="22"/>
          <w:color w:val="auto"/>
        </w:rPr>
      </w:pPr>
    </w:p>
    <w:p>
      <w:pPr>
        <w:ind w:left="4" w:right="40" w:firstLine="1293"/>
        <w:spacing w:after="0" w:line="284" w:lineRule="auto"/>
        <w:tabs>
          <w:tab w:leader="none" w:pos="179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(to the extent prohibited by this Section 6.16) and the sale of Property of Loan Parties to non-Loan Party Subsidiaries as part of the Intercompany Transactions;</w:t>
      </w:r>
    </w:p>
    <w:p>
      <w:pPr>
        <w:spacing w:after="0" w:line="144" w:lineRule="exact"/>
        <w:rPr>
          <w:rFonts w:ascii="Times New Roman" w:cs="Times New Roman" w:eastAsia="Times New Roman" w:hAnsi="Times New Roman"/>
          <w:sz w:val="22"/>
          <w:szCs w:val="22"/>
          <w:color w:val="auto"/>
        </w:rPr>
      </w:pPr>
    </w:p>
    <w:p>
      <w:pPr>
        <w:ind w:left="1724" w:hanging="427"/>
        <w:spacing w:after="0"/>
        <w:tabs>
          <w:tab w:leader="none" w:pos="172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unwinding of any Hedge Agreement;</w:t>
      </w:r>
    </w:p>
    <w:p>
      <w:pPr>
        <w:spacing w:after="0" w:line="233" w:lineRule="exact"/>
        <w:rPr>
          <w:rFonts w:ascii="Times New Roman" w:cs="Times New Roman" w:eastAsia="Times New Roman" w:hAnsi="Times New Roman"/>
          <w:sz w:val="22"/>
          <w:szCs w:val="22"/>
          <w:color w:val="auto"/>
        </w:rPr>
      </w:pPr>
    </w:p>
    <w:p>
      <w:pPr>
        <w:ind w:left="4" w:right="360" w:firstLine="1293"/>
        <w:spacing w:after="0" w:line="263" w:lineRule="auto"/>
        <w:tabs>
          <w:tab w:leader="none" w:pos="173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of any asset between or among the Borrower and/or its Restricted Subsidiaries as a substantially concurrent interim disposition in connection with a disposition otherwise permitted pursuant to clauses (a) through (t) (other than this clause (o) and clause (r)) of this Section 6.16;</w:t>
      </w:r>
    </w:p>
    <w:p>
      <w:pPr>
        <w:spacing w:after="0" w:line="167" w:lineRule="exact"/>
        <w:rPr>
          <w:rFonts w:ascii="Times New Roman" w:cs="Times New Roman" w:eastAsia="Times New Roman" w:hAnsi="Times New Roman"/>
          <w:sz w:val="22"/>
          <w:szCs w:val="22"/>
          <w:color w:val="auto"/>
        </w:rPr>
      </w:pPr>
    </w:p>
    <w:p>
      <w:pPr>
        <w:jc w:val="both"/>
        <w:ind w:left="4" w:right="180" w:firstLine="1293"/>
        <w:spacing w:after="0" w:line="273" w:lineRule="auto"/>
        <w:tabs>
          <w:tab w:leader="none" w:pos="1732"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transfer or other disposition of Property of the Borrower or any Restricted Subsidiary for fair market value so long as (i) with respect to dispositions in an aggregate amount in excess of the greater of $75 million and</w:t>
      </w:r>
    </w:p>
    <w:p>
      <w:pPr>
        <w:spacing w:after="0" w:line="1" w:lineRule="exact"/>
        <w:rPr>
          <w:rFonts w:ascii="Times New Roman" w:cs="Times New Roman" w:eastAsia="Times New Roman" w:hAnsi="Times New Roman"/>
          <w:sz w:val="21"/>
          <w:szCs w:val="21"/>
          <w:color w:val="auto"/>
        </w:rPr>
      </w:pPr>
    </w:p>
    <w:p>
      <w:pPr>
        <w:ind w:left="4"/>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0.25% of Consolidated Total Assets (measured as of the date of such sale, transfer or other disposition and based upon the financial statements most recently delivered on or prior to such date pursuant to Section 6.1, but giving effect to any Specified Transaction occurring thereafter and on or prior to the date of determination), at least 75.00% of the consideration for such disposition shall consist of cash or Cash Equivalents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of the 75.00% cash consideration requirement, (w) the amount of any Indebtedness or other liabilities of the Borrower or any Restricted Subsidiary (as shown on such person’s most recent balance sheet or in the notes thereto) that are assumed by the transferee of any such assets,</w:t>
      </w:r>
    </w:p>
    <w:p>
      <w:pPr>
        <w:ind w:left="4" w:hanging="4"/>
        <w:spacing w:after="0" w:line="244" w:lineRule="auto"/>
        <w:tabs>
          <w:tab w:leader="none" w:pos="31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trade-in value applied to the purchase price of any replacement assets acquired in connection with such disposition, (y) any securities received by the Borrower or such Restricted Subsidiary from such transferee that are converted by the Borrower or such Restricted Subsidiary into cash or Cash Equivalents (to the extent of the cash or Cash Equivalents received) following the closing of the applicable disposition and (z) any Designated Non-Cash Consideration received in respect of such disposition having an aggregate fair market value, taken together with all other Designated Non-Cash Consideration received pursuant to this</w:t>
      </w:r>
    </w:p>
    <w:p>
      <w:pPr>
        <w:sectPr>
          <w:pgSz w:w="11900" w:h="16838" w:orient="portrait"/>
          <w:cols w:equalWidth="0" w:num="1">
            <w:col w:w="10704"/>
          </w:cols>
          <w:pgMar w:left="896" w:top="626" w:right="299" w:bottom="1440" w:gutter="0" w:footer="0" w:header="0"/>
        </w:sectPr>
      </w:pPr>
    </w:p>
    <w:bookmarkStart w:id="273" w:name="page274"/>
    <w:bookmarkEnd w:id="273"/>
    <w:p>
      <w:pPr>
        <w:ind w:right="60"/>
        <w:spacing w:after="0" w:line="252" w:lineRule="auto"/>
        <w:rPr>
          <w:sz w:val="20"/>
          <w:szCs w:val="20"/>
          <w:color w:val="auto"/>
        </w:rPr>
      </w:pPr>
      <w:r>
        <w:rPr>
          <w:rFonts w:ascii="Times New Roman" w:cs="Times New Roman" w:eastAsia="Times New Roman" w:hAnsi="Times New Roman"/>
          <w:sz w:val="22"/>
          <w:szCs w:val="22"/>
          <w:color w:val="auto"/>
        </w:rPr>
        <w:t>clause (z) that is at that time outstanding, not in excess of the greater of $400 million and 2.25% of Consolidated Total Assets, in each case, shall be deemed to be cash), (ii) the Net Cash Proceeds of such disposition are applied in accordance with Section 2.8(c)(ii) and (iii) no Event of Default has occurred and is continuing or would result therefrom (determined at the time of the agreement);</w:t>
      </w:r>
    </w:p>
    <w:p>
      <w:pPr>
        <w:spacing w:after="0" w:line="180" w:lineRule="exact"/>
        <w:rPr>
          <w:sz w:val="20"/>
          <w:szCs w:val="20"/>
          <w:color w:val="auto"/>
        </w:rPr>
      </w:pPr>
    </w:p>
    <w:p>
      <w:pPr>
        <w:ind w:firstLine="1293"/>
        <w:spacing w:after="0" w:line="261" w:lineRule="auto"/>
        <w:tabs>
          <w:tab w:leader="none" w:pos="1729"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transfer or other disposition of any assets acquired in connection with any acquisition permitted under this Agreement (including any Permitted Acquisition) so long as (i) such disposition is made or contractually committed to be made within three hundred and sixty-five (365) days of the date such assets were acquired by the Borrower or such Subsidiary or such later date as the Borrower and the Administrative Agent may agree, (ii) the Borrower and its Restricted Subsidiaries are in compliance, on a Pro Forma Basis, with Section 6.22(a) and (iii) with respect to dispositions in an aggregate amount in excess of the greater of $75 million and 0.25% of Consolidated Total Assets (measured as of the date of such sale, transfer or other disposition and based upon the financial statements most recently delivered on or prior to such date pursuant to Section 6.1, but giving effect to any Specified Transaction occurring thereafter and on or prior to the date of determination), at least 75.00% of the consideration for such disposition shall consist of cash or Cash Equivalents (subject to the exceptions listed in clauses (w) through (z) of Section 6.16(p) above);</w:t>
      </w:r>
    </w:p>
    <w:p>
      <w:pPr>
        <w:spacing w:after="0" w:line="169" w:lineRule="exact"/>
        <w:rPr>
          <w:rFonts w:ascii="Times New Roman" w:cs="Times New Roman" w:eastAsia="Times New Roman" w:hAnsi="Times New Roman"/>
          <w:sz w:val="21"/>
          <w:szCs w:val="21"/>
          <w:color w:val="auto"/>
        </w:rPr>
      </w:pPr>
    </w:p>
    <w:p>
      <w:pPr>
        <w:ind w:firstLine="1293"/>
        <w:spacing w:after="0" w:line="257" w:lineRule="auto"/>
        <w:tabs>
          <w:tab w:leader="none" w:pos="169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(i) of any assets required by any antitrust authority or other regulatory authority in connection with the Schrader Acquisition or (ii) that are part of any intercompany restructuring in connection with requirements imposed by the Ministry of Commerce of the People’s Republic of China within 24 months of the Escrow Release Date (the “</w:t>
      </w:r>
      <w:r>
        <w:rPr>
          <w:rFonts w:ascii="Times New Roman" w:cs="Times New Roman" w:eastAsia="Times New Roman" w:hAnsi="Times New Roman"/>
          <w:sz w:val="22"/>
          <w:szCs w:val="22"/>
          <w:i w:val="1"/>
          <w:iCs w:val="1"/>
          <w:color w:val="auto"/>
        </w:rPr>
        <w:t>MOFCOM Restructuring</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right="120" w:firstLine="1293"/>
        <w:spacing w:after="0" w:line="263" w:lineRule="auto"/>
        <w:tabs>
          <w:tab w:leader="none" w:pos="170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pursuant to one or more sale-leaseback transactions in an amount not to exceed $1,000 million and dispositions of precious metals and/or commodities in connection with Indebtedness permitted under Section 6.14(I)(d)(ii) or Section 6.14(II)(d)(ii), as applicable;</w:t>
      </w:r>
    </w:p>
    <w:p>
      <w:pPr>
        <w:spacing w:after="0" w:line="167" w:lineRule="exact"/>
        <w:rPr>
          <w:rFonts w:ascii="Times New Roman" w:cs="Times New Roman" w:eastAsia="Times New Roman" w:hAnsi="Times New Roman"/>
          <w:sz w:val="22"/>
          <w:szCs w:val="22"/>
          <w:color w:val="auto"/>
        </w:rPr>
      </w:pPr>
    </w:p>
    <w:p>
      <w:pPr>
        <w:ind w:firstLine="1293"/>
        <w:spacing w:after="0" w:line="257" w:lineRule="auto"/>
        <w:tabs>
          <w:tab w:leader="none" w:pos="168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condemned property as a result of the exercise of “eminent domain” or other similar powers to the respective Governmental Authority or agency that has condemned the same (whether by deed in lieu of condemnation or otherwise), and transfers of property that have been subject to a casualty to the respective insurer of such real property as part of an insurance settlement; and</w:t>
      </w:r>
    </w:p>
    <w:p>
      <w:pPr>
        <w:spacing w:after="0" w:line="172" w:lineRule="exact"/>
        <w:rPr>
          <w:rFonts w:ascii="Times New Roman" w:cs="Times New Roman" w:eastAsia="Times New Roman" w:hAnsi="Times New Roman"/>
          <w:sz w:val="22"/>
          <w:szCs w:val="22"/>
          <w:color w:val="auto"/>
        </w:rPr>
      </w:pPr>
    </w:p>
    <w:p>
      <w:pPr>
        <w:ind w:right="600" w:firstLine="1293"/>
        <w:spacing w:after="0" w:line="282" w:lineRule="auto"/>
        <w:tabs>
          <w:tab w:leader="none" w:pos="1729"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an Unsecured Covenants Period is in effect, the conveyance, sale, lease, transfer or other disposition of Property by the Borrower and the Restricted Subsidiaries so long as (i) the Borrower or such Restricted Subsidiary does not sell, transfer or dispose of all or substantially all of the properties and assets of the Borrower</w:t>
      </w:r>
    </w:p>
    <w:p>
      <w:pPr>
        <w:sectPr>
          <w:pgSz w:w="11900" w:h="16838" w:orient="portrait"/>
          <w:cols w:equalWidth="0" w:num="1">
            <w:col w:w="10760"/>
          </w:cols>
          <w:pgMar w:left="900" w:top="625" w:right="239" w:bottom="1440" w:gutter="0" w:footer="0" w:header="0"/>
        </w:sectPr>
      </w:pPr>
    </w:p>
    <w:bookmarkStart w:id="274" w:name="page275"/>
    <w:bookmarkEnd w:id="274"/>
    <w:p>
      <w:pPr>
        <w:ind w:left="660"/>
        <w:spacing w:after="0"/>
        <w:rPr>
          <w:sz w:val="20"/>
          <w:szCs w:val="20"/>
          <w:color w:val="auto"/>
        </w:rPr>
      </w:pPr>
      <w:r>
        <w:rPr>
          <w:rFonts w:ascii="Times New Roman" w:cs="Times New Roman" w:eastAsia="Times New Roman" w:hAnsi="Times New Roman"/>
          <w:sz w:val="22"/>
          <w:szCs w:val="22"/>
          <w:color w:val="auto"/>
        </w:rPr>
        <w:t>and the Restricted Subsidiaries, taken as a whole and (ii) no Event of Default then exists or would result therefrom.</w:t>
      </w:r>
    </w:p>
    <w:p>
      <w:pPr>
        <w:spacing w:after="0" w:line="220" w:lineRule="exact"/>
        <w:rPr>
          <w:sz w:val="20"/>
          <w:szCs w:val="20"/>
          <w:color w:val="auto"/>
        </w:rPr>
      </w:pPr>
    </w:p>
    <w:p>
      <w:pPr>
        <w:ind w:right="400" w:firstLine="1297"/>
        <w:spacing w:after="0" w:line="257" w:lineRule="auto"/>
        <w:rPr>
          <w:sz w:val="20"/>
          <w:szCs w:val="20"/>
          <w:color w:val="auto"/>
        </w:rPr>
      </w:pPr>
      <w:r>
        <w:rPr>
          <w:rFonts w:ascii="Times New Roman" w:cs="Times New Roman" w:eastAsia="Times New Roman" w:hAnsi="Times New Roman"/>
          <w:sz w:val="22"/>
          <w:szCs w:val="22"/>
          <w:color w:val="auto"/>
        </w:rPr>
        <w:t>To the extent any Collateral is disposed of as expressly permitted by this Section 6.16 to any Person other than a Loan Party, such Collateral shall automatically be sold free and clear of the Liens created by the Loan Documents, and the Administrative Agent shall be authorized to take any actions deemed appropriate in order to effect the foregoing.</w:t>
      </w:r>
    </w:p>
    <w:p>
      <w:pPr>
        <w:spacing w:after="0" w:line="169" w:lineRule="exact"/>
        <w:rPr>
          <w:sz w:val="20"/>
          <w:szCs w:val="20"/>
          <w:color w:val="auto"/>
        </w:rPr>
      </w:pPr>
    </w:p>
    <w:p>
      <w:pPr>
        <w:ind w:right="60"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6.17 </w:t>
      </w:r>
      <w:r>
        <w:rPr>
          <w:rFonts w:ascii="Times New Roman" w:cs="Times New Roman" w:eastAsia="Times New Roman" w:hAnsi="Times New Roman"/>
          <w:sz w:val="22"/>
          <w:szCs w:val="22"/>
          <w:i w:val="1"/>
          <w:iCs w:val="1"/>
          <w:color w:val="auto"/>
        </w:rPr>
        <w:t>Advances, Investments and Loans</w:t>
      </w:r>
      <w:r>
        <w:rPr>
          <w:rFonts w:ascii="Times New Roman" w:cs="Times New Roman" w:eastAsia="Times New Roman" w:hAnsi="Times New Roman"/>
          <w:sz w:val="18"/>
          <w:szCs w:val="18"/>
          <w:color w:val="auto"/>
        </w:rPr>
        <w:t>. The Borrower will not, and will not permit any of its Restricted Subsidiaries to make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loans or advances to (other than advances to customers in the ordinary course of business that are recorded as accounts receivable on the balance sheet of the lender or advances for the purpose of prepaying depreciation costs of joint ventures), guarantee any obligations of, or make, retain or have outstanding any investments (whether through purchase of Equity Interests or debt obligations) in, any Person or enter into any partnerships or joint ventures, or purchase or own a futures contract or otherwise become liable for the purchase or sale of currency or other commodities at a future date in the nature of a futures contract (all of the foregoing, collectively,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except that this Section 6.17 shall not prevent:</w:t>
      </w:r>
    </w:p>
    <w:p>
      <w:pPr>
        <w:spacing w:after="0" w:line="178" w:lineRule="exact"/>
        <w:rPr>
          <w:sz w:val="20"/>
          <w:szCs w:val="20"/>
          <w:color w:val="auto"/>
        </w:rPr>
      </w:pPr>
    </w:p>
    <w:p>
      <w:pPr>
        <w:ind w:left="1720" w:hanging="415"/>
        <w:spacing w:after="0"/>
        <w:tabs>
          <w:tab w:leader="none" w:pos="172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receivables created in the ordinary course of business;</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Equivalents;</w:t>
      </w:r>
    </w:p>
    <w:p>
      <w:pPr>
        <w:spacing w:after="0" w:line="233" w:lineRule="exact"/>
        <w:rPr>
          <w:rFonts w:ascii="Times New Roman" w:cs="Times New Roman" w:eastAsia="Times New Roman" w:hAnsi="Times New Roman"/>
          <w:sz w:val="22"/>
          <w:szCs w:val="22"/>
          <w:color w:val="auto"/>
        </w:rPr>
      </w:pPr>
    </w:p>
    <w:p>
      <w:pPr>
        <w:ind w:left="660" w:right="400" w:firstLine="645"/>
        <w:spacing w:after="0" w:line="263" w:lineRule="auto"/>
        <w:tabs>
          <w:tab w:leader="none" w:pos="172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received in connection with the bankruptcy or reorganization of a Person and in settlement of delinquent obligations of, and other disputes with, a Person arising in the ordinary course of business;</w:t>
      </w:r>
    </w:p>
    <w:p>
      <w:pPr>
        <w:spacing w:after="0" w:line="167" w:lineRule="exact"/>
        <w:rPr>
          <w:rFonts w:ascii="Times New Roman" w:cs="Times New Roman" w:eastAsia="Times New Roman" w:hAnsi="Times New Roman"/>
          <w:sz w:val="22"/>
          <w:szCs w:val="22"/>
          <w:color w:val="auto"/>
        </w:rPr>
      </w:pPr>
    </w:p>
    <w:p>
      <w:pPr>
        <w:ind w:left="660" w:firstLine="645"/>
        <w:spacing w:after="0" w:line="248" w:lineRule="auto"/>
        <w:tabs>
          <w:tab w:leader="none" w:pos="17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Borrower’s equity investments from time to time in its Restricted Subsidiaries and (ii) investments made from time to time by a Restricted Subsidiary in the Borrower or one (1) or more of its Restricted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solely during a Secured Covenants Period, the aggregate amount of any such investments made by any Loan Party in any Restricted Subsidiary which is not a Loan Party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intercompany advances by a Loan Party to any Restricted Subsidiary which is not a Loan Party permitted by Section 6.17(e) hereof shall not exceed the greater of $300 million and 1.00% of Consolidated Total Assets (measured as of the date of such investment and based upon the financial statements most recently delivered on or prior to such date pursuant to Section 6.1, but giving effect to any Specified Transaction occurring thereafter and on or prior to the date of determination)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amounts utilized under clause (b)(iv) of the definition of “Permitted Acquisition”;</w:t>
      </w:r>
    </w:p>
    <w:p>
      <w:pPr>
        <w:spacing w:after="0" w:line="186" w:lineRule="exact"/>
        <w:rPr>
          <w:rFonts w:ascii="Times New Roman" w:cs="Times New Roman" w:eastAsia="Times New Roman" w:hAnsi="Times New Roman"/>
          <w:sz w:val="22"/>
          <w:szCs w:val="22"/>
          <w:color w:val="auto"/>
        </w:rPr>
      </w:pPr>
    </w:p>
    <w:p>
      <w:pPr>
        <w:jc w:val="both"/>
        <w:ind w:left="660" w:right="80" w:firstLine="645"/>
        <w:spacing w:after="0" w:line="257" w:lineRule="auto"/>
        <w:tabs>
          <w:tab w:leader="none" w:pos="172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intercompany advances (including in the form of a guarantee for the benefit of such Person) made from time to time from (i) the Borrower to any one (1) or more Restricted Subsidiaries, (ii) from one (1) or more Restricted Subsidiaries to the Borrower and (iii) from one (1) or more Restricted Subsidiaries to one (1) or more Restricted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solely during a Secured Covenants Period, the</w:t>
      </w:r>
    </w:p>
    <w:p>
      <w:pPr>
        <w:sectPr>
          <w:pgSz w:w="11900" w:h="16838" w:orient="portrait"/>
          <w:cols w:equalWidth="0" w:num="1">
            <w:col w:w="11400"/>
          </w:cols>
          <w:pgMar w:left="240" w:top="625" w:right="259" w:bottom="1440" w:gutter="0" w:footer="0" w:header="0"/>
        </w:sectPr>
      </w:pPr>
    </w:p>
    <w:bookmarkStart w:id="275" w:name="page276"/>
    <w:bookmarkEnd w:id="275"/>
    <w:p>
      <w:pPr>
        <w:ind w:right="40"/>
        <w:spacing w:after="0" w:line="249" w:lineRule="auto"/>
        <w:rPr>
          <w:sz w:val="20"/>
          <w:szCs w:val="20"/>
          <w:color w:val="auto"/>
        </w:rPr>
      </w:pPr>
      <w:r>
        <w:rPr>
          <w:rFonts w:ascii="Times New Roman" w:cs="Times New Roman" w:eastAsia="Times New Roman" w:hAnsi="Times New Roman"/>
          <w:sz w:val="22"/>
          <w:szCs w:val="22"/>
          <w:color w:val="auto"/>
        </w:rPr>
        <w:t xml:space="preserve">aggregate amount of any such advances made by a Loan Party to a Restricted Subsidiary that is not a Loan Party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equity investments by any Loan Party in any Restricted Subsidiary which is not a Loan Party permitted by Section 6.17(d) hereof shall not exceed the greater of $300 million and 1.00% of Consolidated Total Assets (measured as of the date of such advance and based upon the financial statements most recently delivered on or prior to such date pursuant to Section 6.1, but giving effect to any Specified Transaction occurring thereafter and on or prior to the date of determination)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amounts utilized under clause (b)(iv) of the definition of “Permitted Acquisition”;</w:t>
      </w:r>
    </w:p>
    <w:p>
      <w:pPr>
        <w:spacing w:after="0" w:line="185" w:lineRule="exact"/>
        <w:rPr>
          <w:sz w:val="20"/>
          <w:szCs w:val="20"/>
          <w:color w:val="auto"/>
        </w:rPr>
      </w:pPr>
    </w:p>
    <w:p>
      <w:pPr>
        <w:ind w:firstLine="645"/>
        <w:spacing w:after="0" w:line="248" w:lineRule="auto"/>
        <w:tabs>
          <w:tab w:leader="none" w:pos="104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investments (including investments in joint ventures or similar entities that do not constitute Restricted Subsidiaries), in each case, as valued at the fair market value of such investment at the time each such investment is made, in an aggregate amount for all such investments under this clause (f) that, at the time such investment is made, would not exceed the sum of (i) the greater of $900 million and 3.00% of Consolidated Total Assets (measured as of the date of such investment and based upon the financial statements most recently delivered on or prior to such date pursuant to Section 6.1, but giving effect to any Specified Transaction occurring thereafter and on or prior to the date of determination)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amount of any returns of capital, dividends or other distributions received in connection with such investment (not to exceed the original amount of the investment)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amounts utilized under clause (b)(iii) of the definition of “Permitted Acquisition”;</w:t>
      </w:r>
    </w:p>
    <w:p>
      <w:pPr>
        <w:spacing w:after="0" w:line="186" w:lineRule="exact"/>
        <w:rPr>
          <w:rFonts w:ascii="Times New Roman" w:cs="Times New Roman" w:eastAsia="Times New Roman" w:hAnsi="Times New Roman"/>
          <w:sz w:val="22"/>
          <w:szCs w:val="22"/>
          <w:color w:val="auto"/>
        </w:rPr>
      </w:pPr>
    </w:p>
    <w:p>
      <w:pPr>
        <w:ind w:right="80" w:firstLine="645"/>
        <w:spacing w:after="0" w:line="251" w:lineRule="auto"/>
        <w:tabs>
          <w:tab w:leader="none" w:pos="10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and advances to officers, directors, employees and consultants of the Borrower or any of its Restricted Subsidiaries for reasonable and customary business related travel expenses, entertainment expenses, moving expenses and similar expenses, in each case incurred in the ordinary course of business and advances of payroll payments to employees, consultants or independent contractors or other advances of salaries or compensation to employees, consultants or independent contractors, in each case in the ordinary course of business;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such loan in advance outstanding at any time shall not exceed $10 million;</w:t>
      </w:r>
    </w:p>
    <w:p>
      <w:pPr>
        <w:spacing w:after="0" w:line="181" w:lineRule="exact"/>
        <w:rPr>
          <w:rFonts w:ascii="Times New Roman" w:cs="Times New Roman" w:eastAsia="Times New Roman" w:hAnsi="Times New Roman"/>
          <w:sz w:val="22"/>
          <w:szCs w:val="22"/>
          <w:color w:val="auto"/>
        </w:rPr>
      </w:pPr>
    </w:p>
    <w:p>
      <w:pPr>
        <w:ind w:right="160" w:firstLine="645"/>
        <w:spacing w:after="0" w:line="284" w:lineRule="auto"/>
        <w:tabs>
          <w:tab w:leader="none" w:pos="10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an investment, Hedge Agreements permitted by Section 6.14(I)(a) and (b) or Section 6.14(II)(a) and (b), as applicable;</w:t>
      </w:r>
    </w:p>
    <w:p>
      <w:pPr>
        <w:spacing w:after="0" w:line="144" w:lineRule="exact"/>
        <w:rPr>
          <w:rFonts w:ascii="Times New Roman" w:cs="Times New Roman" w:eastAsia="Times New Roman" w:hAnsi="Times New Roman"/>
          <w:sz w:val="22"/>
          <w:szCs w:val="22"/>
          <w:color w:val="auto"/>
        </w:rPr>
      </w:pPr>
    </w:p>
    <w:p>
      <w:pPr>
        <w:ind w:right="160" w:firstLine="645"/>
        <w:spacing w:after="0" w:line="284" w:lineRule="auto"/>
        <w:tabs>
          <w:tab w:leader="none" w:pos="103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upon the foreclosure with respect to any secured investment or other transfer of title with respect to any secured investment;</w:t>
      </w:r>
    </w:p>
    <w:p>
      <w:pPr>
        <w:spacing w:after="0" w:line="144" w:lineRule="exact"/>
        <w:rPr>
          <w:rFonts w:ascii="Times New Roman" w:cs="Times New Roman" w:eastAsia="Times New Roman" w:hAnsi="Times New Roman"/>
          <w:sz w:val="22"/>
          <w:szCs w:val="22"/>
          <w:color w:val="auto"/>
        </w:rPr>
      </w:pPr>
    </w:p>
    <w:p>
      <w:pPr>
        <w:ind w:right="20" w:firstLine="645"/>
        <w:spacing w:after="0" w:line="284" w:lineRule="auto"/>
        <w:tabs>
          <w:tab w:leader="none" w:pos="103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ordinary course of business consisting of Article 3 endorsements for collection or deposit and Article 4 customary trade arrangements with customers consistent with past practices;</w:t>
      </w:r>
    </w:p>
    <w:p>
      <w:pPr>
        <w:sectPr>
          <w:pgSz w:w="11900" w:h="16838" w:orient="portrait"/>
          <w:cols w:equalWidth="0" w:num="1">
            <w:col w:w="10760"/>
          </w:cols>
          <w:pgMar w:left="900" w:top="621" w:right="239" w:bottom="1440" w:gutter="0" w:footer="0" w:header="0"/>
        </w:sectPr>
      </w:pPr>
    </w:p>
    <w:bookmarkStart w:id="276" w:name="page277"/>
    <w:bookmarkEnd w:id="276"/>
    <w:p>
      <w:pPr>
        <w:ind w:left="-540" w:right="500" w:firstLine="645"/>
        <w:spacing w:after="0" w:line="263" w:lineRule="auto"/>
        <w:tabs>
          <w:tab w:leader="none" w:pos="5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the Borrower or any Restricted Subsidiary of leases (other than Capital Leases) or of other obligations that do not constitute indebtedness for borrowed money, in each case entered into in the ordinary course of business;</w:t>
      </w:r>
    </w:p>
    <w:p>
      <w:pPr>
        <w:spacing w:after="0" w:line="167" w:lineRule="exact"/>
        <w:rPr>
          <w:rFonts w:ascii="Times New Roman" w:cs="Times New Roman" w:eastAsia="Times New Roman" w:hAnsi="Times New Roman"/>
          <w:sz w:val="22"/>
          <w:szCs w:val="22"/>
          <w:color w:val="auto"/>
        </w:rPr>
      </w:pPr>
    </w:p>
    <w:p>
      <w:pPr>
        <w:ind w:left="-540" w:right="40" w:firstLine="645"/>
        <w:spacing w:after="0" w:line="284" w:lineRule="auto"/>
        <w:tabs>
          <w:tab w:leader="none" w:pos="49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Schrader Acquisition, (ii) Permitted Acquisitions and (iii) investments by Restricted Subsidiaries that are not Loan Parties in Persons that become Restricted Subsidiaries as a result of such investment;</w:t>
      </w:r>
    </w:p>
    <w:p>
      <w:pPr>
        <w:spacing w:after="0" w:line="144" w:lineRule="exact"/>
        <w:rPr>
          <w:rFonts w:ascii="Times New Roman" w:cs="Times New Roman" w:eastAsia="Times New Roman" w:hAnsi="Times New Roman"/>
          <w:sz w:val="22"/>
          <w:szCs w:val="22"/>
          <w:color w:val="auto"/>
        </w:rPr>
      </w:pPr>
    </w:p>
    <w:p>
      <w:pPr>
        <w:ind w:left="-540" w:right="140" w:firstLine="645"/>
        <w:spacing w:after="0" w:line="284" w:lineRule="auto"/>
        <w:tabs>
          <w:tab w:leader="none" w:pos="60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Restricted Subsidiaries for the purpose of consummating transactions permitted under Section 6.16(o) or any Permitted Acquisition;</w:t>
      </w:r>
    </w:p>
    <w:p>
      <w:pPr>
        <w:spacing w:after="0" w:line="144" w:lineRule="exact"/>
        <w:rPr>
          <w:rFonts w:ascii="Times New Roman" w:cs="Times New Roman" w:eastAsia="Times New Roman" w:hAnsi="Times New Roman"/>
          <w:sz w:val="22"/>
          <w:szCs w:val="22"/>
          <w:color w:val="auto"/>
        </w:rPr>
      </w:pPr>
    </w:p>
    <w:p>
      <w:pPr>
        <w:ind w:left="-540" w:right="20" w:firstLine="645"/>
        <w:spacing w:after="0" w:line="284" w:lineRule="auto"/>
        <w:tabs>
          <w:tab w:leader="none" w:pos="5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under Sections 6.14 (excluding clause (I)(c) and (II)(c)), 6.15 (excluding clause (I)(o)(ii) and (II)(o)(ii)), 6.16 (excluding clause (l)) and 6.18;</w:t>
      </w:r>
    </w:p>
    <w:p>
      <w:pPr>
        <w:spacing w:after="0" w:line="144" w:lineRule="exact"/>
        <w:rPr>
          <w:rFonts w:ascii="Times New Roman" w:cs="Times New Roman" w:eastAsia="Times New Roman" w:hAnsi="Times New Roman"/>
          <w:sz w:val="22"/>
          <w:szCs w:val="22"/>
          <w:color w:val="auto"/>
        </w:rPr>
      </w:pPr>
    </w:p>
    <w:p>
      <w:pPr>
        <w:ind w:left="-540" w:firstLine="645"/>
        <w:spacing w:after="0" w:line="250" w:lineRule="auto"/>
        <w:tabs>
          <w:tab w:leader="none" w:pos="5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loans and advances in addition to those otherwise permitted by this Section in an amount not to exceed the Available Amount in the aggregate at any one time outstanding (so long as (i) no Event of Default has occurred, is continuing or would result therefrom, (ii) the Borrower and its Restricted Subsidiaries are in compliance with Section 6.22 on a Pro Forma Basis, recomputed as of the last day of the most recently ended period for which financial statements have been or were required to be delivered pursuant to Section 6.1(a) or (b) and (iii) the Leverage Ratio, calculated on a Pro Forma Basis after giving effect to such Distribution, is less than the greater of 0.25x less than the applicable Leverage Ratio set forth in Section 6.22 (prior to giving effect to Amendment No. 9) and 3.75 to 1.00);</w:t>
      </w:r>
    </w:p>
    <w:p>
      <w:pPr>
        <w:spacing w:after="0" w:line="181" w:lineRule="exact"/>
        <w:rPr>
          <w:rFonts w:ascii="Times New Roman" w:cs="Times New Roman" w:eastAsia="Times New Roman" w:hAnsi="Times New Roman"/>
          <w:sz w:val="22"/>
          <w:szCs w:val="22"/>
          <w:color w:val="auto"/>
        </w:rPr>
      </w:pPr>
    </w:p>
    <w:p>
      <w:pPr>
        <w:ind w:left="-540" w:right="220" w:firstLine="645"/>
        <w:spacing w:after="0" w:line="284" w:lineRule="auto"/>
        <w:tabs>
          <w:tab w:leader="none" w:pos="5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consideration received in connection with any disposition or other transfer made in compliance with Section 6.16;</w:t>
      </w:r>
    </w:p>
    <w:p>
      <w:pPr>
        <w:spacing w:after="0" w:line="144" w:lineRule="exact"/>
        <w:rPr>
          <w:rFonts w:ascii="Times New Roman" w:cs="Times New Roman" w:eastAsia="Times New Roman" w:hAnsi="Times New Roman"/>
          <w:sz w:val="22"/>
          <w:szCs w:val="22"/>
          <w:color w:val="auto"/>
        </w:rPr>
      </w:pPr>
    </w:p>
    <w:p>
      <w:pPr>
        <w:ind w:left="-540" w:right="60" w:firstLine="645"/>
        <w:spacing w:after="0" w:line="251" w:lineRule="auto"/>
        <w:tabs>
          <w:tab w:leader="none" w:pos="5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investments, loans and advances existing on, or contractually committed as of, or pursuant to an agreement executed on or before Amendment No. 7 Effective Date as set forth on </w:t>
      </w:r>
      <w:r>
        <w:rPr>
          <w:rFonts w:ascii="Times New Roman" w:cs="Times New Roman" w:eastAsia="Times New Roman" w:hAnsi="Times New Roman"/>
          <w:sz w:val="22"/>
          <w:szCs w:val="22"/>
          <w:u w:val="single" w:color="auto"/>
          <w:color w:val="auto"/>
        </w:rPr>
        <w:t>Schedule 6.17</w:t>
      </w:r>
      <w:r>
        <w:rPr>
          <w:rFonts w:ascii="Times New Roman" w:cs="Times New Roman" w:eastAsia="Times New Roman" w:hAnsi="Times New Roman"/>
          <w:sz w:val="22"/>
          <w:szCs w:val="22"/>
          <w:color w:val="auto"/>
        </w:rPr>
        <w:t xml:space="preserve"> (as the same may be renewed, reinvested, refinanced or extended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any such investment or binding commitment may be increased (x) as required by the terms of such investment or binding commitment as in existence on the Amendment No. 7 Effective Date (including as a result of the accrual or accretion of interest or original issue discount or the issuance of pay-in-kind securities) or (y) as otherwise permitted under this Agreement;</w:t>
      </w:r>
    </w:p>
    <w:p>
      <w:pPr>
        <w:spacing w:after="0" w:line="181" w:lineRule="exact"/>
        <w:rPr>
          <w:rFonts w:ascii="Times New Roman" w:cs="Times New Roman" w:eastAsia="Times New Roman" w:hAnsi="Times New Roman"/>
          <w:sz w:val="22"/>
          <w:szCs w:val="22"/>
          <w:color w:val="auto"/>
        </w:rPr>
      </w:pPr>
    </w:p>
    <w:p>
      <w:pPr>
        <w:ind w:left="-540" w:right="20" w:firstLine="645"/>
        <w:spacing w:after="0" w:line="263" w:lineRule="auto"/>
        <w:tabs>
          <w:tab w:leader="none" w:pos="50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by any Restricted Subsidiary that is not a Loan Party to the extent such investments are made with the proceeds received by such Restricted Subsidiary from an investment made by a Loan Party in such Restricted Subsidiary pursuant to this Section 6.17;</w:t>
      </w:r>
    </w:p>
    <w:p>
      <w:pPr>
        <w:sectPr>
          <w:pgSz w:w="11900" w:h="16838" w:orient="portrait"/>
          <w:cols w:equalWidth="0" w:num="1">
            <w:col w:w="10180"/>
          </w:cols>
          <w:pgMar w:left="1440" w:top="625" w:right="279" w:bottom="1440" w:gutter="0" w:footer="0" w:header="0"/>
        </w:sectPr>
      </w:pPr>
    </w:p>
    <w:bookmarkStart w:id="277" w:name="page278"/>
    <w:bookmarkEnd w:id="277"/>
    <w:p>
      <w:pPr>
        <w:ind w:left="1060" w:hanging="415"/>
        <w:spacing w:after="0"/>
        <w:tabs>
          <w:tab w:leader="none" w:pos="106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the sole consideration for which is Equity Interests (other than Disqualified Equity Interests) of the</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Borrower;</w:t>
      </w:r>
    </w:p>
    <w:p>
      <w:pPr>
        <w:spacing w:after="0" w:line="207" w:lineRule="exact"/>
        <w:rPr>
          <w:rFonts w:ascii="Times New Roman" w:cs="Times New Roman" w:eastAsia="Times New Roman" w:hAnsi="Times New Roman"/>
          <w:sz w:val="21"/>
          <w:szCs w:val="21"/>
          <w:color w:val="auto"/>
        </w:rPr>
      </w:pPr>
    </w:p>
    <w:p>
      <w:pPr>
        <w:ind w:right="100" w:firstLine="645"/>
        <w:spacing w:after="0" w:line="257" w:lineRule="auto"/>
        <w:tabs>
          <w:tab w:leader="none" w:pos="103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Indebtedness permitted under Section 6.14 and performance guarantees and Contingent Obligations incurred or of other obligations that do not constitute indebtedness for borrowed money, in each case entered into in the ordinary course of business and any guarantees by the Borrower or any Restricted Subsidiary of operating leases of joint ventures;</w:t>
      </w:r>
    </w:p>
    <w:p>
      <w:pPr>
        <w:spacing w:after="0" w:line="168" w:lineRule="exact"/>
        <w:rPr>
          <w:rFonts w:ascii="Times New Roman" w:cs="Times New Roman" w:eastAsia="Times New Roman" w:hAnsi="Times New Roman"/>
          <w:sz w:val="22"/>
          <w:szCs w:val="22"/>
          <w:color w:val="auto"/>
        </w:rPr>
      </w:pPr>
    </w:p>
    <w:p>
      <w:pPr>
        <w:ind w:firstLine="645"/>
        <w:spacing w:after="0" w:line="250" w:lineRule="auto"/>
        <w:tabs>
          <w:tab w:leader="none" w:pos="10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investments by the Borrower or any of its Restricted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on the date of consummation of such investment or, at the Borrower’s election to the extent such investment is made in connection with an Acquisition, on the date of the signing of any acquisition agreement with respect thereto, (i) no Default or Event of Default shall have occurred and be continuing or would result therefrom and (ii) after giving effect thereto the Leverage Ratio does not exceed 3.00:1.00 (calculated on a Pro Forma Basis as of the last day of the most recently ended period of four consecutive fiscal quarters for which financial statements have been or were required to be delivered pursuant to Section 6.1(a) or (b));</w:t>
      </w:r>
    </w:p>
    <w:p>
      <w:pPr>
        <w:spacing w:after="0" w:line="185" w:lineRule="exact"/>
        <w:rPr>
          <w:rFonts w:ascii="Times New Roman" w:cs="Times New Roman" w:eastAsia="Times New Roman" w:hAnsi="Times New Roman"/>
          <w:sz w:val="22"/>
          <w:szCs w:val="22"/>
          <w:color w:val="auto"/>
        </w:rPr>
      </w:pPr>
    </w:p>
    <w:p>
      <w:pPr>
        <w:ind w:right="1200" w:firstLine="645"/>
        <w:spacing w:after="0" w:line="284" w:lineRule="auto"/>
        <w:tabs>
          <w:tab w:leader="none" w:pos="10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Subsidiary in connection with intercompany cash management or cash pooling arrangements or related activities arising in the ordinary course of business;</w:t>
      </w:r>
    </w:p>
    <w:p>
      <w:pPr>
        <w:spacing w:after="0" w:line="144" w:lineRule="exact"/>
        <w:rPr>
          <w:rFonts w:ascii="Times New Roman" w:cs="Times New Roman" w:eastAsia="Times New Roman" w:hAnsi="Times New Roman"/>
          <w:sz w:val="22"/>
          <w:szCs w:val="22"/>
          <w:color w:val="auto"/>
        </w:rPr>
      </w:pPr>
    </w:p>
    <w:p>
      <w:pPr>
        <w:ind w:right="60" w:firstLine="645"/>
        <w:spacing w:after="0" w:line="263" w:lineRule="auto"/>
        <w:tabs>
          <w:tab w:leader="none" w:pos="1128"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(i) a Restricted Subsidiary that is not a Loan Party or (ii) a joint venture, in each case, to the extent such investment is substantially contemporaneously repaid with a dividend or other distribution from such Restricted Subsidiary or joint venture;</w:t>
      </w:r>
    </w:p>
    <w:p>
      <w:pPr>
        <w:spacing w:after="0" w:line="167" w:lineRule="exact"/>
        <w:rPr>
          <w:rFonts w:ascii="Times New Roman" w:cs="Times New Roman" w:eastAsia="Times New Roman" w:hAnsi="Times New Roman"/>
          <w:sz w:val="22"/>
          <w:szCs w:val="22"/>
          <w:color w:val="auto"/>
        </w:rPr>
      </w:pPr>
    </w:p>
    <w:p>
      <w:pPr>
        <w:ind w:right="120" w:firstLine="645"/>
        <w:spacing w:after="0" w:line="284" w:lineRule="auto"/>
        <w:tabs>
          <w:tab w:leader="none" w:pos="10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contributions to joint ventures (including, without limitation, contributions of employees, intellectual property and/or services) in the ordinary course of business;</w:t>
      </w:r>
    </w:p>
    <w:p>
      <w:pPr>
        <w:spacing w:after="0" w:line="144" w:lineRule="exact"/>
        <w:rPr>
          <w:rFonts w:ascii="Times New Roman" w:cs="Times New Roman" w:eastAsia="Times New Roman" w:hAnsi="Times New Roman"/>
          <w:sz w:val="22"/>
          <w:szCs w:val="22"/>
          <w:color w:val="auto"/>
        </w:rPr>
      </w:pPr>
    </w:p>
    <w:p>
      <w:pPr>
        <w:jc w:val="both"/>
        <w:ind w:right="80" w:firstLine="645"/>
        <w:spacing w:after="0" w:line="257" w:lineRule="auto"/>
        <w:tabs>
          <w:tab w:leader="none" w:pos="10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Flash Partners Ltd., Flash Alliance Ltd. or Flash Forward Ltd. and other joint ventures with Toshiba Corporation or Toshiba Memory Corporation (or any of their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solely during a Secured Covenants Period, the use of such investments by such joint venture would have been classified, in accordance with GAAP, as a capital expenditure if such joint venture had been a Subsidiary of the Borrower; and</w:t>
      </w:r>
    </w:p>
    <w:p>
      <w:pPr>
        <w:spacing w:after="0" w:line="172" w:lineRule="exact"/>
        <w:rPr>
          <w:rFonts w:ascii="Times New Roman" w:cs="Times New Roman" w:eastAsia="Times New Roman" w:hAnsi="Times New Roman"/>
          <w:sz w:val="22"/>
          <w:szCs w:val="22"/>
          <w:color w:val="auto"/>
        </w:rPr>
      </w:pPr>
    </w:p>
    <w:p>
      <w:pPr>
        <w:ind w:right="100" w:firstLine="645"/>
        <w:spacing w:after="0" w:line="263" w:lineRule="auto"/>
        <w:tabs>
          <w:tab w:leader="none" w:pos="1068"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by any Captive Insurance Subsidiary in connection with its provision of insurance to the Borrower or any of its Subsidiaries, which investment is made in the ordinary course of business of such Captive Insurance Subsidiary, or by reason of applicable law, rule, regulation or order, or that is required or approved by any</w:t>
      </w:r>
    </w:p>
    <w:p>
      <w:pPr>
        <w:sectPr>
          <w:pgSz w:w="11900" w:h="16838" w:orient="portrait"/>
          <w:cols w:equalWidth="0" w:num="1">
            <w:col w:w="10760"/>
          </w:cols>
          <w:pgMar w:left="900" w:top="626" w:right="239" w:bottom="1440" w:gutter="0" w:footer="0" w:header="0"/>
        </w:sectPr>
      </w:pPr>
    </w:p>
    <w:bookmarkStart w:id="278" w:name="page279"/>
    <w:bookmarkEnd w:id="278"/>
    <w:p>
      <w:pPr>
        <w:ind w:left="660" w:right="520"/>
        <w:spacing w:after="0" w:line="257" w:lineRule="auto"/>
        <w:rPr>
          <w:sz w:val="20"/>
          <w:szCs w:val="20"/>
          <w:color w:val="auto"/>
        </w:rPr>
      </w:pPr>
      <w:r>
        <w:rPr>
          <w:rFonts w:ascii="Times New Roman" w:cs="Times New Roman" w:eastAsia="Times New Roman" w:hAnsi="Times New Roman"/>
          <w:sz w:val="22"/>
          <w:szCs w:val="22"/>
          <w:color w:val="auto"/>
        </w:rPr>
        <w:t>regulatory authority having jurisdiction over such Captive Insurance Subsidiary or its business, as applicable and any investment in fixed income or other assets by any Captive Insurance Subsidiary consistent with customary practices of portfolio management; and</w:t>
      </w:r>
    </w:p>
    <w:p>
      <w:pPr>
        <w:spacing w:after="0" w:line="169" w:lineRule="exact"/>
        <w:rPr>
          <w:sz w:val="20"/>
          <w:szCs w:val="20"/>
          <w:color w:val="auto"/>
        </w:rPr>
      </w:pPr>
    </w:p>
    <w:p>
      <w:pPr>
        <w:ind w:left="660" w:firstLine="645"/>
        <w:spacing w:after="0" w:line="258" w:lineRule="auto"/>
        <w:tabs>
          <w:tab w:leader="none" w:pos="182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investment not otherwise permitted by this Section 6.17;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fair market value of such investment at the time each such investment is made, in an aggregate amount for all such investments outstanding under this clause (aa), together with the amount of any Distributions permitted under Section 6.18(l) below, does not exceed $2,000 million; and</w:t>
      </w:r>
    </w:p>
    <w:p>
      <w:pPr>
        <w:spacing w:after="0" w:line="172" w:lineRule="exact"/>
        <w:rPr>
          <w:rFonts w:ascii="Times New Roman" w:cs="Times New Roman" w:eastAsia="Times New Roman" w:hAnsi="Times New Roman"/>
          <w:sz w:val="22"/>
          <w:szCs w:val="22"/>
          <w:color w:val="auto"/>
        </w:rPr>
      </w:pPr>
    </w:p>
    <w:p>
      <w:pPr>
        <w:ind w:left="660" w:right="180" w:firstLine="645"/>
        <w:spacing w:after="0" w:line="263" w:lineRule="auto"/>
        <w:tabs>
          <w:tab w:leader="none" w:pos="184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an Unsecured Covenants Period is in effect, any investment so long as (i) no Event of Default has occurred, is continuing or would result therefrom and (ii) the Borrower shall be in compliance, on a Pro Forma Basis, with the covenants set forth in Section 6.22.</w:t>
      </w:r>
    </w:p>
    <w:p>
      <w:pPr>
        <w:spacing w:after="0" w:line="168" w:lineRule="exact"/>
        <w:rPr>
          <w:sz w:val="20"/>
          <w:szCs w:val="20"/>
          <w:color w:val="auto"/>
        </w:rPr>
      </w:pPr>
    </w:p>
    <w:p>
      <w:pPr>
        <w:ind w:left="660" w:right="80" w:firstLine="648"/>
        <w:spacing w:after="0" w:line="246"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Section 6.17, (A) an investment need not be permitted solely by reference to one category of permitted investments (or any portion thereof) described in Sections 6.17(a) through (z) but may be permitted in part under any relevant combination thereof and (B) in the event that an investment (or any portion thereof) meets the criteria of one or more of the categories of permitted investments (or any portion thereof) described in Sections 6.17(a) through (z), the Borrower may, in its sole discretion, classify or divide such investment (or any portion thereof) in any manner that complies with this Section 6.17 and will be entitled to only include the amount and type of such investment (or any portion thereof) in one or more (as relevant) of the above clauses (or any portion thereof) and such investment (or any portion thereof) shall be treated as having been made or existing pursuant to only such clause or clauses (or any portion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investments described in Schedule 6.17 shall be deemed outstanding under Section 6.17(q).</w:t>
      </w:r>
    </w:p>
    <w:p>
      <w:pPr>
        <w:spacing w:after="0" w:line="189" w:lineRule="exact"/>
        <w:rPr>
          <w:sz w:val="20"/>
          <w:szCs w:val="20"/>
          <w:color w:val="auto"/>
        </w:rPr>
      </w:pPr>
    </w:p>
    <w:p>
      <w:pPr>
        <w:ind w:left="660" w:right="120" w:firstLine="648"/>
        <w:spacing w:after="0" w:line="265" w:lineRule="auto"/>
        <w:rPr>
          <w:sz w:val="20"/>
          <w:szCs w:val="20"/>
          <w:color w:val="auto"/>
        </w:rPr>
      </w:pPr>
      <w:r>
        <w:rPr>
          <w:rFonts w:ascii="Times New Roman" w:cs="Times New Roman" w:eastAsia="Times New Roman" w:hAnsi="Times New Roman"/>
          <w:sz w:val="21"/>
          <w:szCs w:val="21"/>
          <w:color w:val="auto"/>
        </w:rPr>
        <w:t>Any investment in any person other than a Loan Party that is otherwise permitted by this Section 6.17 may be made through intermediate investments in Subsidiaries that are not Loan Parties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valued at the time of the making thereof, and without giving effect to any subsequent write-downs or write-offs thereof.</w:t>
      </w:r>
    </w:p>
    <w:p>
      <w:pPr>
        <w:spacing w:after="0" w:line="162" w:lineRule="exact"/>
        <w:rPr>
          <w:sz w:val="20"/>
          <w:szCs w:val="20"/>
          <w:color w:val="auto"/>
        </w:rPr>
      </w:pPr>
    </w:p>
    <w:p>
      <w:pPr>
        <w:jc w:val="both"/>
        <w:ind w:right="200" w:firstLine="648"/>
        <w:spacing w:after="0" w:line="281" w:lineRule="auto"/>
        <w:rPr>
          <w:sz w:val="20"/>
          <w:szCs w:val="20"/>
          <w:color w:val="auto"/>
        </w:rPr>
      </w:pPr>
      <w:r>
        <w:rPr>
          <w:rFonts w:ascii="Times New Roman" w:cs="Times New Roman" w:eastAsia="Times New Roman" w:hAnsi="Times New Roman"/>
          <w:sz w:val="22"/>
          <w:szCs w:val="22"/>
          <w:color w:val="auto"/>
        </w:rPr>
        <w:t xml:space="preserve">Section 6.18 </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18"/>
          <w:szCs w:val="18"/>
          <w:color w:val="auto"/>
        </w:rPr>
        <w:t>. The Borrower shall not, nor shall it permit any of its Restricted Subsidiaries to directly or indirectly,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declare or pay any dividends on or make any other distributions in respect of any class or series of its Equity Interests or (ii) purchase, redeem, or otherwise acquire or retire any of its Equity Interests or any warrants, options, or similar instruments to acquire the same (all the foregoing,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following shall be permitted:</w:t>
      </w:r>
    </w:p>
    <w:p>
      <w:pPr>
        <w:sectPr>
          <w:pgSz w:w="11900" w:h="16838" w:orient="portrait"/>
          <w:cols w:equalWidth="0" w:num="1">
            <w:col w:w="11420"/>
          </w:cols>
          <w:pgMar w:left="240" w:top="625" w:right="239" w:bottom="1440" w:gutter="0" w:footer="0" w:header="0"/>
        </w:sectPr>
      </w:pPr>
    </w:p>
    <w:bookmarkStart w:id="279" w:name="page280"/>
    <w:bookmarkEnd w:id="279"/>
    <w:p>
      <w:pPr>
        <w:ind w:right="220" w:firstLine="1293"/>
        <w:spacing w:after="0" w:line="263" w:lineRule="auto"/>
        <w:tabs>
          <w:tab w:leader="none" w:pos="171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the Borrower may make Distributions to its parent company (and, in the case of any non-Wholly-owned Subsidiary,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to its parent companies based on their relative ownership interests in the class of equity receiving such Distribution);</w:t>
      </w:r>
    </w:p>
    <w:p>
      <w:pPr>
        <w:spacing w:after="0" w:line="167" w:lineRule="exact"/>
        <w:rPr>
          <w:rFonts w:ascii="Times New Roman" w:cs="Times New Roman" w:eastAsia="Times New Roman" w:hAnsi="Times New Roman"/>
          <w:sz w:val="22"/>
          <w:szCs w:val="22"/>
          <w:color w:val="auto"/>
        </w:rPr>
      </w:pPr>
    </w:p>
    <w:p>
      <w:pPr>
        <w:ind w:firstLine="1293"/>
        <w:spacing w:after="0" w:line="258" w:lineRule="auto"/>
        <w:tabs>
          <w:tab w:leader="none" w:pos="1729"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Event of Default has occurred, is continuing or would result therefrom, the Borrower may redeem, acquire, retire or repurchase (and the Borrower may declare and pay Distributions, the proceeds of which are used to so redeem, acquire, retire or repurchase and to pay withholding or similar tax payments that are expected to be payable in connection therewith) its Equity Interests (or any options or warrants or stock appreciation rights issued with respect to any of such Equity Interests) held by current or former officers, managers, consultants, directors and employees (or their respective spouses, former spouses, successors, executors, administrators, heirs, legatees or distributees) of the Borrower and its Restricted Subsidiaries, with the proceeds of Distributions from, seriatim, the Borrower,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amount of Distributions made pursuant to this Section 6.18(b) shall not exceed $40 million in any fiscal year; </w:t>
      </w: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(x) such amount, if not so expended in the fiscal year for which it is permitted, may be carried forward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 Distributions in the next two (2) fiscal years and (y) Distributions made pursuant to this clause (b) during any fiscal year shall be deemed made first in respect of amounts permitted for such fiscal year as provided above, second in respect of amounts carried over from the fiscal year two (2) years prior to such date pursuant to clause (x) above and third in respect of amounts carried over from the immediately preceding fiscal year prior to such date pursuant to clause (x) above;</w:t>
      </w:r>
    </w:p>
    <w:p>
      <w:pPr>
        <w:spacing w:after="0" w:line="181" w:lineRule="exact"/>
        <w:rPr>
          <w:rFonts w:ascii="Times New Roman" w:cs="Times New Roman" w:eastAsia="Times New Roman" w:hAnsi="Times New Roman"/>
          <w:sz w:val="21"/>
          <w:szCs w:val="21"/>
          <w:color w:val="auto"/>
        </w:rPr>
      </w:pPr>
    </w:p>
    <w:p>
      <w:pPr>
        <w:ind w:right="600" w:firstLine="1293"/>
        <w:spacing w:after="0" w:line="284" w:lineRule="auto"/>
        <w:tabs>
          <w:tab w:leader="none" w:pos="171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repurchase Equity Interests upon exercise of options or warrants if such Equity Interest represents all or a portion of the exercise price of such options or warrants;</w:t>
      </w:r>
    </w:p>
    <w:p>
      <w:pPr>
        <w:spacing w:after="0" w:line="144"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of the Borrower's common Equity Interests in an aggregate amount not to exceed $50</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million;</w:t>
      </w:r>
    </w:p>
    <w:p>
      <w:pPr>
        <w:spacing w:after="0" w:line="207" w:lineRule="exact"/>
        <w:rPr>
          <w:rFonts w:ascii="Times New Roman" w:cs="Times New Roman" w:eastAsia="Times New Roman" w:hAnsi="Times New Roman"/>
          <w:sz w:val="22"/>
          <w:szCs w:val="22"/>
          <w:color w:val="auto"/>
        </w:rPr>
      </w:pPr>
    </w:p>
    <w:p>
      <w:pPr>
        <w:ind w:right="300" w:firstLine="1293"/>
        <w:spacing w:after="0" w:line="263" w:lineRule="auto"/>
        <w:tabs>
          <w:tab w:leader="none" w:pos="171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in connection with the consummation of the Transactions to the extent contemplated by the Acquisition Agreement and any Distributions in connection with the repurchase of the Convertible Notes and any warrants or similar rights related thereto;</w:t>
      </w:r>
    </w:p>
    <w:p>
      <w:pPr>
        <w:sectPr>
          <w:pgSz w:w="11900" w:h="16838" w:orient="portrait"/>
          <w:cols w:equalWidth="0" w:num="1">
            <w:col w:w="10760"/>
          </w:cols>
          <w:pgMar w:left="900" w:top="626" w:right="239" w:bottom="1440" w:gutter="0" w:footer="0" w:header="0"/>
        </w:sectPr>
      </w:pPr>
    </w:p>
    <w:bookmarkStart w:id="280" w:name="page281"/>
    <w:bookmarkEnd w:id="280"/>
    <w:p>
      <w:pPr>
        <w:ind w:left="4" w:right="20" w:firstLine="1293"/>
        <w:spacing w:after="0" w:line="259" w:lineRule="auto"/>
        <w:tabs>
          <w:tab w:leader="none" w:pos="1696"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make Distributions in an aggregate amount not to exceed (x) so long as (A) no Event of Default has occurred, is continuing or would result therefrom and (B) the Borrower shall be in compliance, on a Pro Forma Basis, with the covenants set forth in Section 6.22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clauses (A) and (B) shall not prohibit Distributions within 60 days after the date of declaration thereof, if on the date of declaration the Distribution would have complied with clauses (A) and (B)), $725.0 million per fiscal year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(y) the Available Amount at the time such Distribution is made (so long as (i) no Event of Default has occurred, is continuing or would result therefrom, (ii) the Borrower and its Restricted Subsidiaries are in compliance with Section 6.22 on a Pro Forma Basis, recomputed as of the last day of the most recently ended period for which financial statements have been or were required to be delivered pursuant to Section 6.1(a) or (b) and</w:t>
      </w:r>
    </w:p>
    <w:p>
      <w:pPr>
        <w:spacing w:after="0" w:line="5" w:lineRule="exact"/>
        <w:rPr>
          <w:rFonts w:ascii="Times New Roman" w:cs="Times New Roman" w:eastAsia="Times New Roman" w:hAnsi="Times New Roman"/>
          <w:sz w:val="21"/>
          <w:szCs w:val="21"/>
          <w:color w:val="auto"/>
        </w:rPr>
      </w:pPr>
    </w:p>
    <w:p>
      <w:pPr>
        <w:ind w:left="4" w:right="200" w:hanging="4"/>
        <w:spacing w:after="0" w:line="255" w:lineRule="auto"/>
        <w:tabs>
          <w:tab w:leader="none" w:pos="382"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Leverage Ratio, calculated on a Pro Forma Basis after giving effect to such Distribution, is less than the greater of 0.25x less than the applicable Leverage Ratio set forth in Section 6.22 (prior to giving effect to Amendment No. 9) and</w:t>
      </w:r>
    </w:p>
    <w:p>
      <w:pPr>
        <w:ind w:left="4" w:right="16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3.75:1.00;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clauses (i), (ii) and (iii) shall not prohibit Distributions within 60 days after the date of declaration thereof, if on the date of declaration the Distribution would have complied with clauses (i) and (ii);</w:t>
      </w:r>
    </w:p>
    <w:p>
      <w:pPr>
        <w:spacing w:after="0" w:line="182" w:lineRule="exact"/>
        <w:rPr>
          <w:rFonts w:ascii="Times New Roman" w:cs="Times New Roman" w:eastAsia="Times New Roman" w:hAnsi="Times New Roman"/>
          <w:sz w:val="21"/>
          <w:szCs w:val="21"/>
          <w:color w:val="auto"/>
        </w:rPr>
      </w:pPr>
    </w:p>
    <w:p>
      <w:pPr>
        <w:ind w:left="4" w:right="140" w:firstLine="1293"/>
        <w:spacing w:after="0" w:line="253" w:lineRule="auto"/>
        <w:tabs>
          <w:tab w:leader="none" w:pos="1732"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Distributions to (i) redeem, repurchase, retire or otherwise acquire any Equity Interests (“</w:t>
      </w:r>
      <w:r>
        <w:rPr>
          <w:rFonts w:ascii="Times New Roman" w:cs="Times New Roman" w:eastAsia="Times New Roman" w:hAnsi="Times New Roman"/>
          <w:sz w:val="22"/>
          <w:szCs w:val="22"/>
          <w:i w:val="1"/>
          <w:iCs w:val="1"/>
          <w:color w:val="auto"/>
        </w:rPr>
        <w:t>Treasury Capital Stock</w:t>
      </w:r>
      <w:r>
        <w:rPr>
          <w:rFonts w:ascii="Times New Roman" w:cs="Times New Roman" w:eastAsia="Times New Roman" w:hAnsi="Times New Roman"/>
          <w:sz w:val="22"/>
          <w:szCs w:val="22"/>
          <w:color w:val="auto"/>
        </w:rPr>
        <w:t>”) of the Borrower or any Subsidiary, in exchange for, or out of the proceeds of the substantially concurrent sale (other than to the Borrower or a Subsidiary) of, Equity Interests of the Borrower (“</w:t>
      </w:r>
      <w:r>
        <w:rPr>
          <w:rFonts w:ascii="Times New Roman" w:cs="Times New Roman" w:eastAsia="Times New Roman" w:hAnsi="Times New Roman"/>
          <w:sz w:val="22"/>
          <w:szCs w:val="22"/>
          <w:i w:val="1"/>
          <w:iCs w:val="1"/>
          <w:color w:val="auto"/>
        </w:rPr>
        <w:t>Refunding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Capital Stock</w:t>
      </w:r>
      <w:r>
        <w:rPr>
          <w:rFonts w:ascii="Times New Roman" w:cs="Times New Roman" w:eastAsia="Times New Roman" w:hAnsi="Times New Roman"/>
          <w:sz w:val="22"/>
          <w:szCs w:val="22"/>
          <w:color w:val="auto"/>
        </w:rPr>
        <w:t>”) and (ii) declare and pay dividends on the Treasury Capital Stock out of the proceeds of the substantially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concurrent sale (other than to the Borrower or a Subsidiary) of the Refunding Capital Stock;</w:t>
      </w:r>
    </w:p>
    <w:p>
      <w:pPr>
        <w:spacing w:after="0" w:line="179" w:lineRule="exact"/>
        <w:rPr>
          <w:rFonts w:ascii="Times New Roman" w:cs="Times New Roman" w:eastAsia="Times New Roman" w:hAnsi="Times New Roman"/>
          <w:sz w:val="22"/>
          <w:szCs w:val="22"/>
          <w:color w:val="auto"/>
        </w:rPr>
      </w:pPr>
    </w:p>
    <w:p>
      <w:pPr>
        <w:ind w:left="4" w:right="380" w:firstLine="1293"/>
        <w:spacing w:after="0" w:line="263" w:lineRule="auto"/>
        <w:tabs>
          <w:tab w:leader="none" w:pos="1732"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the proceeds of which will be used to make cash payments in lieu of issuing fractional Equity Interests in connection with the exercise of warrants, options or other securities convertible or exchangeable for Equity Interests of the Borrower;</w:t>
      </w:r>
    </w:p>
    <w:p>
      <w:pPr>
        <w:spacing w:after="0" w:line="167" w:lineRule="exact"/>
        <w:rPr>
          <w:rFonts w:ascii="Times New Roman" w:cs="Times New Roman" w:eastAsia="Times New Roman" w:hAnsi="Times New Roman"/>
          <w:sz w:val="22"/>
          <w:szCs w:val="22"/>
          <w:color w:val="auto"/>
        </w:rPr>
      </w:pPr>
    </w:p>
    <w:p>
      <w:pPr>
        <w:ind w:left="4" w:right="60" w:firstLine="1293"/>
        <w:spacing w:after="0" w:line="284" w:lineRule="auto"/>
        <w:tabs>
          <w:tab w:leader="none" w:pos="1684"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a Distribution, transactions permitted by Sections 6.11 (other than 6.11(b)) and 6.16 (other than 6.16(k));</w:t>
      </w:r>
    </w:p>
    <w:p>
      <w:pPr>
        <w:spacing w:after="0" w:line="144" w:lineRule="exact"/>
        <w:rPr>
          <w:rFonts w:ascii="Times New Roman" w:cs="Times New Roman" w:eastAsia="Times New Roman" w:hAnsi="Times New Roman"/>
          <w:sz w:val="22"/>
          <w:szCs w:val="22"/>
          <w:color w:val="auto"/>
        </w:rPr>
      </w:pPr>
    </w:p>
    <w:p>
      <w:pPr>
        <w:ind w:left="4" w:firstLine="1293"/>
        <w:spacing w:after="0" w:line="284" w:lineRule="auto"/>
        <w:tabs>
          <w:tab w:leader="none" w:pos="1684"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by the Borrower of up to 6.0% of the net cash proceeds received by the Borrower from any Qualified Public Offering or any other equity investment (other than Disqualified Equity Interests) in the Borrower;</w:t>
      </w:r>
    </w:p>
    <w:p>
      <w:pPr>
        <w:spacing w:after="0" w:line="144" w:lineRule="exact"/>
        <w:rPr>
          <w:rFonts w:ascii="Times New Roman" w:cs="Times New Roman" w:eastAsia="Times New Roman" w:hAnsi="Times New Roman"/>
          <w:sz w:val="22"/>
          <w:szCs w:val="22"/>
          <w:color w:val="auto"/>
        </w:rPr>
      </w:pPr>
    </w:p>
    <w:p>
      <w:pPr>
        <w:ind w:left="4" w:right="160" w:firstLine="1293"/>
        <w:spacing w:after="0" w:line="263" w:lineRule="auto"/>
        <w:tabs>
          <w:tab w:leader="none" w:pos="1732"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(i) no Event of Default has occurred and is continuing or would result therefrom and (ii) the Leverage Ratio does not exceed 2.75:1.00 (calculated on a Pro Forma Basis as of the last day of the most recently ended period of four consecutive fiscal quarters for which financial statements have been or were required to</w:t>
      </w:r>
    </w:p>
    <w:p>
      <w:pPr>
        <w:sectPr>
          <w:pgSz w:w="11900" w:h="16838" w:orient="portrait"/>
          <w:cols w:equalWidth="0" w:num="1">
            <w:col w:w="10744"/>
          </w:cols>
          <w:pgMar w:left="896" w:top="625" w:right="259" w:bottom="1440" w:gutter="0" w:footer="0" w:header="0"/>
        </w:sectPr>
      </w:pPr>
    </w:p>
    <w:bookmarkStart w:id="281" w:name="page282"/>
    <w:bookmarkEnd w:id="281"/>
    <w:p>
      <w:pPr>
        <w:ind w:left="660" w:right="40"/>
        <w:spacing w:after="0" w:line="257" w:lineRule="auto"/>
        <w:rPr>
          <w:sz w:val="20"/>
          <w:szCs w:val="20"/>
          <w:color w:val="auto"/>
        </w:rPr>
      </w:pPr>
      <w:r>
        <w:rPr>
          <w:rFonts w:ascii="Times New Roman" w:cs="Times New Roman" w:eastAsia="Times New Roman" w:hAnsi="Times New Roman"/>
          <w:sz w:val="22"/>
          <w:szCs w:val="22"/>
          <w:color w:val="auto"/>
        </w:rPr>
        <w:t xml:space="preserve">be delivered pursuant to Section 6.1(a) or (b)) after giving effect thereto, the Borrower may make additional Distributions;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clauses (i) and (ii) shall not prohibit Distributions within 60 days after the date of declaration thereof, if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of declaration the Distribution would have complied with clauses (i) and (ii);</w:t>
      </w:r>
    </w:p>
    <w:p>
      <w:pPr>
        <w:spacing w:after="0" w:line="169" w:lineRule="exact"/>
        <w:rPr>
          <w:sz w:val="20"/>
          <w:szCs w:val="20"/>
          <w:color w:val="auto"/>
        </w:rPr>
      </w:pPr>
    </w:p>
    <w:p>
      <w:pPr>
        <w:ind w:left="660" w:right="200" w:firstLine="1293"/>
        <w:spacing w:after="0" w:line="265" w:lineRule="auto"/>
        <w:tabs>
          <w:tab w:leader="none" w:pos="23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make Distributions not otherwise permitted by this Section 6.18;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maximum aggregate principal amount of such Distributions made pursuant to this clause (l), together with the outstanding amount of any investments permitted under Section 6.17(aa) above, does not exceed $2,000 million; and</w:t>
      </w:r>
    </w:p>
    <w:p>
      <w:pPr>
        <w:spacing w:after="0" w:line="165" w:lineRule="exact"/>
        <w:rPr>
          <w:rFonts w:ascii="Times New Roman" w:cs="Times New Roman" w:eastAsia="Times New Roman" w:hAnsi="Times New Roman"/>
          <w:sz w:val="22"/>
          <w:szCs w:val="22"/>
          <w:color w:val="auto"/>
        </w:rPr>
      </w:pPr>
    </w:p>
    <w:p>
      <w:pPr>
        <w:ind w:left="660" w:right="380" w:firstLine="1293"/>
        <w:spacing w:after="0" w:line="263" w:lineRule="auto"/>
        <w:tabs>
          <w:tab w:leader="none" w:pos="2448"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an Unsecured Covenants Period is in effect, the Borrower and its Restricted Subsidiaries may make Distributions so long as (i) no Event of Default has occurred, is continuing or would result therefrom and (ii) the Borrower shall be in compliance, on a Pro Forma Basis, with the covenants set forth in Section 6.22.</w:t>
      </w:r>
    </w:p>
    <w:p>
      <w:pPr>
        <w:spacing w:after="0" w:line="164" w:lineRule="exact"/>
        <w:rPr>
          <w:sz w:val="20"/>
          <w:szCs w:val="20"/>
          <w:color w:val="auto"/>
        </w:rPr>
      </w:pPr>
    </w:p>
    <w:p>
      <w:pPr>
        <w:ind w:right="60"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6.19 </w:t>
      </w:r>
      <w:r>
        <w:rPr>
          <w:rFonts w:ascii="Times New Roman" w:cs="Times New Roman" w:eastAsia="Times New Roman" w:hAnsi="Times New Roman"/>
          <w:sz w:val="22"/>
          <w:szCs w:val="22"/>
          <w:i w:val="1"/>
          <w:iCs w:val="1"/>
          <w:color w:val="auto"/>
        </w:rPr>
        <w:t>Limitation on Restrictions</w:t>
      </w:r>
      <w:r>
        <w:rPr>
          <w:rFonts w:ascii="Times New Roman" w:cs="Times New Roman" w:eastAsia="Times New Roman" w:hAnsi="Times New Roman"/>
          <w:sz w:val="18"/>
          <w:szCs w:val="18"/>
          <w:color w:val="auto"/>
        </w:rPr>
        <w:t>. The Borrower will not, and it will not permit any of its Restricted Subsidiaries to, directly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indirectly, create or otherwise cause or suffer to exist or become effective any consensual restriction on the ability of any such Restricted Subsidiary to (A) pay dividends or make any other distributions on its capital stock or other Equity Interests owned by the Borrower or any other Restricted Subsidiary, (B) pay or repay any Indebtedness owed to the Borrower or any other Restricted Subsidiary, (C) make loans or advances to the Borrower or any other Restricted Subsidiary, (D) encumber or pledge any of its assets to or for the benefit of the Administrative Agent or (E) guaranty the Obligations, Hedging Liability and Funds Transfer Liability, Deposit Account Liability and Data Processing Obligations, except for, in each case:</w:t>
      </w:r>
    </w:p>
    <w:p>
      <w:pPr>
        <w:spacing w:after="0" w:line="178" w:lineRule="exact"/>
        <w:rPr>
          <w:sz w:val="20"/>
          <w:szCs w:val="20"/>
          <w:color w:val="auto"/>
        </w:rPr>
      </w:pPr>
    </w:p>
    <w:p>
      <w:pPr>
        <w:ind w:left="660" w:firstLine="1293"/>
        <w:spacing w:after="0" w:line="253" w:lineRule="auto"/>
        <w:tabs>
          <w:tab w:leader="none" w:pos="237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and conditions imposed by any Loan Document, the 2024 Convertible Notes Documents or the 2026 Senior Unsecured Notes Documents or which (x) exist on the Amendment No. 7 Effective Date and (y) to the extent contractual obligations permitted by subclause (x) are set forth in an agreement evidencing Indebtedness, are set forth in any agreement evidencing any permitted renewal, extension or refinancing of such Indebtedness so long as such renewal, extension or refinancing does not materially expand the scope of such contractual obligation;</w:t>
      </w:r>
    </w:p>
    <w:p>
      <w:pPr>
        <w:spacing w:after="0" w:line="179" w:lineRule="exact"/>
        <w:rPr>
          <w:rFonts w:ascii="Times New Roman" w:cs="Times New Roman" w:eastAsia="Times New Roman" w:hAnsi="Times New Roman"/>
          <w:sz w:val="22"/>
          <w:szCs w:val="22"/>
          <w:color w:val="auto"/>
        </w:rPr>
      </w:pPr>
    </w:p>
    <w:p>
      <w:pPr>
        <w:ind w:left="660" w:right="420" w:firstLine="1293"/>
        <w:spacing w:after="0" w:line="309" w:lineRule="auto"/>
        <w:tabs>
          <w:tab w:leader="none" w:pos="2389"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customary restrictions and conditions contained in agreements relating to any sale of assets pending such sale;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restrictions and conditions apply only to the Person or property that is to be sold;</w:t>
      </w:r>
    </w:p>
    <w:p>
      <w:pPr>
        <w:spacing w:after="0" w:line="120" w:lineRule="exact"/>
        <w:rPr>
          <w:rFonts w:ascii="Times New Roman" w:cs="Times New Roman" w:eastAsia="Times New Roman" w:hAnsi="Times New Roman"/>
          <w:sz w:val="21"/>
          <w:szCs w:val="21"/>
          <w:color w:val="auto"/>
        </w:rPr>
      </w:pPr>
    </w:p>
    <w:p>
      <w:pPr>
        <w:ind w:left="660" w:right="40" w:firstLine="1293"/>
        <w:spacing w:after="0" w:line="263" w:lineRule="auto"/>
        <w:tabs>
          <w:tab w:leader="none" w:pos="237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or conditions imposed by any agreement relating to Indebtedness permitted by this Agreement if such restrictions or conditions apply only to the Person obligated under such Indebtedness and its Subsidiaries or, in the case of secured Indebtedness, the property or assets intended to secure such Indebtedness;</w:t>
      </w:r>
    </w:p>
    <w:p>
      <w:pPr>
        <w:spacing w:after="0" w:line="167" w:lineRule="exact"/>
        <w:rPr>
          <w:rFonts w:ascii="Times New Roman" w:cs="Times New Roman" w:eastAsia="Times New Roman" w:hAnsi="Times New Roman"/>
          <w:sz w:val="22"/>
          <w:szCs w:val="22"/>
          <w:color w:val="auto"/>
        </w:rPr>
      </w:pPr>
    </w:p>
    <w:p>
      <w:pPr>
        <w:ind w:left="660" w:right="300" w:firstLine="1293"/>
        <w:spacing w:after="0" w:line="284" w:lineRule="auto"/>
        <w:tabs>
          <w:tab w:leader="none" w:pos="238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 obligations binding on a Restricted Subsidiary at the time such Restricted Subsidiary first becomes a Restricted Subsidiary, so long as such</w:t>
      </w:r>
    </w:p>
    <w:p>
      <w:pPr>
        <w:sectPr>
          <w:pgSz w:w="11900" w:h="16838" w:orient="portrait"/>
          <w:cols w:equalWidth="0" w:num="1">
            <w:col w:w="11420"/>
          </w:cols>
          <w:pgMar w:left="240" w:top="625"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2"/>
          <w:szCs w:val="22"/>
          <w:color w:val="auto"/>
        </w:rPr>
        <w:t>contractual obligations were not entered into solely in contemplation of such Person becoming a Restricted Subsidiary;</w:t>
      </w:r>
    </w:p>
    <w:p>
      <w:pPr>
        <w:spacing w:after="0" w:line="220" w:lineRule="exact"/>
        <w:rPr>
          <w:sz w:val="20"/>
          <w:szCs w:val="20"/>
          <w:color w:val="auto"/>
        </w:rPr>
      </w:pPr>
    </w:p>
    <w:p>
      <w:pPr>
        <w:ind w:firstLine="1293"/>
        <w:spacing w:after="0" w:line="282" w:lineRule="auto"/>
        <w:tabs>
          <w:tab w:leader="none" w:pos="1716"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customary provisions in joint venture agreements and other similar agreements applicable to joint ventures permitted under Section 6.17 and applicable solely to such joint venture entered into in the ordinary course of business and any provisions in joint venture agreements in effect at or entered into on the Amendment No. 7 Effective Date;</w:t>
      </w:r>
    </w:p>
    <w:p>
      <w:pPr>
        <w:spacing w:after="0" w:line="148" w:lineRule="exact"/>
        <w:rPr>
          <w:rFonts w:ascii="Times New Roman" w:cs="Times New Roman" w:eastAsia="Times New Roman" w:hAnsi="Times New Roman"/>
          <w:sz w:val="21"/>
          <w:szCs w:val="21"/>
          <w:color w:val="auto"/>
        </w:rPr>
      </w:pPr>
    </w:p>
    <w:p>
      <w:pPr>
        <w:ind w:right="220" w:firstLine="1293"/>
        <w:spacing w:after="0" w:line="257" w:lineRule="auto"/>
        <w:tabs>
          <w:tab w:leader="none" w:pos="169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cash, other deposits or net worth imposed by customers under contracts entered into in the ordinary course of business and customary provisions in leases, subleases, licenses, sublicenses, service agreements, product sales, asset sale agreements and other contracts restricting the assignment thereof, in each case entered into in the ordinary course of business;</w:t>
      </w:r>
    </w:p>
    <w:p>
      <w:pPr>
        <w:spacing w:after="0" w:line="172" w:lineRule="exact"/>
        <w:rPr>
          <w:rFonts w:ascii="Times New Roman" w:cs="Times New Roman" w:eastAsia="Times New Roman" w:hAnsi="Times New Roman"/>
          <w:sz w:val="22"/>
          <w:szCs w:val="22"/>
          <w:color w:val="auto"/>
        </w:rPr>
      </w:pPr>
    </w:p>
    <w:p>
      <w:pPr>
        <w:ind w:right="400" w:firstLine="1293"/>
        <w:spacing w:after="0" w:line="284" w:lineRule="auto"/>
        <w:tabs>
          <w:tab w:leader="none" w:pos="172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Indebtedness otherwise permitted to be incurred under Sections 6.14 and 6.15 that limit the right of the obligor to dispose of the assets securing such Indebtedness;</w:t>
      </w:r>
    </w:p>
    <w:p>
      <w:pPr>
        <w:spacing w:after="0" w:line="144" w:lineRule="exact"/>
        <w:rPr>
          <w:rFonts w:ascii="Times New Roman" w:cs="Times New Roman" w:eastAsia="Times New Roman" w:hAnsi="Times New Roman"/>
          <w:sz w:val="22"/>
          <w:szCs w:val="22"/>
          <w:color w:val="auto"/>
        </w:rPr>
      </w:pPr>
    </w:p>
    <w:p>
      <w:pPr>
        <w:ind w:right="120" w:firstLine="1293"/>
        <w:spacing w:after="0" w:line="282" w:lineRule="auto"/>
        <w:tabs>
          <w:tab w:leader="none" w:pos="1729"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restrictions that arise in connection with (including Indebtedness and other agreements entered into in connection therewith) (x) any Lien permitted by Section 6.15 and that relate to the property subject to such Lien or (y) any disposition permitted by Section 6.16 applicable pending such disposition solely to the assets subject to such disposition;</w:t>
      </w:r>
    </w:p>
    <w:p>
      <w:pPr>
        <w:spacing w:after="0" w:line="148" w:lineRule="exact"/>
        <w:rPr>
          <w:rFonts w:ascii="Times New Roman" w:cs="Times New Roman" w:eastAsia="Times New Roman" w:hAnsi="Times New Roman"/>
          <w:sz w:val="21"/>
          <w:szCs w:val="21"/>
          <w:color w:val="auto"/>
        </w:rPr>
      </w:pPr>
    </w:p>
    <w:p>
      <w:pPr>
        <w:ind w:right="100" w:firstLine="1293"/>
        <w:spacing w:after="0" w:line="284" w:lineRule="auto"/>
        <w:tabs>
          <w:tab w:leader="none" w:pos="168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restricting assignment of, or the creation of any Lien over, any agreement entered into in the ordinary course of business;</w:t>
      </w:r>
    </w:p>
    <w:p>
      <w:pPr>
        <w:spacing w:after="0" w:line="144" w:lineRule="exact"/>
        <w:rPr>
          <w:rFonts w:ascii="Times New Roman" w:cs="Times New Roman" w:eastAsia="Times New Roman" w:hAnsi="Times New Roman"/>
          <w:sz w:val="22"/>
          <w:szCs w:val="22"/>
          <w:color w:val="auto"/>
        </w:rPr>
      </w:pPr>
    </w:p>
    <w:p>
      <w:pPr>
        <w:ind w:right="60" w:firstLine="1293"/>
        <w:spacing w:after="0" w:line="263" w:lineRule="auto"/>
        <w:tabs>
          <w:tab w:leader="none" w:pos="168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restrictions imposed by any agreement relating to Indebtedness incurred pursuant to Section 6.14 or Refinancing Indebtedness in respect thereof, to the extent such restrictions are not materially more restrictive, taken as a whole, than the restrictions contained in this Agreement (in each case, as determined in good faith by the Borrower);</w:t>
      </w:r>
    </w:p>
    <w:p>
      <w:pPr>
        <w:spacing w:after="0" w:line="167" w:lineRule="exact"/>
        <w:rPr>
          <w:rFonts w:ascii="Times New Roman" w:cs="Times New Roman" w:eastAsia="Times New Roman" w:hAnsi="Times New Roman"/>
          <w:sz w:val="22"/>
          <w:szCs w:val="22"/>
          <w:color w:val="auto"/>
        </w:rPr>
      </w:pPr>
    </w:p>
    <w:p>
      <w:pPr>
        <w:ind w:right="40" w:firstLine="1293"/>
        <w:spacing w:after="0" w:line="251" w:lineRule="auto"/>
        <w:tabs>
          <w:tab w:leader="none" w:pos="172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encumbrances or restrictions of the type referred to in clauses (A), (B) or (C) above and solely with respect to any Foreign Subsidiary (or, during any Collateral and Guarantee Suspension Period, any non-Guarantor Subsidiary), any encumbrances or restrictions of the type referred to in clauses (D) or (E) above, in each case, imposed by any other instrument or agreement entered into after the Amendment No. 7 Effective Date that contains encumbrances and restrictions that, as determined by the Borrower in good faith, will not materially adversely affect the Borrower’s ability to make payments on the Loans;</w:t>
      </w:r>
    </w:p>
    <w:p>
      <w:pPr>
        <w:sectPr>
          <w:pgSz w:w="11900" w:h="16838" w:orient="portrait"/>
          <w:cols w:equalWidth="0" w:num="1">
            <w:col w:w="10720"/>
          </w:cols>
          <w:pgMar w:left="900" w:top="626" w:right="279" w:bottom="1440" w:gutter="0" w:footer="0" w:header="0"/>
        </w:sectPr>
      </w:pPr>
    </w:p>
    <w:bookmarkStart w:id="283" w:name="page284"/>
    <w:bookmarkEnd w:id="283"/>
    <w:p>
      <w:pPr>
        <w:ind w:left="660" w:right="460" w:firstLine="1293"/>
        <w:spacing w:after="0" w:line="263" w:lineRule="auto"/>
        <w:tabs>
          <w:tab w:leader="none" w:pos="234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of a Receivables Financing Subsidiary effected in connection with a Permitted Receivables Financing;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restrictions apply only to such Receivables Financing Subsidiary; and</w:t>
      </w:r>
    </w:p>
    <w:p>
      <w:pPr>
        <w:spacing w:after="0" w:line="167" w:lineRule="exact"/>
        <w:rPr>
          <w:rFonts w:ascii="Times New Roman" w:cs="Times New Roman" w:eastAsia="Times New Roman" w:hAnsi="Times New Roman"/>
          <w:sz w:val="22"/>
          <w:szCs w:val="22"/>
          <w:color w:val="auto"/>
        </w:rPr>
      </w:pPr>
    </w:p>
    <w:p>
      <w:pPr>
        <w:ind w:left="660" w:right="80" w:firstLine="1293"/>
        <w:spacing w:after="0" w:line="265" w:lineRule="auto"/>
        <w:tabs>
          <w:tab w:leader="none" w:pos="2448"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encumbrances or restrictions of the types referred to in clauses (a) through (l) above imposed by any amendments, modifications, restatements, renewals, increases, supplements, refundings, replacements or refinancings of the contracts, instruments or obligations referred to above;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amendments, modifications, restatements, renewals, increases, supplements, refundings, replacements or refinancings are, in the good faith judgment of the Borrower, no more restrictive with respect to such encumbrance and other restrictions taken as a whole than those prior to such amendment, modification, restatement, renewal, increase, supplement, refunding, replacement or refinancing.</w:t>
      </w:r>
    </w:p>
    <w:p>
      <w:pPr>
        <w:spacing w:after="0" w:line="165" w:lineRule="exact"/>
        <w:rPr>
          <w:sz w:val="20"/>
          <w:szCs w:val="20"/>
          <w:color w:val="auto"/>
        </w:rPr>
      </w:pPr>
    </w:p>
    <w:p>
      <w:pPr>
        <w:ind w:right="540" w:firstLine="648"/>
        <w:spacing w:after="0" w:line="313" w:lineRule="auto"/>
        <w:rPr>
          <w:sz w:val="20"/>
          <w:szCs w:val="20"/>
          <w:color w:val="auto"/>
        </w:rPr>
      </w:pPr>
      <w:r>
        <w:rPr>
          <w:rFonts w:ascii="Times New Roman" w:cs="Times New Roman" w:eastAsia="Times New Roman" w:hAnsi="Times New Roman"/>
          <w:sz w:val="21"/>
          <w:szCs w:val="21"/>
          <w:color w:val="auto"/>
        </w:rPr>
        <w:t xml:space="preserve">Section 6.20 </w:t>
      </w:r>
      <w:r>
        <w:rPr>
          <w:rFonts w:ascii="Times New Roman" w:cs="Times New Roman" w:eastAsia="Times New Roman" w:hAnsi="Times New Roman"/>
          <w:sz w:val="21"/>
          <w:szCs w:val="21"/>
          <w:i w:val="1"/>
          <w:iCs w:val="1"/>
          <w:color w:val="auto"/>
        </w:rPr>
        <w:t>Optional Payments of Certain Indebtedness; Modifications of Certain Indebtedness and Organizational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Documents</w:t>
      </w:r>
      <w:r>
        <w:rPr>
          <w:rFonts w:ascii="Times New Roman" w:cs="Times New Roman" w:eastAsia="Times New Roman" w:hAnsi="Times New Roman"/>
          <w:sz w:val="17"/>
          <w:szCs w:val="17"/>
          <w:color w:val="auto"/>
        </w:rPr>
        <w:t>. Solely during a Secured Covenants Period, the Borrower will not, and it will not permit any of its Restricted Subsidiaries to:</w:t>
      </w:r>
    </w:p>
    <w:p>
      <w:pPr>
        <w:spacing w:after="0" w:line="130" w:lineRule="exact"/>
        <w:rPr>
          <w:sz w:val="20"/>
          <w:szCs w:val="20"/>
          <w:color w:val="auto"/>
        </w:rPr>
      </w:pPr>
    </w:p>
    <w:p>
      <w:pPr>
        <w:ind w:left="660" w:right="20" w:firstLine="1293"/>
        <w:spacing w:after="0" w:line="260" w:lineRule="auto"/>
        <w:tabs>
          <w:tab w:leader="none" w:pos="2376"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make any optional or voluntary payment, prepayment, repurchase or redemption of or otherwise optionally or voluntarily defease, earlier than one year prior to any scheduled final maturity (such actions, a “</w:t>
      </w:r>
      <w:r>
        <w:rPr>
          <w:rFonts w:ascii="Times New Roman" w:cs="Times New Roman" w:eastAsia="Times New Roman" w:hAnsi="Times New Roman"/>
          <w:sz w:val="21"/>
          <w:szCs w:val="21"/>
          <w:i w:val="1"/>
          <w:iCs w:val="1"/>
          <w:color w:val="auto"/>
        </w:rPr>
        <w:t>Restricted Debt Payment</w:t>
      </w:r>
      <w:r>
        <w:rPr>
          <w:rFonts w:ascii="Times New Roman" w:cs="Times New Roman" w:eastAsia="Times New Roman" w:hAnsi="Times New Roman"/>
          <w:sz w:val="21"/>
          <w:szCs w:val="21"/>
          <w:color w:val="auto"/>
        </w:rPr>
        <w:t>”) the principal amount of any Indebtedness that is expressly subordinated to the Loans in an aggregate principal amount in excess of $100 million (other than intercompany Indebtedness), except (i) in connection with the incurrence of Refinancing Indebtedness, (ii) in connection with a conversion or exchange of such Indebtedness to, or for, as applicable, Equity Interests of the Borrower (other than Disqualified Equity Interests), (iii) payments as part of an “applicable high yield discount obligation” catch-up payment, (iv) Restricted Debt Payments in an aggregate amount up to</w:t>
      </w:r>
    </w:p>
    <w:p>
      <w:pPr>
        <w:spacing w:after="0" w:line="2" w:lineRule="exact"/>
        <w:rPr>
          <w:rFonts w:ascii="Times New Roman" w:cs="Times New Roman" w:eastAsia="Times New Roman" w:hAnsi="Times New Roman"/>
          <w:sz w:val="21"/>
          <w:szCs w:val="21"/>
          <w:color w:val="auto"/>
        </w:rPr>
      </w:pPr>
    </w:p>
    <w:p>
      <w:pPr>
        <w:ind w:left="660" w:hanging="4"/>
        <w:spacing w:after="0" w:line="243" w:lineRule="auto"/>
        <w:tabs>
          <w:tab w:leader="none" w:pos="96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(A) no Event of Default has occurred, is continuing or would result therefrom and (B) the Borrower shall be in compliance, on a Pro Forma Basis, with the covenants set forth in Section 6.22, $100 million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(y) the Available Amount (so long as (1) no Default or Event of Default has occurred, is continuing or would result therefrom, (2) the Borrower and its Restricted Subsidiaries are in compliance, on a Pro Forma Basis, with the financial covenants set forth in Section 6.22 recomputed as of the last day of the most recently ended period for which financial statements have been or were required to be delivered pursuant to Section 6.1(a) or (b) and (3) the Leverage Ratio calculated on a Pro Forma Basis after giving effect to such Restricted Debt Payment, is not greater than the greater of 0.25x less than the applicable Leverage Ratio set forth in Section 6.22 (prior to giving effect to Amendment No. 9) and 3.75:1.00), (v) Restricted Debt Payments so long as (A) no Event of Default has occurred, is continuing or would result therefrom and (B) the Leverage Ratio does not exceed 3.00:1.00 (in each case, calculated on a Pro Forma Basis as of the last day of the most recently ended period of four consecutive fiscal</w:t>
      </w:r>
    </w:p>
    <w:p>
      <w:pPr>
        <w:sectPr>
          <w:pgSz w:w="11900" w:h="16838" w:orient="portrait"/>
          <w:cols w:equalWidth="0" w:num="1">
            <w:col w:w="11420"/>
          </w:cols>
          <w:pgMar w:left="240" w:top="625" w:right="239" w:bottom="1440" w:gutter="0" w:footer="0" w:header="0"/>
        </w:sectPr>
      </w:pPr>
    </w:p>
    <w:bookmarkStart w:id="284" w:name="page285"/>
    <w:bookmarkEnd w:id="284"/>
    <w:p>
      <w:pPr>
        <w:ind w:left="660"/>
        <w:spacing w:after="0" w:line="257" w:lineRule="auto"/>
        <w:rPr>
          <w:sz w:val="20"/>
          <w:szCs w:val="20"/>
          <w:color w:val="auto"/>
        </w:rPr>
      </w:pPr>
      <w:r>
        <w:rPr>
          <w:rFonts w:ascii="Times New Roman" w:cs="Times New Roman" w:eastAsia="Times New Roman" w:hAnsi="Times New Roman"/>
          <w:sz w:val="22"/>
          <w:szCs w:val="22"/>
          <w:color w:val="auto"/>
        </w:rPr>
        <w:t>quarters for which financial statements have been or were required to be delivered pursuant to Section 6.1(a) or (b)) and (vi) in connection with any Indebtedness represented by the Convertible Notes (and any warrants or similar rights related thereto); or</w:t>
      </w:r>
    </w:p>
    <w:p>
      <w:pPr>
        <w:spacing w:after="0" w:line="173" w:lineRule="exact"/>
        <w:rPr>
          <w:sz w:val="20"/>
          <w:szCs w:val="20"/>
          <w:color w:val="auto"/>
        </w:rPr>
      </w:pPr>
    </w:p>
    <w:p>
      <w:pPr>
        <w:ind w:left="660" w:right="60" w:firstLine="1293"/>
        <w:spacing w:after="0" w:line="273" w:lineRule="auto"/>
        <w:tabs>
          <w:tab w:leader="none" w:pos="2389"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modify, or otherwise change in any manner any of the terms of (i) the documentation governing any Indebtedness that is expressly subordinated to the Loans in an aggregate principal amount in excess of $100 million or</w:t>
      </w:r>
    </w:p>
    <w:p>
      <w:pPr>
        <w:spacing w:after="0" w:line="1"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charter documents of the Borrower or such Restricted Subsidiary, except, in the case of each of clauses (i) and (ii),</w:t>
      </w:r>
    </w:p>
    <w:p>
      <w:pPr>
        <w:spacing w:after="0" w:line="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effect of any such amendment, modification or change is not materially adverse to the interests of the Lenders and</w:t>
      </w:r>
    </w:p>
    <w:p>
      <w:pPr>
        <w:spacing w:after="0" w:line="15" w:lineRule="exact"/>
        <w:rPr>
          <w:rFonts w:ascii="Times New Roman" w:cs="Times New Roman" w:eastAsia="Times New Roman" w:hAnsi="Times New Roman"/>
          <w:sz w:val="21"/>
          <w:szCs w:val="21"/>
          <w:color w:val="auto"/>
        </w:rPr>
      </w:pPr>
    </w:p>
    <w:p>
      <w:pPr>
        <w:ind w:left="660" w:right="80" w:hanging="4"/>
        <w:spacing w:after="0" w:line="248" w:lineRule="auto"/>
        <w:tabs>
          <w:tab w:leader="none" w:pos="96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amendments with respect to the Convertible Notes to add the Borrower as a co-obligor under the Convertible Notes and to reflect changes related to the Transactions.</w:t>
      </w:r>
    </w:p>
    <w:p>
      <w:pPr>
        <w:spacing w:after="0" w:line="17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6.21 </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18"/>
          <w:szCs w:val="18"/>
          <w:color w:val="auto"/>
        </w:rPr>
        <w:t>. The Borrower will not, and will not permit any of its Restricted Subsidiaries to, (i) become a Person whose property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interests in property are blocked or subject to blocking pursuant to Section 1 of Executive Order 13224 of September 23, 2001 Blocking Party and Prohibiting Transactions With Persons Who Commit, Threaten to Commit or Support Terrorism (66 Fed. Reg. 49079(2001)), (ii) engage in any dealings or transactions prohibited by Section 2 of such executive order, or be otherwise associated with any such Person in any manner violative of Section 2, and (iii) become a Person on the list of Specially Designated Nationals and Blocked Persons or subject to the limitations or prohibitions under any other U.S. Department of Treasury’s Office of Foreign Assets Control regulation or executive order.</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6.22</w:t>
      </w:r>
      <w:r>
        <w:rPr>
          <w:sz w:val="20"/>
          <w:szCs w:val="20"/>
          <w:color w:val="auto"/>
        </w:rPr>
        <w:tab/>
      </w:r>
      <w:r>
        <w:rPr>
          <w:rFonts w:ascii="Times New Roman" w:cs="Times New Roman" w:eastAsia="Times New Roman" w:hAnsi="Times New Roman"/>
          <w:sz w:val="21"/>
          <w:szCs w:val="21"/>
          <w:i w:val="1"/>
          <w:iCs w:val="1"/>
          <w:color w:val="auto"/>
        </w:rPr>
        <w:t>Financial Covenants</w:t>
      </w:r>
      <w:r>
        <w:rPr>
          <w:rFonts w:ascii="Times New Roman" w:cs="Times New Roman" w:eastAsia="Times New Roman" w:hAnsi="Times New Roman"/>
          <w:sz w:val="17"/>
          <w:szCs w:val="17"/>
          <w:color w:val="auto"/>
        </w:rPr>
        <w:t>. Solely with respect to the Revolving Facility and the Term A-1 Facility:</w:t>
      </w:r>
    </w:p>
    <w:p>
      <w:pPr>
        <w:spacing w:after="0" w:line="233" w:lineRule="exact"/>
        <w:rPr>
          <w:sz w:val="20"/>
          <w:szCs w:val="20"/>
          <w:color w:val="auto"/>
        </w:rPr>
      </w:pPr>
    </w:p>
    <w:p>
      <w:pPr>
        <w:ind w:left="660" w:right="100" w:firstLine="1293"/>
        <w:spacing w:after="0" w:line="265" w:lineRule="auto"/>
        <w:tabs>
          <w:tab w:leader="none" w:pos="237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Leverage Ratio</w:t>
      </w:r>
      <w:r>
        <w:rPr>
          <w:rFonts w:ascii="Times New Roman" w:cs="Times New Roman" w:eastAsia="Times New Roman" w:hAnsi="Times New Roman"/>
          <w:sz w:val="22"/>
          <w:szCs w:val="22"/>
          <w:color w:val="auto"/>
        </w:rPr>
        <w:t>. The Borrower shall not, (i) prior to the Amendment No. 9 Effective Date, as of the last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 of each fiscal quarter of the Borrower ending during each of the periods specified below, permit the Leverage Ratio to be greater than:</w:t>
      </w:r>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33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6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7"/>
              </w:rPr>
              <w:t>THE LEVERAGE RATIO SHALL</w:t>
            </w:r>
          </w:p>
        </w:tc>
      </w:tr>
      <w:tr>
        <w:trPr>
          <w:trHeight w:val="283"/>
        </w:trPr>
        <w:tc>
          <w:tcPr>
            <w:tcW w:w="33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FROM AND INCLUDING</w:t>
            </w:r>
          </w:p>
        </w:tc>
        <w:tc>
          <w:tcPr>
            <w:tcW w:w="35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TO AND INCLUDING</w:t>
            </w:r>
          </w:p>
        </w:tc>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7"/>
              </w:rPr>
              <w:t>NOT BE GREATER THAN:</w:t>
            </w:r>
          </w:p>
        </w:tc>
      </w:tr>
      <w:tr>
        <w:trPr>
          <w:trHeight w:val="44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the fiscal quarter ending March 30,</w:t>
            </w:r>
          </w:p>
        </w:tc>
        <w:tc>
          <w:tcPr>
            <w:tcW w:w="3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fiscal quarter ending October 4,</w:t>
            </w:r>
          </w:p>
        </w:tc>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4.25 to 1.00</w:t>
            </w:r>
          </w:p>
        </w:tc>
      </w:tr>
      <w:tr>
        <w:trPr>
          <w:trHeight w:val="283"/>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2018</w:t>
            </w:r>
          </w:p>
        </w:tc>
        <w:tc>
          <w:tcPr>
            <w:tcW w:w="3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2019</w:t>
            </w:r>
          </w:p>
        </w:tc>
        <w:tc>
          <w:tcPr>
            <w:tcW w:w="3260" w:type="dxa"/>
            <w:vAlign w:val="bottom"/>
          </w:tcPr>
          <w:p>
            <w:pPr>
              <w:spacing w:after="0"/>
              <w:rPr>
                <w:sz w:val="24"/>
                <w:szCs w:val="24"/>
                <w:color w:val="auto"/>
              </w:rPr>
            </w:pPr>
          </w:p>
        </w:tc>
      </w:tr>
      <w:tr>
        <w:trPr>
          <w:trHeight w:val="44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the fiscal quarter ending January 3,</w:t>
            </w:r>
          </w:p>
        </w:tc>
        <w:tc>
          <w:tcPr>
            <w:tcW w:w="3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fiscal quarter ending October 2,</w:t>
            </w:r>
          </w:p>
        </w:tc>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4.00 to 1.00</w:t>
            </w:r>
          </w:p>
        </w:tc>
      </w:tr>
      <w:tr>
        <w:trPr>
          <w:trHeight w:val="283"/>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2020</w:t>
            </w:r>
          </w:p>
        </w:tc>
        <w:tc>
          <w:tcPr>
            <w:tcW w:w="3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2020</w:t>
            </w:r>
          </w:p>
        </w:tc>
        <w:tc>
          <w:tcPr>
            <w:tcW w:w="3260" w:type="dxa"/>
            <w:vAlign w:val="bottom"/>
          </w:tcPr>
          <w:p>
            <w:pPr>
              <w:spacing w:after="0"/>
              <w:rPr>
                <w:sz w:val="24"/>
                <w:szCs w:val="24"/>
                <w:color w:val="auto"/>
              </w:rPr>
            </w:pPr>
          </w:p>
        </w:tc>
      </w:tr>
      <w:tr>
        <w:trPr>
          <w:trHeight w:val="44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the fiscal quarter ending January 1,</w:t>
            </w:r>
          </w:p>
        </w:tc>
        <w:tc>
          <w:tcPr>
            <w:tcW w:w="3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All times thereafter</w:t>
            </w:r>
          </w:p>
        </w:tc>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3.75 to 1.00</w:t>
            </w:r>
          </w:p>
        </w:tc>
      </w:tr>
      <w:tr>
        <w:trPr>
          <w:trHeight w:val="283"/>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2021</w:t>
            </w:r>
          </w:p>
        </w:tc>
        <w:tc>
          <w:tcPr>
            <w:tcW w:w="354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ectPr>
          <w:pgSz w:w="11900" w:h="16838" w:orient="portrait"/>
          <w:cols w:equalWidth="0" w:num="1">
            <w:col w:w="11400"/>
          </w:cols>
          <w:pgMar w:left="240" w:top="625" w:right="259" w:bottom="1440" w:gutter="0" w:footer="0" w:header="0"/>
        </w:sectPr>
      </w:pPr>
    </w:p>
    <w:bookmarkStart w:id="285" w:name="page286"/>
    <w:bookmarkEnd w:id="285"/>
    <w:p>
      <w:pPr>
        <w:ind w:right="280"/>
        <w:spacing w:after="0" w:line="271" w:lineRule="auto"/>
        <w:rPr>
          <w:sz w:val="20"/>
          <w:szCs w:val="20"/>
          <w:color w:val="auto"/>
        </w:rPr>
      </w:pPr>
      <w:r>
        <w:rPr>
          <w:rFonts w:ascii="Times New Roman" w:cs="Times New Roman" w:eastAsia="Times New Roman" w:hAnsi="Times New Roman"/>
          <w:sz w:val="22"/>
          <w:szCs w:val="22"/>
          <w:color w:val="auto"/>
        </w:rPr>
        <w:t>and (ii) on and after the Amendment No. 9 Effective Date, as of the last day of each fiscal quarter of the Borrower ending during each of the periods specified below, permit the Leverage Ratio to be greater than:</w:t>
      </w:r>
    </w:p>
    <w:p>
      <w:pPr>
        <w:spacing w:after="0" w:line="297"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THE LEVERAGE RATIO SHALL</w:t>
            </w:r>
          </w:p>
        </w:tc>
      </w:tr>
      <w:tr>
        <w:trPr>
          <w:trHeight w:val="283"/>
        </w:trPr>
        <w:tc>
          <w:tcPr>
            <w:tcW w:w="34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FROM AND INCLUDING</w:t>
            </w:r>
          </w:p>
        </w:tc>
        <w:tc>
          <w:tcPr>
            <w:tcW w:w="350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TO AND INCLUDING</w:t>
            </w: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NOT BE GREATER THAN:</w:t>
            </w:r>
          </w:p>
        </w:tc>
      </w:tr>
      <w:tr>
        <w:trPr>
          <w:trHeight w:val="447"/>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the fiscal quarter ending March 29,</w:t>
            </w:r>
          </w:p>
        </w:tc>
        <w:tc>
          <w:tcPr>
            <w:tcW w:w="3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fiscal quarter ending October 2,</w:t>
            </w: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4.25 to 1.00</w:t>
            </w:r>
          </w:p>
        </w:tc>
      </w:tr>
      <w:tr>
        <w:trPr>
          <w:trHeight w:val="283"/>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2019</w:t>
            </w:r>
          </w:p>
        </w:tc>
        <w:tc>
          <w:tcPr>
            <w:tcW w:w="3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2020</w:t>
            </w:r>
          </w:p>
        </w:tc>
        <w:tc>
          <w:tcPr>
            <w:tcW w:w="3120" w:type="dxa"/>
            <w:vAlign w:val="bottom"/>
          </w:tcPr>
          <w:p>
            <w:pPr>
              <w:spacing w:after="0"/>
              <w:rPr>
                <w:sz w:val="24"/>
                <w:szCs w:val="24"/>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the fiscal quarter ending January 1,</w:t>
            </w:r>
          </w:p>
        </w:tc>
        <w:tc>
          <w:tcPr>
            <w:tcW w:w="3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fiscal quarter ending July 2, 2021</w:t>
            </w: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4.00 to 1.00</w:t>
            </w:r>
          </w:p>
        </w:tc>
      </w:tr>
      <w:tr>
        <w:trPr>
          <w:trHeight w:val="283"/>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2021</w:t>
            </w:r>
          </w:p>
        </w:tc>
        <w:tc>
          <w:tcPr>
            <w:tcW w:w="35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the fiscal quarter ending October 1,</w:t>
            </w:r>
          </w:p>
        </w:tc>
        <w:tc>
          <w:tcPr>
            <w:tcW w:w="35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the fiscal quarter ending December 31,</w:t>
            </w: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3.75 to 1.00</w:t>
            </w:r>
          </w:p>
        </w:tc>
      </w:tr>
      <w:tr>
        <w:trPr>
          <w:trHeight w:val="283"/>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2021</w:t>
            </w:r>
          </w:p>
        </w:tc>
        <w:tc>
          <w:tcPr>
            <w:tcW w:w="3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2021</w:t>
            </w:r>
          </w:p>
        </w:tc>
        <w:tc>
          <w:tcPr>
            <w:tcW w:w="3120" w:type="dxa"/>
            <w:vAlign w:val="bottom"/>
          </w:tcPr>
          <w:p>
            <w:pPr>
              <w:spacing w:after="0"/>
              <w:rPr>
                <w:sz w:val="24"/>
                <w:szCs w:val="24"/>
                <w:color w:val="auto"/>
              </w:rPr>
            </w:pPr>
          </w:p>
        </w:tc>
      </w:tr>
      <w:tr>
        <w:trPr>
          <w:trHeight w:val="297"/>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the fiscal quarter ending April 1, 2022</w:t>
            </w:r>
          </w:p>
        </w:tc>
        <w:tc>
          <w:tcPr>
            <w:tcW w:w="3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fiscal quarter ending July 1, 2022</w:t>
            </w: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3.50 to 1.00</w:t>
            </w: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the fiscal quarter ending September 30,</w:t>
            </w:r>
          </w:p>
        </w:tc>
        <w:tc>
          <w:tcPr>
            <w:tcW w:w="3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All times thereafter</w:t>
            </w: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3.25 to 1.00</w:t>
            </w:r>
          </w:p>
        </w:tc>
      </w:tr>
      <w:tr>
        <w:trPr>
          <w:trHeight w:val="283"/>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2022</w:t>
            </w:r>
          </w:p>
        </w:tc>
        <w:tc>
          <w:tcPr>
            <w:tcW w:w="350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254" w:lineRule="exact"/>
        <w:rPr>
          <w:sz w:val="20"/>
          <w:szCs w:val="20"/>
          <w:color w:val="auto"/>
        </w:rPr>
      </w:pPr>
    </w:p>
    <w:p>
      <w:pPr>
        <w:ind w:left="660" w:firstLine="645"/>
        <w:spacing w:after="0" w:line="246" w:lineRule="auto"/>
        <w:tabs>
          <w:tab w:leader="none" w:pos="142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following the consummation of (I) a Qualified Acquisition, the aggregate consideration for which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below 0.167x Consolidated Adjusted EBITDA for the four (4) fiscal quarters of the Borrower then ended as set forth in the last Compliance Certificate delivered pursuant to Section 6.1(e), the Leverage Ratios set forth above shall increase for each of the four (4) fiscal quarters of the Borrower ending following the consummation of a Qualified Acquisition by an amount equal to the product of (x) (i) the Leverage Ratio after giving Pro Forma Effect to such Qualified Acquisition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Leverage Ratio immediately prior to such Qualified Acquisition (which, if negative, shall be deemed zero)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1.50 to 1.00;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at no time shall any Leverage Ratio set forth above exceed 4.25 to 1:00 (such increase, a “</w:t>
      </w:r>
      <w:r>
        <w:rPr>
          <w:rFonts w:ascii="Times New Roman" w:cs="Times New Roman" w:eastAsia="Times New Roman" w:hAnsi="Times New Roman"/>
          <w:sz w:val="22"/>
          <w:szCs w:val="22"/>
          <w:i w:val="1"/>
          <w:iCs w:val="1"/>
          <w:color w:val="auto"/>
        </w:rPr>
        <w:t>Formula Based Increase</w:t>
      </w:r>
      <w:r>
        <w:rPr>
          <w:rFonts w:ascii="Times New Roman" w:cs="Times New Roman" w:eastAsia="Times New Roman" w:hAnsi="Times New Roman"/>
          <w:sz w:val="22"/>
          <w:szCs w:val="22"/>
          <w:color w:val="auto"/>
        </w:rPr>
        <w:t>”) and (II) a Qualified Acquisition, the aggregate consideration for which is equal to or exceeds 0.167x Consolidated Adjusted EBITDA for the four (4) fiscal quarters of the Borrower then ended as set forth in the last Compliance Certificate delivered pursuant to Section 6.1(e) (as certified by a Responsible Officer of the Borrower), the Leverage Ratios set forth above shall increase to 4.25 to 1.00 for each of the four (4) fiscal quarters of the Borrower ending following the consummation of a Qualified Acquisition.</w:t>
      </w:r>
    </w:p>
    <w:p>
      <w:pPr>
        <w:spacing w:after="0" w:line="224" w:lineRule="exact"/>
        <w:rPr>
          <w:rFonts w:ascii="Times New Roman" w:cs="Times New Roman" w:eastAsia="Times New Roman" w:hAnsi="Times New Roman"/>
          <w:sz w:val="22"/>
          <w:szCs w:val="22"/>
          <w:color w:val="auto"/>
        </w:rPr>
      </w:pPr>
    </w:p>
    <w:p>
      <w:pPr>
        <w:ind w:left="660" w:right="320" w:firstLine="1293"/>
        <w:spacing w:after="0" w:line="254" w:lineRule="auto"/>
        <w:tabs>
          <w:tab w:leader="none" w:pos="2389"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Coverage Ratio</w:t>
      </w:r>
      <w:r>
        <w:rPr>
          <w:rFonts w:ascii="Times New Roman" w:cs="Times New Roman" w:eastAsia="Times New Roman" w:hAnsi="Times New Roman"/>
          <w:sz w:val="22"/>
          <w:szCs w:val="22"/>
          <w:color w:val="auto"/>
        </w:rPr>
        <w:t>. The Borrower shall not, as of the last day of each fiscal quarter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permit the ratio of Consolidated Adjusted EBITDA for the four (4) fiscal quarters of the Borrower then ended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Consolidated Adjusted EBITDA for such period is less than $1, then for purposes of this covenant Consolidated Adjusted EBITDA shall be deemed to be $1) to Interest Expense for the same four (4) fiscal quarters then ended to be less than 3.50 to 1.00.</w:t>
      </w:r>
    </w:p>
    <w:p>
      <w:pPr>
        <w:sectPr>
          <w:pgSz w:w="11900" w:h="16838" w:orient="portrait"/>
          <w:cols w:equalWidth="0" w:num="1">
            <w:col w:w="11400"/>
          </w:cols>
          <w:pgMar w:left="240" w:top="639" w:right="259" w:bottom="1440" w:gutter="0" w:footer="0" w:header="0"/>
        </w:sectPr>
      </w:pPr>
    </w:p>
    <w:bookmarkStart w:id="286" w:name="page287"/>
    <w:bookmarkEnd w:id="286"/>
    <w:p>
      <w:pPr>
        <w:ind w:left="660" w:right="140" w:firstLine="1293"/>
        <w:spacing w:after="0" w:line="288" w:lineRule="auto"/>
        <w:tabs>
          <w:tab w:leader="none" w:pos="237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 Forma Compliance</w:t>
      </w:r>
      <w:r>
        <w:rPr>
          <w:rFonts w:ascii="Times New Roman" w:cs="Times New Roman" w:eastAsia="Times New Roman" w:hAnsi="Times New Roman"/>
          <w:sz w:val="22"/>
          <w:szCs w:val="22"/>
          <w:color w:val="auto"/>
        </w:rPr>
        <w:t>. Compliance with the financial covenants set forth in clauses (a) and (b) above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always be calculated on a Pro Forma Basis.</w:t>
      </w:r>
    </w:p>
    <w:p>
      <w:pPr>
        <w:spacing w:after="0" w:line="136" w:lineRule="exact"/>
        <w:rPr>
          <w:sz w:val="20"/>
          <w:szCs w:val="20"/>
          <w:color w:val="auto"/>
        </w:rPr>
      </w:pPr>
    </w:p>
    <w:p>
      <w:pPr>
        <w:ind w:right="18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6.23 </w:t>
      </w:r>
      <w:r>
        <w:rPr>
          <w:rFonts w:ascii="Times New Roman" w:cs="Times New Roman" w:eastAsia="Times New Roman" w:hAnsi="Times New Roman"/>
          <w:sz w:val="22"/>
          <w:szCs w:val="22"/>
          <w:i w:val="1"/>
          <w:iCs w:val="1"/>
          <w:color w:val="auto"/>
        </w:rPr>
        <w:t>Maintenance of Ratings</w:t>
      </w:r>
      <w:r>
        <w:rPr>
          <w:rFonts w:ascii="Times New Roman" w:cs="Times New Roman" w:eastAsia="Times New Roman" w:hAnsi="Times New Roman"/>
          <w:sz w:val="18"/>
          <w:szCs w:val="18"/>
          <w:color w:val="auto"/>
        </w:rPr>
        <w:t>. The Borrower shall use its commercially reasonable efforts to maintain a (i) long-term public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rating of the Borrower and (ii) a credit rating for the Facilities, in each case, from two of S&amp;P, Moody’s and Fitch;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Borrower be required to maintain any specific rating with any such rating agency.</w:t>
      </w:r>
    </w:p>
    <w:p>
      <w:pPr>
        <w:spacing w:after="0" w:line="17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6.24</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6.25</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6.26 </w:t>
      </w:r>
      <w:r>
        <w:rPr>
          <w:rFonts w:ascii="Times New Roman" w:cs="Times New Roman" w:eastAsia="Times New Roman" w:hAnsi="Times New Roman"/>
          <w:sz w:val="22"/>
          <w:szCs w:val="22"/>
          <w:i w:val="1"/>
          <w:iCs w:val="1"/>
          <w:color w:val="auto"/>
        </w:rPr>
        <w:t>Lender Calls</w:t>
      </w:r>
      <w:r>
        <w:rPr>
          <w:rFonts w:ascii="Times New Roman" w:cs="Times New Roman" w:eastAsia="Times New Roman" w:hAnsi="Times New Roman"/>
          <w:sz w:val="18"/>
          <w:szCs w:val="18"/>
          <w:color w:val="auto"/>
        </w:rPr>
        <w:t>. Following the end of each fiscal quarter of the Borrower, commencing with the first full fiscal quarter ending after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the Escrow Release Date, the Borrower will hold a conference call (at a time mutually agreed upon by the Borrower and the Administrative Agent but, in any event, no earlier than the Business Day following the delivery of annual or quarterly financial statements pursuant to Sections 6.1(a) and (b), as applicable, for such fiscal quarter) with all Lenders who choose to attend such conference call, at which conference call shall be reviewed the financial results of the previous fiscal quarter and the financial condition of the Borrower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the requirements set forth in this Section 6.26 may be satisfied with a regularly scheduled quarterly public earnings call.</w:t>
      </w:r>
    </w:p>
    <w:p>
      <w:pPr>
        <w:spacing w:after="0" w:line="17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ARTICLE 7.</w:t>
      </w:r>
      <w:r>
        <w:rPr>
          <w:sz w:val="20"/>
          <w:szCs w:val="20"/>
          <w:color w:val="auto"/>
        </w:rPr>
        <w:tab/>
      </w:r>
      <w:r>
        <w:rPr>
          <w:rFonts w:ascii="Times New Roman" w:cs="Times New Roman" w:eastAsia="Times New Roman" w:hAnsi="Times New Roman"/>
          <w:sz w:val="21"/>
          <w:szCs w:val="21"/>
          <w:b w:val="1"/>
          <w:bCs w:val="1"/>
          <w:u w:val="single" w:color="auto"/>
          <w:color w:val="auto"/>
        </w:rPr>
        <w:t>EVENTS OF DEFAULT AND REMEDIES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i w:val="1"/>
          <w:iCs w:val="1"/>
          <w:color w:val="auto"/>
        </w:rPr>
        <w:t>Events of Default</w:t>
      </w:r>
      <w:r>
        <w:rPr>
          <w:rFonts w:ascii="Times New Roman" w:cs="Times New Roman" w:eastAsia="Times New Roman" w:hAnsi="Times New Roman"/>
          <w:sz w:val="17"/>
          <w:szCs w:val="17"/>
          <w:color w:val="auto"/>
        </w:rPr>
        <w:t>. Any one or more of the following shall constitute an “</w:t>
      </w:r>
      <w:r>
        <w:rPr>
          <w:rFonts w:ascii="Times New Roman" w:cs="Times New Roman" w:eastAsia="Times New Roman" w:hAnsi="Times New Roman"/>
          <w:sz w:val="17"/>
          <w:szCs w:val="17"/>
          <w:i w:val="1"/>
          <w:iCs w:val="1"/>
          <w:color w:val="auto"/>
        </w:rPr>
        <w:t>Event of Default</w:t>
      </w:r>
      <w:r>
        <w:rPr>
          <w:rFonts w:ascii="Times New Roman" w:cs="Times New Roman" w:eastAsia="Times New Roman" w:hAnsi="Times New Roman"/>
          <w:sz w:val="17"/>
          <w:szCs w:val="17"/>
          <w:color w:val="auto"/>
        </w:rPr>
        <w:t>” hereunder:</w:t>
      </w:r>
    </w:p>
    <w:p>
      <w:pPr>
        <w:spacing w:after="0" w:line="237" w:lineRule="exact"/>
        <w:rPr>
          <w:sz w:val="20"/>
          <w:szCs w:val="20"/>
          <w:color w:val="auto"/>
        </w:rPr>
      </w:pPr>
    </w:p>
    <w:p>
      <w:pPr>
        <w:ind w:left="660" w:right="40" w:firstLine="1293"/>
        <w:spacing w:after="0" w:line="257" w:lineRule="auto"/>
        <w:tabs>
          <w:tab w:leader="none" w:pos="2376"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 in the payment when due (whether at the stated maturity thereof or at any other time provided for in this Agreement) of all or any part of the principal of any Loan or Reimbursement Obligation or (ii) in the payment when due of interest on any Loan or any other Obligation payable hereunder or under any other Loan Document and such default shall continue unremedied for a period of five (5) Business Days;</w:t>
      </w:r>
    </w:p>
    <w:p>
      <w:pPr>
        <w:spacing w:after="0" w:line="172" w:lineRule="exact"/>
        <w:rPr>
          <w:rFonts w:ascii="Times New Roman" w:cs="Times New Roman" w:eastAsia="Times New Roman" w:hAnsi="Times New Roman"/>
          <w:sz w:val="22"/>
          <w:szCs w:val="22"/>
          <w:color w:val="auto"/>
        </w:rPr>
      </w:pPr>
    </w:p>
    <w:p>
      <w:pPr>
        <w:ind w:left="660" w:right="240" w:firstLine="1293"/>
        <w:spacing w:after="0" w:line="251" w:lineRule="auto"/>
        <w:tabs>
          <w:tab w:leader="none" w:pos="238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default in the observance or performance of any covenant set forth in Sections 6.1(f)(i), 6.5 (with respect to the Borrower), 6.11, 6.12, 6.13, 6.14, 6.15, 6.16, 6.17, 6.18, 6.19, 6.20, 6.21 or 6.22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breach or default by the Borrower under Section 6.22 shall constitute an Event of Default with respect to the Term B Facility, unless and until the Required RC/TLA Lenders have accelerated the Revolving Loans and/or Term A-1 Loans and/or terminated the Revolving Credit Commitments in an aggregate amount in excess of $100.0 million or, if less, in an aggregate amount equal to the remaining Revolving Credit Commitments outstanding at such time;</w:t>
      </w:r>
    </w:p>
    <w:p>
      <w:pPr>
        <w:sectPr>
          <w:pgSz w:w="11900" w:h="16838" w:orient="portrait"/>
          <w:cols w:equalWidth="0" w:num="1">
            <w:col w:w="11420"/>
          </w:cols>
          <w:pgMar w:left="240" w:top="622" w:right="239" w:bottom="1440" w:gutter="0" w:footer="0" w:header="0"/>
        </w:sectPr>
      </w:pPr>
    </w:p>
    <w:bookmarkStart w:id="287" w:name="page288"/>
    <w:bookmarkEnd w:id="287"/>
    <w:p>
      <w:pPr>
        <w:ind w:left="-540" w:right="120" w:firstLine="1293"/>
        <w:spacing w:after="0" w:line="263" w:lineRule="auto"/>
        <w:tabs>
          <w:tab w:leader="none" w:pos="117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observance or performance of any other provision hereof or of any other Loan Document which is not remedied within 30 days after written notice of such default is given to the Borrower by the Administrative Agent;</w:t>
      </w:r>
    </w:p>
    <w:p>
      <w:pPr>
        <w:spacing w:after="0" w:line="167" w:lineRule="exact"/>
        <w:rPr>
          <w:rFonts w:ascii="Times New Roman" w:cs="Times New Roman" w:eastAsia="Times New Roman" w:hAnsi="Times New Roman"/>
          <w:sz w:val="22"/>
          <w:szCs w:val="22"/>
          <w:color w:val="auto"/>
        </w:rPr>
      </w:pPr>
    </w:p>
    <w:p>
      <w:pPr>
        <w:ind w:left="-540" w:right="180" w:firstLine="1293"/>
        <w:spacing w:after="0" w:line="282" w:lineRule="auto"/>
        <w:tabs>
          <w:tab w:leader="none" w:pos="1189"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or warranty made or deemed made herein or in any other Loan Document or in any certificate delivered to the Administrative Agent or the Lenders pursuant hereto or thereto proves untrue in any material respect (or in all respects, if qualified by a materiality threshold) as of the date of the issuance or making thereof;</w:t>
      </w:r>
    </w:p>
    <w:p>
      <w:pPr>
        <w:spacing w:after="0" w:line="148" w:lineRule="exact"/>
        <w:rPr>
          <w:rFonts w:ascii="Times New Roman" w:cs="Times New Roman" w:eastAsia="Times New Roman" w:hAnsi="Times New Roman"/>
          <w:sz w:val="21"/>
          <w:szCs w:val="21"/>
          <w:color w:val="auto"/>
        </w:rPr>
      </w:pPr>
    </w:p>
    <w:p>
      <w:pPr>
        <w:ind w:left="-540" w:right="20" w:firstLine="1293"/>
        <w:spacing w:after="0" w:line="248" w:lineRule="auto"/>
        <w:tabs>
          <w:tab w:leader="none" w:pos="117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Loan Documents shall for any reason not be or shall cease to be in full force and effect or is declared to be null and void (other than pursuant to the terms thereof or as a result of the gross negligence, bad faith or willful misconduct of the Administrative Agent as determined by the final, non-appealable judgment of a court of competent jurisdiction), any Lien in favor of the Administrative Agent in any Collateral purported to be covered by any of the Collateral Documents shall be invalid except as expressly permitted by the terms hereof or thereof (other than as a result of the gross negligence, bad faith or willful misconduct of the Administrative Agent as determined by the final, non-appealable judgment of a court of competent jurisdiction), any lien subordination provision in respect of material Collateral shall be determined to be invalid or any Loan Party terminates, repudiates in writing or rescinds any Loan Document executed by it or any of its obligations thereunder (other than pursuant to the terms hereof);</w:t>
      </w:r>
    </w:p>
    <w:p>
      <w:pPr>
        <w:spacing w:after="0" w:line="186" w:lineRule="exact"/>
        <w:rPr>
          <w:rFonts w:ascii="Times New Roman" w:cs="Times New Roman" w:eastAsia="Times New Roman" w:hAnsi="Times New Roman"/>
          <w:sz w:val="22"/>
          <w:szCs w:val="22"/>
          <w:color w:val="auto"/>
        </w:rPr>
      </w:pPr>
    </w:p>
    <w:p>
      <w:pPr>
        <w:ind w:left="-540" w:firstLine="1293"/>
        <w:spacing w:after="0" w:line="247" w:lineRule="auto"/>
        <w:tabs>
          <w:tab w:leader="none" w:pos="1152"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default shall occur under any Material Indebtedness, or under any indenture, agreement or other instrument under which the same may be issued, the effect of which default is to cause, or to permit the holder or holders of such Material Indebtedness (or a trustee or agent on behalf of such holder or holders) to cause any such Indebtedness to become due or required to be prepaid, repurchased, defeased or redeemed prior to its stated maturity, or the principal or interest under any such Material Indebtedness shall not be paid when due (whether by demand, lapse of time, acceleration or otherwise) after giving effect to applicable grace or cure periods, if 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clause (f) shall not apply to termination events or any other similar event under the documents governing Hedge Agreements for so long as such termination event or other similar event does not result in (x) the occurrence of an early termination date or (y) a failure to pay amounts owed resulting from any acceleration or prepayment of any amounts or other Indebtedness payable thereunder; </w:t>
      </w: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this clause (f) shall not apply to any Indebtedness represented by the Convertible Notes;</w:t>
      </w:r>
    </w:p>
    <w:p>
      <w:pPr>
        <w:spacing w:after="0" w:line="192" w:lineRule="exact"/>
        <w:rPr>
          <w:rFonts w:ascii="Times New Roman" w:cs="Times New Roman" w:eastAsia="Times New Roman" w:hAnsi="Times New Roman"/>
          <w:sz w:val="22"/>
          <w:szCs w:val="22"/>
          <w:color w:val="auto"/>
        </w:rPr>
      </w:pPr>
    </w:p>
    <w:p>
      <w:pPr>
        <w:ind w:left="-540" w:right="20" w:firstLine="1293"/>
        <w:spacing w:after="0" w:line="263" w:lineRule="auto"/>
        <w:tabs>
          <w:tab w:leader="none" w:pos="1189"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final judgment or judgments, writ or writs or warrant or warrants of attachment, or any similar process or processes, shall be entered or filed against the Borrower or any of its Restricted Subsidiaries, or against any of its Property,</w:t>
      </w:r>
    </w:p>
    <w:p>
      <w:pPr>
        <w:sectPr>
          <w:pgSz w:w="11900" w:h="16838" w:orient="portrait"/>
          <w:cols w:equalWidth="0" w:num="1">
            <w:col w:w="10200"/>
          </w:cols>
          <w:pgMar w:left="1440" w:top="625" w:right="259" w:bottom="1440" w:gutter="0" w:footer="0" w:header="0"/>
        </w:sectPr>
      </w:pPr>
    </w:p>
    <w:bookmarkStart w:id="288" w:name="page289"/>
    <w:bookmarkEnd w:id="288"/>
    <w:p>
      <w:pPr>
        <w:ind w:right="600"/>
        <w:spacing w:after="0" w:line="257" w:lineRule="auto"/>
        <w:rPr>
          <w:sz w:val="20"/>
          <w:szCs w:val="20"/>
          <w:color w:val="auto"/>
        </w:rPr>
      </w:pPr>
      <w:r>
        <w:rPr>
          <w:rFonts w:ascii="Times New Roman" w:cs="Times New Roman" w:eastAsia="Times New Roman" w:hAnsi="Times New Roman"/>
          <w:sz w:val="22"/>
          <w:szCs w:val="22"/>
          <w:color w:val="auto"/>
        </w:rPr>
        <w:t>in an aggregate amount in excess of $350 million (except to the extent paid or covered by insurance (other than the applicable deductible) and the insurer has not denied coverage therefor in writing), and which remains undischarged, unvacated, unbonded or unstayed for a period of 60 days from the entry thereof;</w:t>
      </w:r>
    </w:p>
    <w:p>
      <w:pPr>
        <w:spacing w:after="0" w:line="173" w:lineRule="exact"/>
        <w:rPr>
          <w:sz w:val="20"/>
          <w:szCs w:val="20"/>
          <w:color w:val="auto"/>
        </w:rPr>
      </w:pPr>
    </w:p>
    <w:p>
      <w:pPr>
        <w:ind w:right="80" w:firstLine="1293"/>
        <w:spacing w:after="0" w:line="247" w:lineRule="auto"/>
        <w:tabs>
          <w:tab w:leader="none" w:pos="17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Reportable Event shall have occurred which could reasonably be expected to result in a Material Adverse Effect; the Borrower or any of its Restricted Subsidiaries, or any member of its Controlled Group, shall fail to pay when due an amount or amounts aggregating in excess of $150 million which it shall have become liable to pay to the PBGC or to a Plan under Title IV of ERISA; or notice of intent to terminate a Plan or Plans having aggregate Unfunded Vested Liabilities in excess of $150 million (collectively, a “</w:t>
      </w:r>
      <w:r>
        <w:rPr>
          <w:rFonts w:ascii="Times New Roman" w:cs="Times New Roman" w:eastAsia="Times New Roman" w:hAnsi="Times New Roman"/>
          <w:sz w:val="22"/>
          <w:szCs w:val="22"/>
          <w:i w:val="1"/>
          <w:iCs w:val="1"/>
          <w:color w:val="auto"/>
        </w:rPr>
        <w:t>Material Plan</w:t>
      </w:r>
      <w:r>
        <w:rPr>
          <w:rFonts w:ascii="Times New Roman" w:cs="Times New Roman" w:eastAsia="Times New Roman" w:hAnsi="Times New Roman"/>
          <w:sz w:val="22"/>
          <w:szCs w:val="22"/>
          <w:color w:val="auto"/>
        </w:rPr>
        <w:t>”) shall be filed under Title IV of ERISA by the Borrower or any of its Restricted Subsidiaries,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Borrower or any of its Restricted Subsidiaries, or any member of its Controlled Group, to enforce Section 515 or 4219(c)(5) of ERISA and such proceeding shall not have been dismissed within 30 days thereafter; or a condition shall exist by reason of which the PBGC would be entitled to obtain a decree adjudicating that any Material Plan must be terminated;</w:t>
      </w:r>
    </w:p>
    <w:p>
      <w:pPr>
        <w:spacing w:after="0" w:line="184" w:lineRule="exact"/>
        <w:rPr>
          <w:rFonts w:ascii="Times New Roman" w:cs="Times New Roman" w:eastAsia="Times New Roman" w:hAnsi="Times New Roman"/>
          <w:sz w:val="22"/>
          <w:szCs w:val="22"/>
          <w:color w:val="auto"/>
        </w:rPr>
      </w:pPr>
    </w:p>
    <w:p>
      <w:pPr>
        <w:ind w:left="1680" w:hanging="387"/>
        <w:spacing w:after="0"/>
        <w:tabs>
          <w:tab w:leader="none" w:pos="16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shall occur;</w:t>
      </w:r>
    </w:p>
    <w:p>
      <w:pPr>
        <w:spacing w:after="0" w:line="233" w:lineRule="exact"/>
        <w:rPr>
          <w:rFonts w:ascii="Times New Roman" w:cs="Times New Roman" w:eastAsia="Times New Roman" w:hAnsi="Times New Roman"/>
          <w:sz w:val="22"/>
          <w:szCs w:val="22"/>
          <w:color w:val="auto"/>
        </w:rPr>
      </w:pPr>
    </w:p>
    <w:p>
      <w:pPr>
        <w:ind w:firstLine="1293"/>
        <w:spacing w:after="0" w:line="248" w:lineRule="auto"/>
        <w:tabs>
          <w:tab w:leader="none" w:pos="16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Restricted Subsidiaries that are Significant Subsidiaries shall (i) have entered involuntarily against it an order for relief under the United States Bankruptcy Code, as amended, and such period shall continue for a period of sixty (60) days, (ii) admit in writing its inability to pay its debts generally as they become due, (iii) make a general assignment for the benefit of creditors, (iv) apply for, seek, consent to or acquiesce in, the appointment of a receiver, custodian, trustee, examiner, provisional liquidator, liquidator or similar official for it or any substantial part of its Property, or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w:t>
      </w:r>
    </w:p>
    <w:p>
      <w:pPr>
        <w:spacing w:after="0" w:line="186" w:lineRule="exact"/>
        <w:rPr>
          <w:rFonts w:ascii="Times New Roman" w:cs="Times New Roman" w:eastAsia="Times New Roman" w:hAnsi="Times New Roman"/>
          <w:sz w:val="22"/>
          <w:szCs w:val="22"/>
          <w:color w:val="auto"/>
        </w:rPr>
      </w:pPr>
    </w:p>
    <w:p>
      <w:pPr>
        <w:ind w:right="100" w:firstLine="1293"/>
        <w:spacing w:after="0" w:line="257" w:lineRule="auto"/>
        <w:tabs>
          <w:tab w:leader="none" w:pos="17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receiver, trustee, examiner, provisional liquidator, liquidator or similar official shall be appointed for the Borrower or any of its Restricted Subsidiaries that are Significant Subsidiaries, or any substantial part of any of its Property, or a proceeding described in Section 7.1(j)(v) shall be instituted against the Borrower or any Restricted Subsidiary that is a Significant Subsidiary, and such</w:t>
      </w:r>
    </w:p>
    <w:p>
      <w:pPr>
        <w:sectPr>
          <w:pgSz w:w="11900" w:h="16838" w:orient="portrait"/>
          <w:cols w:equalWidth="0" w:num="1">
            <w:col w:w="10700"/>
          </w:cols>
          <w:pgMar w:left="900" w:top="625" w:right="299" w:bottom="1440" w:gutter="0" w:footer="0" w:header="0"/>
        </w:sectPr>
      </w:pPr>
    </w:p>
    <w:bookmarkStart w:id="289" w:name="page290"/>
    <w:bookmarkEnd w:id="289"/>
    <w:p>
      <w:pPr>
        <w:ind w:left="660"/>
        <w:spacing w:after="0"/>
        <w:rPr>
          <w:sz w:val="20"/>
          <w:szCs w:val="20"/>
          <w:color w:val="auto"/>
        </w:rPr>
      </w:pPr>
      <w:r>
        <w:rPr>
          <w:rFonts w:ascii="Times New Roman" w:cs="Times New Roman" w:eastAsia="Times New Roman" w:hAnsi="Times New Roman"/>
          <w:sz w:val="22"/>
          <w:szCs w:val="22"/>
          <w:color w:val="auto"/>
        </w:rPr>
        <w:t>appointment continues undischarged or such proceeding continues undismissed or unstayed for a period of 60 days.</w:t>
      </w:r>
    </w:p>
    <w:p>
      <w:pPr>
        <w:spacing w:after="0" w:line="216" w:lineRule="exact"/>
        <w:rPr>
          <w:sz w:val="20"/>
          <w:szCs w:val="20"/>
          <w:color w:val="auto"/>
        </w:rPr>
      </w:pPr>
    </w:p>
    <w:p>
      <w:pPr>
        <w:ind w:right="80" w:firstLine="648"/>
        <w:spacing w:after="0" w:line="293"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i w:val="1"/>
          <w:iCs w:val="1"/>
          <w:color w:val="auto"/>
        </w:rPr>
        <w:t>Non-Bankruptcy Defaults</w:t>
      </w:r>
      <w:r>
        <w:rPr>
          <w:rFonts w:ascii="Times New Roman" w:cs="Times New Roman" w:eastAsia="Times New Roman" w:hAnsi="Times New Roman"/>
          <w:sz w:val="18"/>
          <w:szCs w:val="18"/>
          <w:color w:val="auto"/>
        </w:rPr>
        <w:t>. When any Event of Default other than those described in subsection (j) or (k) of Section 7.1 hereof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has occurred and is continuing, the Administrative Agent shall, by written notice to the Borrower: (a) if so directed by the Required RC Lenders, terminate the remaining Revolving Credit Commitments, and if so directed by the Required Lenders, terminate all other obligations of the Lenders hereunder on the date stated in such notice (which may be the date thereof);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(c) after a breach or default by the Borrower under Section 6.22, if so directed by the Required RC/TLA Lenders, terminate the remaining Revolving Credit Commitments and declare the principal of and the accrued interest on all outstanding Revolving Loans and Term A-1 Loans to be forthwith due and payable, and thereafter, if so directed by the Required RC/TLA Lenders, terminate all other obligations of the Revolving Lenders and Term A-1 Lenders hereunder on the date stated in such notice (which may be the date thereof) and (d) if so directed by the Required RC Lenders, demand that the Borrower immediately pay to the Administrative Agent, as cash collateral, the full amount then available for drawing under each or any Letter of Credit, whether or not any drawings or other demands for payment have been made under any Letter of Credit. The Administrative Agent, after giving notice to the Borrower pursuant to Section 7.1(c) or this Section 7.2, shall also promptly send a copy of such notice to the other Lenders, but the failure to do so shall not impair or annul the effect of such notice.</w:t>
      </w:r>
    </w:p>
    <w:p>
      <w:pPr>
        <w:spacing w:after="0" w:line="172"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i w:val="1"/>
          <w:iCs w:val="1"/>
          <w:color w:val="auto"/>
        </w:rPr>
        <w:t>Bankruptcy Defaults</w:t>
      </w:r>
      <w:r>
        <w:rPr>
          <w:rFonts w:ascii="Times New Roman" w:cs="Times New Roman" w:eastAsia="Times New Roman" w:hAnsi="Times New Roman"/>
          <w:sz w:val="18"/>
          <w:szCs w:val="18"/>
          <w:color w:val="auto"/>
        </w:rPr>
        <w:t>. When any Event of Default described in subsections (j) or (k) of Section 7.1 hereof has occurred and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continuing, then all outstanding Loans shall immediately become due and payable together with all other amounts payable under the Loan Documents without presentment, demand, protest or notice of any kind, the Revolving Credit Commitments and any and all other obligations of the Lenders to extend further credit pursuant to any of the terms hereof shall immediately terminate and the Borrower shall immediately pay to the Administrative Agent, as cash collateral, the full amount then available for drawing under all outstanding Letters of Credit, whether or not any draws or other demands for payment have been made under any of the Letters of Credit.</w:t>
      </w:r>
    </w:p>
    <w:p>
      <w:pPr>
        <w:spacing w:after="0" w:line="17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i w:val="1"/>
          <w:iCs w:val="1"/>
          <w:color w:val="auto"/>
        </w:rPr>
        <w:t>Collateral for Undrawn Letters of Credit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80" w:firstLine="656"/>
        <w:spacing w:after="0" w:line="263" w:lineRule="auto"/>
        <w:tabs>
          <w:tab w:leader="none" w:pos="1068"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prepayment of the amount available for drawing under any or all outstanding Letters of Credit is required under Section 2.8(c)(v) or under Section 7.2 or 7.3 above, the Borrower shall forthwith pay the amount required to be so prepaid, to be held by the Administrative Agent as provided in subsection (b) below.</w:t>
      </w:r>
    </w:p>
    <w:p>
      <w:pPr>
        <w:spacing w:after="0" w:line="167" w:lineRule="exact"/>
        <w:rPr>
          <w:rFonts w:ascii="Times New Roman" w:cs="Times New Roman" w:eastAsia="Times New Roman" w:hAnsi="Times New Roman"/>
          <w:sz w:val="22"/>
          <w:szCs w:val="22"/>
          <w:color w:val="auto"/>
        </w:rPr>
      </w:pPr>
    </w:p>
    <w:p>
      <w:pPr>
        <w:ind w:firstLine="656"/>
        <w:spacing w:after="0" w:line="251" w:lineRule="auto"/>
        <w:tabs>
          <w:tab w:leader="none" w:pos="108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prepaid pursuant to clause (a) above shall be held by the Administrative Agent in one (1)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Times New Roman" w:cs="Times New Roman" w:eastAsia="Times New Roman" w:hAnsi="Times New Roman"/>
          <w:sz w:val="22"/>
          <w:szCs w:val="22"/>
          <w:i w:val="1"/>
          <w:iCs w:val="1"/>
          <w:color w:val="auto"/>
        </w:rPr>
        <w:t>Collateral Account</w:t>
      </w:r>
      <w:r>
        <w:rPr>
          <w:rFonts w:ascii="Times New Roman" w:cs="Times New Roman" w:eastAsia="Times New Roman" w:hAnsi="Times New Roman"/>
          <w:sz w:val="22"/>
          <w:szCs w:val="22"/>
          <w:color w:val="auto"/>
        </w:rPr>
        <w:t>”) as security for, and for application by the Administrative Agent (to the extent available) to, the reimbursement of any payment under any Letter of Credit then or thereafter made by the L/C Issuers, and to the payment of the unpaid balance of any other</w:t>
      </w:r>
    </w:p>
    <w:p>
      <w:pPr>
        <w:sectPr>
          <w:pgSz w:w="11900" w:h="16838" w:orient="portrait"/>
          <w:cols w:equalWidth="0" w:num="1">
            <w:col w:w="11420"/>
          </w:cols>
          <w:pgMar w:left="240" w:top="625" w:right="239" w:bottom="1440" w:gutter="0" w:footer="0" w:header="0"/>
        </w:sectPr>
      </w:pPr>
    </w:p>
    <w:bookmarkStart w:id="290" w:name="page291"/>
    <w:bookmarkEnd w:id="290"/>
    <w:p>
      <w:pPr>
        <w:ind w:right="20"/>
        <w:spacing w:after="0" w:line="246" w:lineRule="auto"/>
        <w:rPr>
          <w:sz w:val="20"/>
          <w:szCs w:val="20"/>
          <w:color w:val="auto"/>
        </w:rPr>
      </w:pPr>
      <w:r>
        <w:rPr>
          <w:rFonts w:ascii="Times New Roman" w:cs="Times New Roman" w:eastAsia="Times New Roman" w:hAnsi="Times New Roman"/>
          <w:sz w:val="22"/>
          <w:szCs w:val="22"/>
          <w:color w:val="auto"/>
        </w:rPr>
        <w:t xml:space="preserve">Obligations in respect of any Letter of Credit. The Collateral Account shall be held in the name of and subject to the exclusive dominion and control of the Administrative Agent for the benefit of the Administrative Agent, the Lenders and the L/C Issuers. If and when requested by the Borrower, the Administrative Agent shall invest funds held in the Collateral Account from time to time in direct obligations of, or obligations the principal of and interest on which are unconditionally guaranteed by, the United States of America with a remaining maturity of one (1) year or less;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is irrevocably authorized to sell investments held in the Collateral Account when and as required to make payments out of the Collateral Account for application to amounts due and owing from the Borrower to the L/C Issuers, the Administrative Agent or the Lenders in respect of any Letter of Credit;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(i) the Borrower shall have made payment of all such obligations referred to in clause (a) above and (ii) no Letters of Credit remain outstanding hereunder, then the Administrative Agent shall release to the Borrower any remaining amounts held in the Collateral Account.</w:t>
      </w:r>
    </w:p>
    <w:p>
      <w:pPr>
        <w:spacing w:after="0" w:line="185" w:lineRule="exact"/>
        <w:rPr>
          <w:sz w:val="20"/>
          <w:szCs w:val="20"/>
          <w:color w:val="auto"/>
        </w:rPr>
      </w:pPr>
    </w:p>
    <w:p>
      <w:pPr>
        <w:ind w:right="400" w:firstLine="648"/>
        <w:spacing w:after="0" w:line="313" w:lineRule="auto"/>
        <w:rPr>
          <w:sz w:val="20"/>
          <w:szCs w:val="20"/>
          <w:color w:val="auto"/>
        </w:rPr>
      </w:pPr>
      <w:r>
        <w:rPr>
          <w:rFonts w:ascii="Times New Roman" w:cs="Times New Roman" w:eastAsia="Times New Roman" w:hAnsi="Times New Roman"/>
          <w:sz w:val="21"/>
          <w:szCs w:val="21"/>
          <w:color w:val="auto"/>
        </w:rPr>
        <w:t xml:space="preserve">Section 7.5 </w:t>
      </w:r>
      <w:r>
        <w:rPr>
          <w:rFonts w:ascii="Times New Roman" w:cs="Times New Roman" w:eastAsia="Times New Roman" w:hAnsi="Times New Roman"/>
          <w:sz w:val="21"/>
          <w:szCs w:val="21"/>
          <w:i w:val="1"/>
          <w:iCs w:val="1"/>
          <w:color w:val="auto"/>
        </w:rPr>
        <w:t>Notice of Default</w:t>
      </w:r>
      <w:r>
        <w:rPr>
          <w:rFonts w:ascii="Times New Roman" w:cs="Times New Roman" w:eastAsia="Times New Roman" w:hAnsi="Times New Roman"/>
          <w:sz w:val="21"/>
          <w:szCs w:val="21"/>
          <w:color w:val="auto"/>
        </w:rPr>
        <w:t>. The Administrative Agent shall give notice to the Borrower under Section 7.1(c) hereof promptly upon being requested to do so by the Required Lenders and shall at such time also notify all the Lenders thereof.</w:t>
      </w:r>
    </w:p>
    <w:p>
      <w:pPr>
        <w:spacing w:after="0" w:line="11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ARTICLE 8.</w:t>
      </w:r>
      <w:r>
        <w:rPr>
          <w:sz w:val="20"/>
          <w:szCs w:val="20"/>
          <w:color w:val="auto"/>
        </w:rPr>
        <w:tab/>
      </w:r>
      <w:r>
        <w:rPr>
          <w:rFonts w:ascii="Times New Roman" w:cs="Times New Roman" w:eastAsia="Times New Roman" w:hAnsi="Times New Roman"/>
          <w:sz w:val="21"/>
          <w:szCs w:val="21"/>
          <w:b w:val="1"/>
          <w:bCs w:val="1"/>
          <w:u w:val="single" w:color="auto"/>
          <w:color w:val="auto"/>
        </w:rPr>
        <w:t>CHANGE IN CIRCUMSTANCES AND CONTINGENCIES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right="18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i w:val="1"/>
          <w:iCs w:val="1"/>
          <w:color w:val="auto"/>
        </w:rPr>
        <w:t>Funding Indemnity</w:t>
      </w:r>
      <w:r>
        <w:rPr>
          <w:rFonts w:ascii="Times New Roman" w:cs="Times New Roman" w:eastAsia="Times New Roman" w:hAnsi="Times New Roman"/>
          <w:sz w:val="18"/>
          <w:szCs w:val="18"/>
          <w:color w:val="auto"/>
        </w:rPr>
        <w:t>. If any Lender shall incur any loss, cost or expense (including, without limitation, any loss, cost or expense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incurred by reason of the liquidation or reemployment of deposits or other funds acquired by such Lender to fund or maintain any Eurodollar Loan, but excluding any loss of margin) as a result of:</w:t>
      </w:r>
    </w:p>
    <w:p>
      <w:pPr>
        <w:spacing w:after="0" w:line="175" w:lineRule="exact"/>
        <w:rPr>
          <w:sz w:val="20"/>
          <w:szCs w:val="20"/>
          <w:color w:val="auto"/>
        </w:rPr>
      </w:pPr>
    </w:p>
    <w:p>
      <w:pPr>
        <w:ind w:left="660" w:right="380" w:firstLine="1293"/>
        <w:spacing w:after="0" w:line="263" w:lineRule="auto"/>
        <w:tabs>
          <w:tab w:leader="none" w:pos="237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prepayment or conversion of a Eurodollar Loan on a date other than the last day of its Interest Period (excluding a release of the Escrow Account Funds pursuant to Section 2.8(c)(ix) of the Original Loan Agreement),</w:t>
      </w:r>
    </w:p>
    <w:p>
      <w:pPr>
        <w:spacing w:after="0" w:line="167" w:lineRule="exact"/>
        <w:rPr>
          <w:rFonts w:ascii="Times New Roman" w:cs="Times New Roman" w:eastAsia="Times New Roman" w:hAnsi="Times New Roman"/>
          <w:sz w:val="22"/>
          <w:szCs w:val="22"/>
          <w:color w:val="auto"/>
        </w:rPr>
      </w:pPr>
    </w:p>
    <w:p>
      <w:pPr>
        <w:jc w:val="both"/>
        <w:ind w:left="660" w:right="340" w:firstLine="1293"/>
        <w:spacing w:after="0" w:line="263" w:lineRule="auto"/>
        <w:tabs>
          <w:tab w:leader="none" w:pos="2389"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(because of a failure to meet the conditions of Article 3 or otherwise) by the Borrower to borrow or continue a Eurodollar Loan, or to convert a Loan that is a Base Rate Loan into a Eurodollar Loan, on the date specified in a notice given pursuant to Section 2.5(a) hereof,</w:t>
      </w:r>
    </w:p>
    <w:p>
      <w:pPr>
        <w:spacing w:after="0" w:line="167" w:lineRule="exact"/>
        <w:rPr>
          <w:rFonts w:ascii="Times New Roman" w:cs="Times New Roman" w:eastAsia="Times New Roman" w:hAnsi="Times New Roman"/>
          <w:sz w:val="22"/>
          <w:szCs w:val="22"/>
          <w:color w:val="auto"/>
        </w:rPr>
      </w:pPr>
    </w:p>
    <w:p>
      <w:pPr>
        <w:ind w:left="660" w:right="640" w:firstLine="1293"/>
        <w:spacing w:after="0" w:line="284" w:lineRule="auto"/>
        <w:tabs>
          <w:tab w:leader="none" w:pos="237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to make any payment of principal on any Eurodollar Loan when due (whether by acceleration or otherwise),</w:t>
      </w:r>
    </w:p>
    <w:p>
      <w:pPr>
        <w:spacing w:after="0" w:line="144" w:lineRule="exact"/>
        <w:rPr>
          <w:rFonts w:ascii="Times New Roman" w:cs="Times New Roman" w:eastAsia="Times New Roman" w:hAnsi="Times New Roman"/>
          <w:sz w:val="22"/>
          <w:szCs w:val="22"/>
          <w:color w:val="auto"/>
        </w:rPr>
      </w:pPr>
    </w:p>
    <w:p>
      <w:pPr>
        <w:ind w:left="660" w:firstLine="1293"/>
        <w:spacing w:after="0" w:line="263" w:lineRule="auto"/>
        <w:tabs>
          <w:tab w:leader="none" w:pos="2389"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to prepay a Eurodollar Loan on the date specified in a notice of prepayment given pursuant to Section 2.8(a)(i) hereto (including where such notice has been revoked by the Borrower or otherwise (unless such notice may be revoked under Section 2.5 and is revoked in accordance therewith)),</w:t>
      </w:r>
    </w:p>
    <w:p>
      <w:pPr>
        <w:sectPr>
          <w:pgSz w:w="11900" w:h="16838" w:orient="portrait"/>
          <w:cols w:equalWidth="0" w:num="1">
            <w:col w:w="11380"/>
          </w:cols>
          <w:pgMar w:left="240" w:top="625" w:right="279" w:bottom="1440" w:gutter="0" w:footer="0" w:header="0"/>
        </w:sectPr>
      </w:pPr>
    </w:p>
    <w:bookmarkStart w:id="291" w:name="page292"/>
    <w:bookmarkEnd w:id="291"/>
    <w:p>
      <w:pPr>
        <w:ind w:left="660" w:right="540" w:firstLine="1293"/>
        <w:spacing w:after="0" w:line="284" w:lineRule="auto"/>
        <w:tabs>
          <w:tab w:leader="none" w:pos="2376"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acceleration of the maturity of a Eurodollar Loan as a result of the occurrence of any Event of Default hereunder, or</w:t>
      </w:r>
    </w:p>
    <w:p>
      <w:pPr>
        <w:spacing w:after="0" w:line="144" w:lineRule="exact"/>
        <w:rPr>
          <w:rFonts w:ascii="Times New Roman" w:cs="Times New Roman" w:eastAsia="Times New Roman" w:hAnsi="Times New Roman"/>
          <w:sz w:val="22"/>
          <w:szCs w:val="22"/>
          <w:color w:val="auto"/>
        </w:rPr>
      </w:pPr>
    </w:p>
    <w:p>
      <w:pPr>
        <w:ind w:left="660" w:right="320" w:firstLine="1293"/>
        <w:spacing w:after="0" w:line="284" w:lineRule="auto"/>
        <w:tabs>
          <w:tab w:leader="none" w:pos="2352"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of a Eurodollar Loan on a day prior to the last day of the Interest Period therefor as a result of a request by the Borrower pursuant to Section 8.5,</w:t>
      </w:r>
    </w:p>
    <w:p>
      <w:pPr>
        <w:spacing w:after="0" w:line="14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then, within ten (10) days after the written demand of such Lender, the Borrower shall pay to such Lender such amount as will reimburse such Lender for such loss, cost or expense. If any Lender makes such a claim for compensation, it shall provide to the Borrower, with a copy to the Administrative Agent, a certificate setting forth the amount of such loss, cost or expense in reasonable detail (including an explanation of the basis for and the computation of such loss, cost or expense) and the amounts shown on such certificate shall be conclusive absent manifest error.</w:t>
      </w:r>
    </w:p>
    <w:p>
      <w:pPr>
        <w:spacing w:after="0" w:line="177"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i w:val="1"/>
          <w:iCs w:val="1"/>
          <w:color w:val="auto"/>
        </w:rPr>
        <w:t>Illegality</w:t>
      </w:r>
      <w:r>
        <w:rPr>
          <w:rFonts w:ascii="Times New Roman" w:cs="Times New Roman" w:eastAsia="Times New Roman" w:hAnsi="Times New Roman"/>
          <w:sz w:val="18"/>
          <w:szCs w:val="18"/>
          <w:color w:val="auto"/>
        </w:rPr>
        <w:t>. Notwithstanding any other provisions of this Agreement or any other Loan Document, if at any time any change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applicable law, rule or regulation or in the interpretation thereof makes it unlawful for any Lender to make or continue to maintain any Eurodollar Loans whose interest is determined by reference to Adjusted LIBOR, or to perform its obligations as contemplated hereby with respect to such Eurodollar Loans, such Lender shall promptly give notice thereof to the Borrower and the Administrative Agent and such Lender’s obligations to make or maintain Eurodollar Loans in the affected currency or currencies under this Agreement shall be suspended until it is no longer unlawful for such Lender to make or maintain Eurodollar Loans in such affected currency or currencies. In the case of Eurodollar Loans denominated in Dollars, such Lender may require that such affected Eurodollar Loans be converted to Base Rate Loans from such Lender automatically on the effective date of the notice provided above, and such Base Rate Loans shall not be made ratably by the Lenders but only from such affected Lender. Each Lender agrees to notify the Administrative Agent and the Borrower in writing promptly following any date on which it becomes lawful for such Lender to make and maintain Eurodollar Loans or give effect to its obligations as contemplated hereby with respect to any Eurodollar Loan.</w:t>
      </w:r>
    </w:p>
    <w:p>
      <w:pPr>
        <w:spacing w:after="0" w:line="17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1"/>
          <w:szCs w:val="21"/>
          <w:i w:val="1"/>
          <w:iCs w:val="1"/>
          <w:color w:val="auto"/>
        </w:rPr>
        <w:t>Alternate Rate of Interest</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1080" w:hanging="424"/>
        <w:spacing w:after="0"/>
        <w:tabs>
          <w:tab w:leader="none" w:pos="108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commencement of any Interest Period for a Eurodollar Loan:</w:t>
      </w:r>
    </w:p>
    <w:p>
      <w:pPr>
        <w:spacing w:after="0" w:line="233" w:lineRule="exact"/>
        <w:rPr>
          <w:rFonts w:ascii="Times New Roman" w:cs="Times New Roman" w:eastAsia="Times New Roman" w:hAnsi="Times New Roman"/>
          <w:sz w:val="22"/>
          <w:szCs w:val="22"/>
          <w:color w:val="auto"/>
        </w:rPr>
      </w:pPr>
    </w:p>
    <w:p>
      <w:pPr>
        <w:ind w:right="40" w:firstLine="899"/>
        <w:spacing w:after="0" w:line="263" w:lineRule="auto"/>
        <w:tabs>
          <w:tab w:leader="none" w:pos="1275"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in good faith and in its reasonable discretion (which determination shall be deemed presumptively correct absent manifest error) that adequate and reasonable means do not exist for ascertaining the Adjusted LIBOR for such Interest Period, as applicable; or</w:t>
      </w:r>
    </w:p>
    <w:p>
      <w:pPr>
        <w:spacing w:after="0" w:line="167" w:lineRule="exact"/>
        <w:rPr>
          <w:rFonts w:ascii="Times New Roman" w:cs="Times New Roman" w:eastAsia="Times New Roman" w:hAnsi="Times New Roman"/>
          <w:sz w:val="22"/>
          <w:szCs w:val="22"/>
          <w:color w:val="auto"/>
        </w:rPr>
      </w:pPr>
    </w:p>
    <w:p>
      <w:pPr>
        <w:jc w:val="both"/>
        <w:ind w:right="300" w:firstLine="899"/>
        <w:spacing w:after="0" w:line="257" w:lineRule="auto"/>
        <w:tabs>
          <w:tab w:leader="none" w:pos="1335"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in good faith and in its reasonable discretion or is advised in writing by the Required Lenders (which determination shall be deemed presumptively correct absent manifest error) that deposits in Dollars or Euros, as applicable, are not being offered to banks in the London interbank eurodollar market for the applicable amount and Interest Period of such Eurodollar Loan; or</w:t>
      </w:r>
    </w:p>
    <w:p>
      <w:pPr>
        <w:spacing w:after="0" w:line="172" w:lineRule="exact"/>
        <w:rPr>
          <w:rFonts w:ascii="Times New Roman" w:cs="Times New Roman" w:eastAsia="Times New Roman" w:hAnsi="Times New Roman"/>
          <w:sz w:val="22"/>
          <w:szCs w:val="22"/>
          <w:color w:val="auto"/>
        </w:rPr>
      </w:pPr>
    </w:p>
    <w:p>
      <w:pPr>
        <w:ind w:right="260" w:firstLine="899"/>
        <w:spacing w:after="0" w:line="284" w:lineRule="auto"/>
        <w:tabs>
          <w:tab w:leader="none" w:pos="1395"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in good faith and in its reasonable discretion or is advised in writing by the Required Lenders that the Adjusted LIBOR for such Interest</w:t>
      </w:r>
    </w:p>
    <w:p>
      <w:pPr>
        <w:sectPr>
          <w:pgSz w:w="11900" w:h="16838" w:orient="portrait"/>
          <w:cols w:equalWidth="0" w:num="1">
            <w:col w:w="11380"/>
          </w:cols>
          <w:pgMar w:left="240" w:top="626" w:right="279" w:bottom="1440" w:gutter="0" w:footer="0" w:header="0"/>
        </w:sectPr>
      </w:pPr>
    </w:p>
    <w:bookmarkStart w:id="292" w:name="page293"/>
    <w:bookmarkEnd w:id="292"/>
    <w:p>
      <w:pPr>
        <w:ind w:right="120"/>
        <w:spacing w:after="0" w:line="257" w:lineRule="auto"/>
        <w:rPr>
          <w:sz w:val="20"/>
          <w:szCs w:val="20"/>
          <w:color w:val="auto"/>
        </w:rPr>
      </w:pPr>
      <w:r>
        <w:rPr>
          <w:rFonts w:ascii="Times New Roman" w:cs="Times New Roman" w:eastAsia="Times New Roman" w:hAnsi="Times New Roman"/>
          <w:sz w:val="22"/>
          <w:szCs w:val="22"/>
          <w:color w:val="auto"/>
        </w:rPr>
        <w:t>Period, as applicable, will not adequately and fairly reflect the cost to such Lenders of making or maintaining their Loans included in such Borrowing for such Interest Period (in each case with respect to the Eurodollar Loans impacted by this clause (iii) or clauses (i) or (ii) above, “</w:t>
      </w:r>
      <w:r>
        <w:rPr>
          <w:rFonts w:ascii="Times New Roman" w:cs="Times New Roman" w:eastAsia="Times New Roman" w:hAnsi="Times New Roman"/>
          <w:sz w:val="22"/>
          <w:szCs w:val="22"/>
          <w:i w:val="1"/>
          <w:iCs w:val="1"/>
          <w:color w:val="auto"/>
        </w:rPr>
        <w:t>Impacted Loans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1"/>
          <w:szCs w:val="21"/>
          <w:color w:val="auto"/>
        </w:rPr>
        <w:t>then the Administrative Agent shall give written notice thereof to the Borrower and the Lenders as promptly as practicable thereafter and, until the Administrative Agent notifies the Borrower and the Lenders that the circumstances giving rise to such notice no longer exist (which notice shall be delivered by the Administrative Agent promptly after such situation ceases to exist),</w:t>
      </w:r>
    </w:p>
    <w:p>
      <w:pPr>
        <w:spacing w:after="0" w:line="3" w:lineRule="exact"/>
        <w:rPr>
          <w:sz w:val="20"/>
          <w:szCs w:val="20"/>
          <w:color w:val="auto"/>
        </w:rPr>
      </w:pPr>
    </w:p>
    <w:p>
      <w:pPr>
        <w:ind w:right="120" w:firstLine="8"/>
        <w:spacing w:after="0" w:line="260" w:lineRule="auto"/>
        <w:tabs>
          <w:tab w:leader="none" w:pos="258"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any Borrowing denominated in Dollars is so affected, any notice of continuation/conversion that requests the conversion of such Borrowing to, or continuation of any Borrowing as, a Eurodollar Loan shall be ineffective and (ii) if any notice of Borrowing requests a Eurodollar Loan, the relevant interest rate shall be the Interpolated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may revoke any such notice of borrowing (without penalty) prior to such Borrowing upon written notice to the Administrative Agent.</w:t>
      </w:r>
    </w:p>
    <w:p>
      <w:pPr>
        <w:spacing w:after="0" w:line="172" w:lineRule="exact"/>
        <w:rPr>
          <w:rFonts w:ascii="Times New Roman" w:cs="Times New Roman" w:eastAsia="Times New Roman" w:hAnsi="Times New Roman"/>
          <w:sz w:val="21"/>
          <w:szCs w:val="21"/>
          <w:color w:val="auto"/>
        </w:rPr>
      </w:pPr>
    </w:p>
    <w:p>
      <w:pPr>
        <w:ind w:firstLine="656"/>
        <w:spacing w:after="0" w:line="258" w:lineRule="auto"/>
        <w:tabs>
          <w:tab w:leader="none" w:pos="1080"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Term A-1 Loans and/or Revolving Loans, 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the supervisor for the administrator of LIBOR Screen Rate or a Governmental Authority having jurisdiction over the Administrative Agent has made a public statement identifying a specific date after which the LIBOR Screen Rate shall no longer be used for determining interest rates for loans, then the Administrative Agent and the Borrower shall endeavor to establish an alternate rate of interest to Adjusted LIBOR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Notwithstanding anything to the contrary in Section 10.11, such amendment shall become effective without any further action or consent of any other party to this Agreement so long as the Administrative Agent shall not have received, within five (5) Business Days of the date of the notice of such alternate rate of interest is provided to the Lenders, a written notice from the Required RC/TLA Lenders stating that such Required RC/TLA Lenders object to such amendment;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to the extent such written notice is received from the Required RC/TLA Lenders within such time period, only the consent of the Required RC/TLA Lenders shall be necessary to amend this Agreement to reflect an alternate rate of interest to the LIBOR Screen Rate, and such other related changes to this Agreement as may be applicable. Until an alternate rate of interest shall be determined in accordance with this clause (b) (but, in the case of the circumstances described in clause (ii) of the first sentence of this Section 8.3(b), only to the extent the LIBOR Screen Rate for such Interest Period is not available or published at such time on a current basis), (x) any notice of continuation/conversion that requests the conversion of any Loan to, or continuation of any Loan as, a Eurodollar Loan shall be ineffective and (y) if any notice of</w:t>
      </w:r>
    </w:p>
    <w:p>
      <w:pPr>
        <w:sectPr>
          <w:pgSz w:w="11900" w:h="16838" w:orient="portrait"/>
          <w:cols w:equalWidth="0" w:num="1">
            <w:col w:w="11420"/>
          </w:cols>
          <w:pgMar w:left="240" w:top="625" w:right="239" w:bottom="1440" w:gutter="0" w:footer="0" w:header="0"/>
        </w:sectPr>
      </w:pPr>
    </w:p>
    <w:bookmarkStart w:id="293" w:name="page294"/>
    <w:bookmarkEnd w:id="293"/>
    <w:p>
      <w:pPr>
        <w:ind w:right="660"/>
        <w:spacing w:after="0" w:line="275" w:lineRule="auto"/>
        <w:rPr>
          <w:sz w:val="20"/>
          <w:szCs w:val="20"/>
          <w:color w:val="auto"/>
        </w:rPr>
      </w:pPr>
      <w:r>
        <w:rPr>
          <w:rFonts w:ascii="Times New Roman" w:cs="Times New Roman" w:eastAsia="Times New Roman" w:hAnsi="Times New Roman"/>
          <w:sz w:val="22"/>
          <w:szCs w:val="22"/>
          <w:color w:val="auto"/>
        </w:rPr>
        <w:t xml:space="preserve">Borrowing requests a Eurodollar Loan, such Loan shall be made as a Base Rate Loan;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alternate rate of interest shall be less than zero, such rate shall be deemed to be zero for the purposes of this Agreement.</w:t>
      </w:r>
    </w:p>
    <w:p>
      <w:pPr>
        <w:spacing w:after="0" w:line="154" w:lineRule="exact"/>
        <w:rPr>
          <w:sz w:val="20"/>
          <w:szCs w:val="20"/>
          <w:color w:val="auto"/>
        </w:rPr>
      </w:pPr>
    </w:p>
    <w:p>
      <w:pPr>
        <w:ind w:firstLine="656"/>
        <w:spacing w:after="0" w:line="257" w:lineRule="auto"/>
        <w:tabs>
          <w:tab w:leader="none" w:pos="1068"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U.S. Term B-4 Loans, 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the supervisor for the administrator of LIBOR Screen Rate or a Governmental Authority having jurisdiction over the Administrative Agent has made a public statement identifying a specific date after which the LIBOR Screen Rate shall no longer be used for determining interest rates for loans, then the Administrative Agent and the Borrower shall endeavor to establish an alternate rate of interest to Adjusted LIBOR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Notwithstanding anything to the contrary in Section 10.11, such amendment shall become effective without any further action or consent of any other party to this Agreement so long as the Administrative Agent shall not have received, within five (5) Business Days of the date of the notice of such alternate rate of interest is provided to the Lenders, a written notice from the Required U.S. Term B-4 Lenders stating that such Required U.S. Term B-4 Lenders object to such amendment;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such written notice is received from the Required U.S. Term B-4 Lenders within such time period, only the consent of the Required U.S. Term-4 B Lenders shall be necessary to amend this Agreement to reflect an alternate rate of interest to the LIBOR Screen Rate, and such other related changes to this Agreement as may be applicable. Until an alternate rate of interest shall be determined in accordance with this clause (c) (but, in the case of the circumstances described in clause (ii) of the first sentence of this Section 8.3(c), only to the extent the LIBOR Screen Rate for such Interest Period is not available or published at such time on a current basis), (x) any notice of continuation/conversion that requests the conversion of any Loan to, or continuation of any Loan as, a Eurodollar Loan shall be ineffective and (y) if any notice of Borrowing requests a Eurodollar Loan, such Loan shall be made as a Base Rate Loan;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alternate rate of interest shall be less than zero, such rate shall be deemed to be zero for the purposes of this Agreement.</w:t>
      </w:r>
    </w:p>
    <w:p>
      <w:pPr>
        <w:spacing w:after="0" w:line="18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8.4</w:t>
      </w:r>
      <w:r>
        <w:rPr>
          <w:sz w:val="20"/>
          <w:szCs w:val="20"/>
          <w:color w:val="auto"/>
        </w:rPr>
        <w:tab/>
      </w:r>
      <w:r>
        <w:rPr>
          <w:rFonts w:ascii="Times New Roman" w:cs="Times New Roman" w:eastAsia="Times New Roman" w:hAnsi="Times New Roman"/>
          <w:sz w:val="21"/>
          <w:szCs w:val="21"/>
          <w:i w:val="1"/>
          <w:iCs w:val="1"/>
          <w:color w:val="auto"/>
        </w:rPr>
        <w:t>Yield Protection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40" w:firstLine="656"/>
        <w:spacing w:after="0" w:line="257" w:lineRule="auto"/>
        <w:tabs>
          <w:tab w:leader="none" w:pos="106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or after the Closing Date, the adoption of any applicable law, rule or regulation, or any change therein, or any change in the interpretation or administration thereof by any Governmental Authority charged with the interpretation or administration thereof, or compliance by any Lender (or its Lending Office) or L/C Issuer with any request or directive (whether or not having the force of law) of any such Governmental Authority:</w:t>
      </w:r>
    </w:p>
    <w:p>
      <w:pPr>
        <w:sectPr>
          <w:pgSz w:w="11900" w:h="16838" w:orient="portrait"/>
          <w:cols w:equalWidth="0" w:num="1">
            <w:col w:w="11400"/>
          </w:cols>
          <w:pgMar w:left="240" w:top="622" w:right="259" w:bottom="1440" w:gutter="0" w:footer="0" w:header="0"/>
        </w:sectPr>
      </w:pPr>
    </w:p>
    <w:bookmarkStart w:id="294" w:name="page295"/>
    <w:bookmarkEnd w:id="294"/>
    <w:p>
      <w:pPr>
        <w:ind w:left="660" w:firstLine="888"/>
        <w:spacing w:after="0" w:line="253" w:lineRule="auto"/>
        <w:tabs>
          <w:tab w:leader="none" w:pos="1935"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subject any Lender (or its Lending Office) or L/C Issuer to any Taxes (other than (A) Indemnified Taxes and Other Taxes indemnifiable under Section 10.1 and (B) Excluded Taxes), with respect to its Eurodollar Loans, its Revolving Notes, its Letter(s) of Credit, or its participation in any thereof, any Reimbursement Obligations owed to it or its obligation to make Eurodollar Loans, issue a Letter of Credit, or to participate therein, or its deposits, reserves or other liabilities or capital attributable to any of the foregoing; or</w:t>
      </w:r>
    </w:p>
    <w:p>
      <w:pPr>
        <w:spacing w:after="0" w:line="179" w:lineRule="exact"/>
        <w:rPr>
          <w:rFonts w:ascii="Times New Roman" w:cs="Times New Roman" w:eastAsia="Times New Roman" w:hAnsi="Times New Roman"/>
          <w:sz w:val="22"/>
          <w:szCs w:val="22"/>
          <w:color w:val="auto"/>
        </w:rPr>
      </w:pPr>
    </w:p>
    <w:p>
      <w:pPr>
        <w:ind w:left="660" w:right="80" w:firstLine="888"/>
        <w:spacing w:after="0" w:line="264" w:lineRule="auto"/>
        <w:tabs>
          <w:tab w:leader="none" w:pos="199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impose, modify or deem applicable any reserve, special deposit or similar requirement (including, without limitation, any such requirement imposed by the Board of Governors of the Federal Reserve System, but excluding with respect to any Eurodollar Loans any such requirement included in an applicable Reserve Percentage) against assets of, deposits with or for the account of, or credit extended by, any Lender (or its Lending Office) or L/C Issuer or shall impose on any Lender (or its Lending Office) or L/C Issuer or on the interbank market any other condition affecting its Eurodollar Loans, its Revolving Notes, its Letter(s) of Credit, or its participation in any thereof, any Reimbursement Obligation owed to it, or its obligation to make Eurodollar Loans, or to issue a Letter of Credit, or to participate therein;</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 xml:space="preserve">and the result of any of the foregoing is to increase the cost to such Lender (or its Lending Office) or L/C Issuer of making or maintaining any Eurodollar Loan, issuing or maintaining a Letter of Credit, or participating therein, or to reduce the amount of any sum received or receivable by such Lender (or its Lending Office) or L/C Issuer under this Agreement or under any other Loan Document with respect thereto, by an amount deemed by such Lender or L/C Issuer to be material, then, within 30 days after written demand by such Lender or L/C Issuer (with a copy to the Administrative Agent), the Borrower shall be obligated to pay to such Lender or L/C Issuer such additional amount or amounts as will compensate such Lender or L/C Issuer for such increased cost or reduction;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not be required to compensate a Lender or L/C Issuer pursuant to this Section 8.4(a) for any increased costs or reductions suffered more than one hundred and eighty (180) days prior to the date that Lender or L/C Issuer notifies the Borrower of the change in law giving rise to such increased costs or reductions and of such Lender’s or L/C Issuer’s intention to claim compensation therefor (except that, if the change in law giving rise to such increased costs or reductions is retroactive, then the 180-day period referred to above shall be extended to include such period of retroactive effect).</w:t>
      </w:r>
    </w:p>
    <w:p>
      <w:pPr>
        <w:spacing w:after="0" w:line="172" w:lineRule="exact"/>
        <w:rPr>
          <w:sz w:val="20"/>
          <w:szCs w:val="20"/>
          <w:color w:val="auto"/>
        </w:rPr>
      </w:pPr>
    </w:p>
    <w:p>
      <w:pPr>
        <w:ind w:right="60" w:firstLine="656"/>
        <w:spacing w:after="0" w:line="251" w:lineRule="auto"/>
        <w:tabs>
          <w:tab w:leader="none" w:pos="108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Closing Date, any Lender, L/C Issuer or the Administrative Agent shall have determined that the adoption of any applicable law, rule or regulation regarding capital adequacy or liquidity requirements, or any change therein, or any change in the interpretation or administration thereof by any Governmental Authority charged with the interpretation or administration thereof, or compliance by any Lender (or its Lending Office) or L/C Issuer or any corporation controlling such Lender or L/C Issuer with any request or directive regarding capital adequacy or liquidity (whether or not having the force of law) of any such Governmental</w:t>
      </w:r>
    </w:p>
    <w:p>
      <w:pPr>
        <w:sectPr>
          <w:pgSz w:w="11900" w:h="16838" w:orient="portrait"/>
          <w:cols w:equalWidth="0" w:num="1">
            <w:col w:w="11400"/>
          </w:cols>
          <w:pgMar w:left="240" w:top="625" w:right="259" w:bottom="1440" w:gutter="0" w:footer="0" w:header="0"/>
        </w:sectPr>
      </w:pPr>
    </w:p>
    <w:bookmarkStart w:id="295" w:name="page296"/>
    <w:bookmarkEnd w:id="295"/>
    <w:p>
      <w:pPr>
        <w:ind w:right="60"/>
        <w:spacing w:after="0" w:line="259" w:lineRule="auto"/>
        <w:rPr>
          <w:sz w:val="20"/>
          <w:szCs w:val="20"/>
          <w:color w:val="auto"/>
        </w:rPr>
      </w:pPr>
      <w:r>
        <w:rPr>
          <w:rFonts w:ascii="Times New Roman" w:cs="Times New Roman" w:eastAsia="Times New Roman" w:hAnsi="Times New Roman"/>
          <w:sz w:val="21"/>
          <w:szCs w:val="21"/>
          <w:color w:val="auto"/>
        </w:rPr>
        <w:t xml:space="preserve">Authority has had the effect of reducing the rate of return on such Lender’s, L/C Issuer’s or corporation’s capital as a consequence of its obligations hereunder to a level below that which such Lender, L/C Issuer or corporation could have achieved but for such adoption, change or compliance (taking into consideration such Lender’s, L/C Issuer’s or corporation’s policies with respect to capital adequacy or liquidity) by an amount deemed by such Lender or L/C Issuer to be material, then from time to time, within 30 days after demand by such Lender or L/C Issuer (with a copy to the Administrative Agent), the Borrower shall pay to such Lender or L/C Issuer such additional amount or amounts as will compensate such Lender or L/C Issuer for such reduction;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not be required to compensate a Lender or L/C Issuer pursuant to this Section 8.4(b) for any reductions suffered more than one hundred and eighty (180) days prior to the date that Lender or L/C Issuer notifies the Borrower of the change in law giving rise to such increased costs or reductions and of such Lender’s or L/C Issuer’s intention to claim compensation therefor (except that, if the change in law giving rise to such increased costs or reductions is retroactive, then the 180-day period referred to above shall be extended to include such period of retroactive effect).</w:t>
      </w:r>
    </w:p>
    <w:p>
      <w:pPr>
        <w:spacing w:after="0" w:line="172" w:lineRule="exact"/>
        <w:rPr>
          <w:sz w:val="20"/>
          <w:szCs w:val="20"/>
          <w:color w:val="auto"/>
        </w:rPr>
      </w:pPr>
    </w:p>
    <w:p>
      <w:pPr>
        <w:ind w:right="60" w:firstLine="656"/>
        <w:spacing w:after="0" w:line="250" w:lineRule="auto"/>
        <w:tabs>
          <w:tab w:leader="none" w:pos="1068"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 (but solely to the extent the relevant increased costs or loss of yield would otherwise have been subject to compensation by the Borrower under the applicable increased cost provisions).</w:t>
      </w:r>
    </w:p>
    <w:p>
      <w:pPr>
        <w:spacing w:after="0" w:line="181" w:lineRule="exact"/>
        <w:rPr>
          <w:rFonts w:ascii="Times New Roman" w:cs="Times New Roman" w:eastAsia="Times New Roman" w:hAnsi="Times New Roman"/>
          <w:sz w:val="22"/>
          <w:szCs w:val="22"/>
          <w:color w:val="auto"/>
        </w:rPr>
      </w:pPr>
    </w:p>
    <w:p>
      <w:pPr>
        <w:ind w:firstLine="656"/>
        <w:spacing w:after="0" w:line="249" w:lineRule="auto"/>
        <w:tabs>
          <w:tab w:leader="none" w:pos="108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Lender or L/C Issuer claiming compensation under this Section 8.4 shall only be entitled to reimbursement by the Borrower (i) if such Lender or L/C Issuer has delivered to Borrower a certificate claiming compensation under this Section 8.4 and setting forth the additional amount or amounts to be paid to it hereunder at the time of such demand, which shall be conclusive absent manifest error (it being understood that in determining such amount, such Lender may use any reasonable averaging and attribution methods) and (ii) to the extent the applicable Lender is generally requiring reimbursement therefor from similarly situated United States borrowers under comparable syndicated credit facilities;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connection with asserting any such claim, no confidential information need be disclosed. No failure or delay by a Lender or L/C Issuer in exercising any right or power pursuant to this Section 8.4 shall operate as a waiver thereof.</w:t>
      </w:r>
    </w:p>
    <w:p>
      <w:pPr>
        <w:spacing w:after="0" w:line="179"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8.5</w:t>
      </w:r>
      <w:r>
        <w:rPr>
          <w:sz w:val="20"/>
          <w:szCs w:val="20"/>
          <w:color w:val="auto"/>
        </w:rPr>
        <w:tab/>
      </w:r>
      <w:r>
        <w:rPr>
          <w:rFonts w:ascii="Times New Roman" w:cs="Times New Roman" w:eastAsia="Times New Roman" w:hAnsi="Times New Roman"/>
          <w:sz w:val="21"/>
          <w:szCs w:val="21"/>
          <w:i w:val="1"/>
          <w:iCs w:val="1"/>
          <w:color w:val="auto"/>
        </w:rPr>
        <w:t>Substitution of Lenders</w:t>
      </w:r>
      <w:r>
        <w:rPr>
          <w:rFonts w:ascii="Times New Roman" w:cs="Times New Roman" w:eastAsia="Times New Roman" w:hAnsi="Times New Roman"/>
          <w:sz w:val="17"/>
          <w:szCs w:val="17"/>
          <w:color w:val="auto"/>
        </w:rPr>
        <w:t>. In the event that (a) the Borrower receives a claim from any Lender for compensation under Section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 Section 10.1 or Section 10.4 hereof, (b) the Borrower receives a notice from any Lender of any illegality pursuant to Section 8.2 hereof, (c) any Lender 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Defaulting Lender or (d) any</w:t>
      </w:r>
    </w:p>
    <w:p>
      <w:pPr>
        <w:sectPr>
          <w:pgSz w:w="11900" w:h="16838" w:orient="portrait"/>
          <w:cols w:equalWidth="0" w:num="1">
            <w:col w:w="11400"/>
          </w:cols>
          <w:pgMar w:left="240" w:top="625" w:right="259" w:bottom="1440" w:gutter="0" w:footer="0" w:header="0"/>
        </w:sectPr>
      </w:pPr>
    </w:p>
    <w:bookmarkStart w:id="296" w:name="page297"/>
    <w:bookmarkEnd w:id="296"/>
    <w:p>
      <w:pPr>
        <w:ind w:right="20"/>
        <w:spacing w:after="0" w:line="252" w:lineRule="auto"/>
        <w:rPr>
          <w:sz w:val="20"/>
          <w:szCs w:val="20"/>
          <w:color w:val="auto"/>
        </w:rPr>
      </w:pPr>
      <w:r>
        <w:rPr>
          <w:rFonts w:ascii="Times New Roman" w:cs="Times New Roman" w:eastAsia="Times New Roman" w:hAnsi="Times New Roman"/>
          <w:sz w:val="18"/>
          <w:szCs w:val="18"/>
          <w:color w:val="auto"/>
        </w:rPr>
        <w:t>Lender fails to consent to any amendment, waiver, supplement or other modification pursuant to Section 10.11 requiring the consent of all Lenders or each Lender directly affected thereby (and such Lender is so affected), and as to which the Required Lenders or a majority of all Lenders directly affected thereby have otherwise consented (any such Lender referred to in clause (d) above being hereinafter referred to as a “</w:t>
      </w:r>
      <w:r>
        <w:rPr>
          <w:rFonts w:ascii="Times New Roman" w:cs="Times New Roman" w:eastAsia="Times New Roman" w:hAnsi="Times New Roman"/>
          <w:sz w:val="18"/>
          <w:szCs w:val="18"/>
          <w:i w:val="1"/>
          <w:iCs w:val="1"/>
          <w:color w:val="auto"/>
        </w:rPr>
        <w:t>Non-Consenting Lender</w:t>
      </w:r>
      <w:r>
        <w:rPr>
          <w:rFonts w:ascii="Times New Roman" w:cs="Times New Roman" w:eastAsia="Times New Roman" w:hAnsi="Times New Roman"/>
          <w:sz w:val="18"/>
          <w:szCs w:val="18"/>
          <w:color w:val="auto"/>
        </w:rPr>
        <w:t>” and any Non-Consenting Lender and any such Lender referred to in clause (a), (b) or (c) above being hereinafter referred to as an “</w:t>
      </w:r>
      <w:r>
        <w:rPr>
          <w:rFonts w:ascii="Times New Roman" w:cs="Times New Roman" w:eastAsia="Times New Roman" w:hAnsi="Times New Roman"/>
          <w:sz w:val="18"/>
          <w:szCs w:val="18"/>
          <w:i w:val="1"/>
          <w:iCs w:val="1"/>
          <w:color w:val="auto"/>
        </w:rPr>
        <w:t>Affected Lender</w:t>
      </w:r>
      <w:r>
        <w:rPr>
          <w:rFonts w:ascii="Times New Roman" w:cs="Times New Roman" w:eastAsia="Times New Roman" w:hAnsi="Times New Roman"/>
          <w:sz w:val="18"/>
          <w:szCs w:val="18"/>
          <w:color w:val="auto"/>
        </w:rPr>
        <w:t xml:space="preserve">”), the Borrower may, in addition to any other rights the Borrower may have hereunder or under applicable law, (i) require, at its expense, any such Affected Lender to assign, at par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accrued interest and fees, without recourse, all of its interest, rights, and obligations hereunder (including all of its Revolving Credit Commitments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Revolving Loans and participation interests in Letters of Credit and other amounts at any time owing to it hereunder and the other Loan Documents) to an Eligible Assignee specified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assignment shall not conflict with or violate any law, rule or regulation or order of any Governmental Authority, (B) if the assignment is to a Person other than a Lender, the Borrower shall have received the written consent of the Administrative Agent and, in the case of any Revolving Credit Commitment, the L/C Issuers, which consents shall not be unreasonably withheld or delayed, to such assignment, (C) the Borrower shall have paid to the Affected Lender all monies (together with amounts due such Affected Lender under Section 8.1 hereof as if the Loans owing to it were prepaid rather than assigned and any premium owing to such Affected Lender under Section 2.8(a)(iii)) other than principal, interest and fees owing to it hereunder, (D) the Borrower shall repay (or the replacement bank or institution shall purchase, at par) all Loans and other amounts (other than any disputed amounts), pursuant to Section 10.10 owing to such replaced Lender prior to the date of replacement, (E) the assignment is entered into in accordance with the other requirements of Section 10.10 hereof and (F) any such assignment shall not be deemed to be a waiver of any rights that the Borrower, the Administrative Agent or any other Lender shall have against the Affected Lender, or (ii) terminate the Revolving Credit Commitment of such Affected Lender and repay all Obligations of the Borrower owing to such Lender as of such termination date. Each party hereto agrees that an assignment required pursuant to this Section 8.5 may be effected pursuant to an Assignment and Assumption executed by the Borrower, the Administrative Agent and the assignee and that the Affected Lender required to make such assignment need not be a party thereto.</w:t>
      </w:r>
    </w:p>
    <w:p>
      <w:pPr>
        <w:spacing w:after="0" w:line="193"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8.6 </w:t>
      </w:r>
      <w:r>
        <w:rPr>
          <w:rFonts w:ascii="Times New Roman" w:cs="Times New Roman" w:eastAsia="Times New Roman" w:hAnsi="Times New Roman"/>
          <w:sz w:val="22"/>
          <w:szCs w:val="22"/>
          <w:i w:val="1"/>
          <w:iCs w:val="1"/>
          <w:color w:val="auto"/>
        </w:rPr>
        <w:t>Lending Offices</w:t>
      </w:r>
      <w:r>
        <w:rPr>
          <w:rFonts w:ascii="Times New Roman" w:cs="Times New Roman" w:eastAsia="Times New Roman" w:hAnsi="Times New Roman"/>
          <w:sz w:val="18"/>
          <w:szCs w:val="18"/>
          <w:color w:val="auto"/>
        </w:rPr>
        <w:t>. Each Lender may, at its option, elect to make its Loans hereunder at the branch, office or affiliate specified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the appropriate signature page hereof (each a “</w:t>
      </w:r>
      <w:r>
        <w:rPr>
          <w:rFonts w:ascii="Times New Roman" w:cs="Times New Roman" w:eastAsia="Times New Roman" w:hAnsi="Times New Roman"/>
          <w:sz w:val="18"/>
          <w:szCs w:val="18"/>
          <w:i w:val="1"/>
          <w:iCs w:val="1"/>
          <w:color w:val="auto"/>
        </w:rPr>
        <w:t>Lending Office</w:t>
      </w:r>
      <w:r>
        <w:rPr>
          <w:rFonts w:ascii="Times New Roman" w:cs="Times New Roman" w:eastAsia="Times New Roman" w:hAnsi="Times New Roman"/>
          <w:sz w:val="18"/>
          <w:szCs w:val="18"/>
          <w:color w:val="auto"/>
        </w:rPr>
        <w:t>”) for each type of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Eurodollar Loans to reduce any liability of the Borrower to such Lender under Section 8.4 hereof (or with respect to any payment by or on behalf of any Loan Party under this Agreement or any other Loan Document, to reduce any liability of the Borrower to such Lender under section 10.1 hereof), or to avoid the unavailability of Eurodollar Loans under Section 8.2 hereof, so long as such designation is not disadvantageous to the Lender.</w:t>
      </w:r>
    </w:p>
    <w:p>
      <w:pPr>
        <w:spacing w:after="0" w:line="17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ARTICLE 9.</w:t>
      </w:r>
      <w:r>
        <w:rPr>
          <w:sz w:val="20"/>
          <w:szCs w:val="20"/>
          <w:color w:val="auto"/>
        </w:rPr>
        <w:tab/>
      </w:r>
      <w:r>
        <w:rPr>
          <w:rFonts w:ascii="Times New Roman" w:cs="Times New Roman" w:eastAsia="Times New Roman" w:hAnsi="Times New Roman"/>
          <w:sz w:val="21"/>
          <w:szCs w:val="21"/>
          <w:b w:val="1"/>
          <w:bCs w:val="1"/>
          <w:u w:val="single" w:color="auto"/>
          <w:color w:val="auto"/>
        </w:rPr>
        <w:t>THE ADMINISTRATIVE AGENT</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i w:val="1"/>
          <w:iCs w:val="1"/>
          <w:color w:val="auto"/>
        </w:rPr>
        <w:t>Appointment and Authorization of Administrative Agent</w:t>
      </w:r>
      <w:r>
        <w:rPr>
          <w:rFonts w:ascii="Times New Roman" w:cs="Times New Roman" w:eastAsia="Times New Roman" w:hAnsi="Times New Roman"/>
          <w:sz w:val="18"/>
          <w:szCs w:val="18"/>
          <w:color w:val="auto"/>
        </w:rPr>
        <w:t>. Each Lender hereby appoints JPMorgan Chase Bank, N.A.,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the Administrative Agent and Collateral Agent under the Loan Documents and hereby authorizes the Administrative Agent to take such action as Administrative Agent on its behalf and to exercise such powers, rights and remedies under the Loan Documents as are delegated to the Administrative Agent by the terms thereof, together with such powers as are reasonably incidental thereto. The Administrative Agent shall have only those duties and responsibilities that are expressly specified in the Loan Documents. Each Agent may exercise such powers, rights and remedies and perform such duties by or through its agents or employees. Notwithstanding the use of “Administrative Agent” as a defined term, the Lenders expressly agree that the Administrative Agent is not acting as a fiduciary of any Lender in respect of the Loan Documents, the Borrower or otherwise, and nothing herein or in any of the other Loan Documents shall result in any duties or obligations on the</w:t>
      </w:r>
    </w:p>
    <w:p>
      <w:pPr>
        <w:sectPr>
          <w:pgSz w:w="11900" w:h="16838" w:orient="portrait"/>
          <w:cols w:equalWidth="0" w:num="1">
            <w:col w:w="11380"/>
          </w:cols>
          <w:pgMar w:left="240" w:top="621" w:right="279" w:bottom="1440" w:gutter="0" w:footer="0" w:header="0"/>
        </w:sectPr>
      </w:pPr>
    </w:p>
    <w:bookmarkStart w:id="297" w:name="page298"/>
    <w:bookmarkEnd w:id="297"/>
    <w:p>
      <w:pPr>
        <w:ind w:right="200"/>
        <w:spacing w:after="0" w:line="258" w:lineRule="auto"/>
        <w:rPr>
          <w:sz w:val="20"/>
          <w:szCs w:val="20"/>
          <w:color w:val="auto"/>
        </w:rPr>
      </w:pPr>
      <w:r>
        <w:rPr>
          <w:rFonts w:ascii="Times New Roman" w:cs="Times New Roman" w:eastAsia="Times New Roman" w:hAnsi="Times New Roman"/>
          <w:sz w:val="18"/>
          <w:szCs w:val="18"/>
          <w:color w:val="auto"/>
        </w:rPr>
        <w:t>Administrative Agent or any of the Lenders except as expressly set forth herein and therein. The provisions of this Article 9 are solely for the benefit of the Administrative Agent and the Lenders and no Loan Party shall have any rights as a third party beneficiary of any of the provisions thereof (other than to the extent provided in Sections 9.1, 9.3, 9.7, 9.11 and 9.12). In performing its functions and duties hereunder, the Administrative Agent shall act solely as an agent of the Lenders and does not assume and shall not be deemed to have assumed any obligation towards or relationship of agency or trust with or for the Borrower or any of its Subsidiaries, other than as provided in Section 10.10(c) with respect to the maintenance of the Register.</w:t>
      </w:r>
    </w:p>
    <w:p>
      <w:pPr>
        <w:spacing w:after="0" w:line="184"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i w:val="1"/>
          <w:iCs w:val="1"/>
          <w:color w:val="auto"/>
        </w:rPr>
        <w:t>Administrative Agent and its Affiliates</w:t>
      </w:r>
      <w:r>
        <w:rPr>
          <w:rFonts w:ascii="Times New Roman" w:cs="Times New Roman" w:eastAsia="Times New Roman" w:hAnsi="Times New Roman"/>
          <w:sz w:val="18"/>
          <w:szCs w:val="18"/>
          <w:color w:val="auto"/>
        </w:rPr>
        <w:t>. The Administrative Agent shall have the same rights and powers under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Agreement and the other Loan Documents as any other Lender and may exercise or refrain from exercising such rights and power as though it were not the Administrative Agent, and the Administrative Agent and its affiliates may accept deposits from, lend money to, own securities of and generally engage in any kind of banking, trust, financial advisory or other business with the Borrower or any Affiliate of the Borrower as if it were not the Administrative Agent under the Loan Documents, and may accept fees and other consideration from the Borrower for services in connection herewith and otherwise without having to account for the same to the Lenders. The term “Lender” as used herein and in all other Loan Documents, unless the context otherwise clearly requires, includes the Administrative Agent in its individual capacity as a Lender. References in Article 2 hereof to the amount owing to the Administrative Agent for which an interest rate is being determined, refer to the Administrative Agent in its individual capacity as a Lender.</w:t>
      </w:r>
    </w:p>
    <w:p>
      <w:pPr>
        <w:spacing w:after="0" w:line="170" w:lineRule="exact"/>
        <w:rPr>
          <w:sz w:val="20"/>
          <w:szCs w:val="20"/>
          <w:color w:val="auto"/>
        </w:rPr>
      </w:pPr>
    </w:p>
    <w:p>
      <w:pPr>
        <w:ind w:right="40" w:firstLine="648"/>
        <w:spacing w:after="0" w:line="293"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i w:val="1"/>
          <w:iCs w:val="1"/>
          <w:color w:val="auto"/>
        </w:rPr>
        <w:t>Action by Administrative Agent</w:t>
      </w:r>
      <w:r>
        <w:rPr>
          <w:rFonts w:ascii="Times New Roman" w:cs="Times New Roman" w:eastAsia="Times New Roman" w:hAnsi="Times New Roman"/>
          <w:sz w:val="18"/>
          <w:szCs w:val="18"/>
          <w:color w:val="auto"/>
        </w:rPr>
        <w:t>. If the Administrative Agent receives from the Borrower a written notice of an Event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Default pursuant to Section 6.1(f) hereof, the Administrative Agent shall promptly give each of the Lenders written notice thereof. Without limiting the generality of the foregoing, the Administrative Agent shall not be required to take any action hereunder with respect to any Default or Event of Default, except as expressly provided in the Loan Documents. Upon the occurrence of an Event of Default, the Administrative Agent shall take such action to enforce its Lien on the Collateral and to preserve and protect the Collateral as may be directed by the Required Lenders. Unless and until the Required Lenders give such direction, the Administrative Agent may (but shall not be obligated to) take or refrain from taking such actions as it deems appropriate and in the best interest of all the Lenders. In no event, however, shall the Administrative Agent be required to take any action in violation of Applicable Law or of any provision of any Loan Document, and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The Administrative Agent shall be entitled to assume that no Default or Event of Default exists unless notified in writing to the contrary by a Lender or the Borrower. In all cases in which the Loan Documents do not require the Administrative Agent to take specific action, the Administrative Agent shall be fully justified in using its discretion in failing to take or in taking any action thereunder. Any instructions of the Required Lenders, or of any other group of Lenders called for under the specific provisions of the Loan Documents, shall be binding upon all the Lenders and the holders of the Obligations.</w:t>
      </w:r>
    </w:p>
    <w:p>
      <w:pPr>
        <w:spacing w:after="0" w:line="176" w:lineRule="exact"/>
        <w:rPr>
          <w:sz w:val="20"/>
          <w:szCs w:val="20"/>
          <w:color w:val="auto"/>
        </w:rPr>
      </w:pPr>
    </w:p>
    <w:p>
      <w:pPr>
        <w:ind w:right="20" w:firstLine="648"/>
        <w:spacing w:after="0" w:line="303"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i w:val="1"/>
          <w:iCs w:val="1"/>
          <w:color w:val="auto"/>
        </w:rPr>
        <w:t>Consultation with Experts</w:t>
      </w:r>
      <w:r>
        <w:rPr>
          <w:rFonts w:ascii="Times New Roman" w:cs="Times New Roman" w:eastAsia="Times New Roman" w:hAnsi="Times New Roman"/>
          <w:sz w:val="18"/>
          <w:szCs w:val="18"/>
          <w:color w:val="auto"/>
        </w:rPr>
        <w:t>. The Administrative Agent may consult with legal counsel, independent public accountants,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other experts selected by it and shall not be liable for any action taken or omitted to be taken by it in good faith in accordance with the advice of such counsel, accountants or experts.</w:t>
      </w:r>
    </w:p>
    <w:p>
      <w:pPr>
        <w:spacing w:after="0" w:line="15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i w:val="1"/>
          <w:iCs w:val="1"/>
          <w:color w:val="auto"/>
        </w:rPr>
        <w:t>Liability of Administrative Agent; Credit Decision; Delegation of Duties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200" w:firstLine="656"/>
        <w:spacing w:after="0" w:line="284" w:lineRule="auto"/>
        <w:tabs>
          <w:tab w:leader="none" w:pos="106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of its officers, partners, directors, employees or agents shall be liable to the Lenders for any action taken or omitted by the</w:t>
      </w:r>
    </w:p>
    <w:p>
      <w:pPr>
        <w:sectPr>
          <w:pgSz w:w="11900" w:h="16838" w:orient="portrait"/>
          <w:cols w:equalWidth="0" w:num="1">
            <w:col w:w="11420"/>
          </w:cols>
          <w:pgMar w:left="240" w:top="621" w:right="239" w:bottom="1440" w:gutter="0" w:footer="0" w:header="0"/>
        </w:sectPr>
      </w:pPr>
    </w:p>
    <w:bookmarkStart w:id="298" w:name="page299"/>
    <w:bookmarkEnd w:id="298"/>
    <w:p>
      <w:pPr>
        <w:spacing w:after="0" w:line="256" w:lineRule="auto"/>
        <w:rPr>
          <w:sz w:val="20"/>
          <w:szCs w:val="20"/>
          <w:color w:val="auto"/>
        </w:rPr>
      </w:pPr>
      <w:r>
        <w:rPr>
          <w:rFonts w:ascii="Times New Roman" w:cs="Times New Roman" w:eastAsia="Times New Roman" w:hAnsi="Times New Roman"/>
          <w:sz w:val="21"/>
          <w:szCs w:val="21"/>
          <w:color w:val="auto"/>
        </w:rPr>
        <w:t>Administrative Agent under or in connection with any of the Loan Documents except to the extent caused by the gross negligence or willful misconduct of the Administrative Agent or any of its officers, partners, directors, employees or agents, as determined by a final, non-appealable judgment of a court of competent jurisdiction. The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the Administrative Agent shall have received instructions in respect thereof from the Required Lenders (or such other Lenders as may be required to give such instructions under Section 10.11) and, upon receipt of such instructions from Required Lenders (or such other Lenders, as the case may be), the Administrative Agent shall be entitled to act or (where so instructed) refrain from acting, or to exercise such power, discretion or authority, in accordance with such instructions. Without prejudice to the generality of the foregoing, (i) the Administrative Agent shall be entitled to rely, and shall be fully protected in relying, upon any communication, instrument or document believed by it to be genuine and correct and to have been signed or sent by the proper party or parties, and shall be entitled to rely and shall be protected in relying on opinions and judgments of attorneys (who may be attorneys for the Borrower and its Subsidiaries), accountants, experts and other professional advisors selected by it; and (ii) no Lender shall have any right of action whatsoever against the Administrative Agent as a result of it acting or (where so instructed) refraining from acting hereunder or any of the other Loan Documents in accordance with the instructions of Required Lenders (or such other Lenders as may be required to give such instructions under Section 10.11). In particular and without limiting any of the foregoing, the Administrative Agent shall have no responsibility for confirming the accuracy of any Compliance Certificate or other document or instrument received by it under the Loan Documents. Neither the Administrative Agent nor any of its directors, officers, agents or employees shall be responsible for or have any duty to ascertain, inquire into or verify: (i) any statement, warranty, representation or recital made in connection with this Agreement, any other Loan Document or any Credit Extension, or made in any written or oral statements or in any financial or other statements, instruments, reports or certificates or any other documents furnished or made by the Administrative Agent to the Lenders or by or on behalf of any Loan Party to the Administrative Agent or any Lender in connection with the Loan Documents and the transactions contemplated thereby or for the financial condition or business affairs of any Loan Party or any other Person liable for the payment of any Obligations; (ii) the performance or observance of any of the terms, conditions, provisions, covenants or agreements of the Borrower or any Subsidiary contained herein or in any other Loan Document or any Credit Extension or the use of the proceeds of the Loans or as to the existence or possible existence of any Event of Default or Default or to make any disclosures with respect to the foregoing; (iii) the satisfaction of any condition specified in Article 3 hereof, except receipt of items required to be delivered to the Administrative Agent; or (iv) the execution, validity, effectiveness, genuineness, enforceability, perfection, value, worth or collectability hereof or of any other Loan Document or of any other documents or writing furnished in connection with any Loan Document or of any</w:t>
      </w:r>
    </w:p>
    <w:p>
      <w:pPr>
        <w:sectPr>
          <w:pgSz w:w="11900" w:h="16838" w:orient="portrait"/>
          <w:cols w:equalWidth="0" w:num="1">
            <w:col w:w="11420"/>
          </w:cols>
          <w:pgMar w:left="240" w:top="626" w:right="239" w:bottom="1440" w:gutter="0" w:footer="0" w:header="0"/>
        </w:sectPr>
      </w:pPr>
    </w:p>
    <w:bookmarkStart w:id="299" w:name="page300"/>
    <w:bookmarkEnd w:id="299"/>
    <w:p>
      <w:pPr>
        <w:ind w:right="20"/>
        <w:spacing w:after="0" w:line="258" w:lineRule="auto"/>
        <w:rPr>
          <w:sz w:val="20"/>
          <w:szCs w:val="20"/>
          <w:color w:val="auto"/>
        </w:rPr>
      </w:pPr>
      <w:r>
        <w:rPr>
          <w:rFonts w:ascii="Times New Roman" w:cs="Times New Roman" w:eastAsia="Times New Roman" w:hAnsi="Times New Roman"/>
          <w:sz w:val="21"/>
          <w:szCs w:val="21"/>
          <w:color w:val="auto"/>
        </w:rPr>
        <w:t>Collateral; and the Administrative Agent makes no representation of any kind or character with respect to any such matter mentioned in this sentence. The Administrative Agent may execute any of its duties under any of the Loan Documents by or through employees, agents, and attorneys-in-fact and shall not be answerable to the Lenders, the Borrower, or any other Person for the default or misconduct of any such agents or attorneys-in-fact selected with reasonable care. The Administrative Agent may treat the payee of any Note as the holder thereof until written notice of transfer shall have been filed with the Administrative Agent signed by such payee in form satisfactory to the Administrative Agent. Each Lender acknowledges, represents and warrants that it has independently and without reliance on the Administrative Agent or any other Lender, and based upon such information, investigations and inquiries as it deems appropriate, made its own credit analysis and decision to extend credit to the Borrower in the manner set forth in the Loan Documents. It shall be the responsibility of each Lender to keep itself informed as to the creditworthiness of the Borrower and its Subsidiaries, and the Administrative Agent shall have no liability to any Lender with respect thereto. The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w:t>
      </w:r>
    </w:p>
    <w:p>
      <w:pPr>
        <w:spacing w:after="0" w:line="170" w:lineRule="exact"/>
        <w:rPr>
          <w:sz w:val="20"/>
          <w:szCs w:val="20"/>
          <w:color w:val="auto"/>
        </w:rPr>
      </w:pPr>
    </w:p>
    <w:p>
      <w:pPr>
        <w:ind w:firstLine="656"/>
        <w:spacing w:after="0" w:line="246" w:lineRule="auto"/>
        <w:tabs>
          <w:tab w:leader="none" w:pos="108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Delegation of Duties</w:t>
      </w:r>
      <w:r>
        <w:rPr>
          <w:rFonts w:ascii="Times New Roman" w:cs="Times New Roman" w:eastAsia="Times New Roman" w:hAnsi="Times New Roman"/>
          <w:sz w:val="22"/>
          <w:szCs w:val="22"/>
          <w:color w:val="auto"/>
        </w:rPr>
        <w:t>. The Administrative Agent may perform any and all of its duties and exercise its rights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powers under this Agreement or under any other Loan Document by or through any one (1) or more sub-agents appointed by the Administrative Agent (and not otherwise reasonably objected to by the Borrower within ten (10) days after notice of such appointment). The Administrative Agent and any such sub-agent may perform any and all of its duties and exercise its rights and powers by or through their respective Affiliates. The exculpatory, indemnification and other provisions of this Section 9.5 and of Section 9.6 shall apply to any Affiliates of the Administrative Agent and shall apply to their respective activities in connection with the syndication of the credit facilities provided for herein as well as activities as the Administrative Agent. All of the rights, benefits, and privileges (including the exculpatory and indemnification provisions) of this Section 9.5 and of Section 9.6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Loan Parties and the Lenders, (ii) such rights, benefits and privileges (including exculpatory rights and rights to indemnification) shall not be modified or amended without the</w:t>
      </w:r>
    </w:p>
    <w:p>
      <w:pPr>
        <w:sectPr>
          <w:pgSz w:w="11900" w:h="16838" w:orient="portrait"/>
          <w:cols w:equalWidth="0" w:num="1">
            <w:col w:w="11420"/>
          </w:cols>
          <w:pgMar w:left="240" w:top="625" w:right="239" w:bottom="1440" w:gutter="0" w:footer="0" w:header="0"/>
        </w:sectPr>
      </w:pPr>
    </w:p>
    <w:bookmarkStart w:id="300" w:name="page301"/>
    <w:bookmarkEnd w:id="300"/>
    <w:p>
      <w:pPr>
        <w:ind w:right="220"/>
        <w:spacing w:after="0" w:line="257" w:lineRule="auto"/>
        <w:rPr>
          <w:sz w:val="20"/>
          <w:szCs w:val="20"/>
          <w:color w:val="auto"/>
        </w:rPr>
      </w:pPr>
      <w:r>
        <w:rPr>
          <w:rFonts w:ascii="Times New Roman" w:cs="Times New Roman" w:eastAsia="Times New Roman" w:hAnsi="Times New Roman"/>
          <w:sz w:val="22"/>
          <w:szCs w:val="22"/>
          <w:color w:val="auto"/>
        </w:rPr>
        <w:t>consent of such sub-agent, and (iii) such sub-agent shall only have obligations to the Administrative Agent and not to any Loan Party, Lender or any other Person and no Loan Party, Lender or any other Person shall have any rights, directly or indirectly, as a third party beneficiary or otherwise, against such sub-agent.</w:t>
      </w:r>
    </w:p>
    <w:p>
      <w:pPr>
        <w:spacing w:after="0" w:line="169" w:lineRule="exact"/>
        <w:rPr>
          <w:sz w:val="20"/>
          <w:szCs w:val="20"/>
          <w:color w:val="auto"/>
        </w:rPr>
      </w:pPr>
    </w:p>
    <w:p>
      <w:pPr>
        <w:ind w:firstLine="648"/>
        <w:spacing w:after="0" w:line="294"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i w:val="1"/>
          <w:iCs w:val="1"/>
          <w:color w:val="auto"/>
        </w:rPr>
        <w:t>Indemnity</w:t>
      </w:r>
      <w:r>
        <w:rPr>
          <w:rFonts w:ascii="Times New Roman" w:cs="Times New Roman" w:eastAsia="Times New Roman" w:hAnsi="Times New Roman"/>
          <w:sz w:val="18"/>
          <w:szCs w:val="18"/>
          <w:color w:val="auto"/>
        </w:rPr>
        <w:t>. The Lenders shall ratably, in accordance with their respective Percentages, indemnify the Administrative Agent,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extent that the Administrative Agent has not been reimbursed by any Loan Party and without relieving any such Loan Party from its obligation to do so, for and against any and all liabilities, obligations, losses, damages, taxes, penalties, actions, judgments, suits, costs, expenses (including counsel fees and disbursements) or disbursements of any kind or nature whatsoever which may be imposed on, incurred by or asserted against the Administrative Agent in exercising its powers, rights and remedies or performing its duties hereunder or under the other Loan Documents or otherwise in its capacity as Administrative Agent in any way relating to or arising out of this Agreement or the other Loan Documents within ten (10) days after the date the Administrative Agent makes written demand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be liable for any portion of such liabilities, obligations, losses, damages, taxes, penalties, actions, judgments, suits, costs, expenses or disbursements resulting from the Administrative Agent’s gross negligence or willful misconduct or bad faith of, or material breach of the Loan Documents as determined by a final, non-appealable judgment of a court of competent jurisdiction. If any indemnity furnished to the Administrative Agent for any purpose shall, in the opinion of the Administrative Agent, be insufficient or become impaired, the Administrative Agent may call for additional indemnity and cease, or not commence, to do the acts indemnified against until such additional indemnity is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this sentence require any Lender to indemnify the Administrative Agent against any liability, obligation, loss, damage, tax, penalty, action, judgment, suit, cost, expense or disbursement in excess of such Lender’s ratable share thereof, in accordance with such Lender’s respective Percentage;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this sentence shall not be deemed to require any Lender to indemnify the Administrative Agent against any liability, obligation, loss, damage, tax, penalty, action, judgment, suit, cost, expense or disbursement described in the proviso in the immediately preceding sentence. The obligations of the Lenders under this Section 9.6 shall survive termination of this Agreement. The Administrative Agent shall be entitled to offset amounts received for the account of a Lender under this Agreement against unpaid amounts due from such Lender to the Administrative Agent hereunder (whether as fundings of participations, indemnities or otherwise), but shall not be entitled to offset against amounts owed to the Administrative Agent by any Lender arising outside of this Agreement and the other Loan Documents.</w:t>
      </w:r>
    </w:p>
    <w:p>
      <w:pPr>
        <w:spacing w:after="0" w:line="175" w:lineRule="exact"/>
        <w:rPr>
          <w:sz w:val="20"/>
          <w:szCs w:val="20"/>
          <w:color w:val="auto"/>
        </w:rPr>
      </w:pPr>
    </w:p>
    <w:p>
      <w:pPr>
        <w:ind w:right="40" w:firstLine="648"/>
        <w:spacing w:after="0" w:line="293"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i w:val="1"/>
          <w:iCs w:val="1"/>
          <w:color w:val="auto"/>
        </w:rPr>
        <w:t>Resignation of Administrative Agent and Successor Administrative Agent</w:t>
      </w:r>
      <w:r>
        <w:rPr>
          <w:rFonts w:ascii="Times New Roman" w:cs="Times New Roman" w:eastAsia="Times New Roman" w:hAnsi="Times New Roman"/>
          <w:sz w:val="18"/>
          <w:szCs w:val="18"/>
          <w:color w:val="auto"/>
        </w:rPr>
        <w:t>. The Administrative Agent may resign 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any time by giving ten (10) days written notice thereof to the Lenders and the Borrower (such retiring Administrative Agent, the “</w:t>
      </w:r>
      <w:r>
        <w:rPr>
          <w:rFonts w:ascii="Times New Roman" w:cs="Times New Roman" w:eastAsia="Times New Roman" w:hAnsi="Times New Roman"/>
          <w:sz w:val="18"/>
          <w:szCs w:val="18"/>
          <w:i w:val="1"/>
          <w:iCs w:val="1"/>
          <w:color w:val="auto"/>
        </w:rPr>
        <w:t>Departing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The Administrative Agent shall have the right to appoint a financial institution (which shall be a commercial bank with an office in the U.S.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combined capital and surplus in excess of $1 billion) to act as Administrative Agent and/or Collateral Agent hereunder, with the written consent of the Borrower and the Required Lenders (not to be unreasonably withheld, and provided that the consent of the Borrower shall not be required during the continuance of an Event of Default), and the Administrative Agent’s resignation shall become effective on the earliest of (i) 30 days after delivery of the notice of resignation, (ii) the acceptance of such successor Administrative Agent by the Borrower and the Required Lenders or (iii) such other date, if any, agreed to by the Borrower and the Required Lenders. Upon any such notice of resignation, if a successor Administrative Agent has not already been appointed by the retiring Administrative Agent, the Required Lenders shall have the right, upon the written consent of the Borrower (not to be unreasonably withheld, and provided that the consent of the Borrower shall not be required during the continuance of an Event of Default),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until a successor Administrative Agent is so appointed by the Required Lenders or the Administrative Agent, any collateral security held by the Administrative Agent in its role as Collateral Agent on</w:t>
      </w:r>
    </w:p>
    <w:p>
      <w:pPr>
        <w:sectPr>
          <w:pgSz w:w="11900" w:h="16838" w:orient="portrait"/>
          <w:cols w:equalWidth="0" w:num="1">
            <w:col w:w="11360"/>
          </w:cols>
          <w:pgMar w:left="240" w:top="625" w:right="299" w:bottom="1440" w:gutter="0" w:footer="0" w:header="0"/>
        </w:sectPr>
      </w:pPr>
    </w:p>
    <w:bookmarkStart w:id="301" w:name="page302"/>
    <w:bookmarkEnd w:id="301"/>
    <w:p>
      <w:pPr>
        <w:spacing w:after="0" w:line="252" w:lineRule="auto"/>
        <w:rPr>
          <w:sz w:val="20"/>
          <w:szCs w:val="20"/>
          <w:color w:val="auto"/>
        </w:rPr>
      </w:pPr>
      <w:r>
        <w:rPr>
          <w:rFonts w:ascii="Times New Roman" w:cs="Times New Roman" w:eastAsia="Times New Roman" w:hAnsi="Times New Roman"/>
          <w:sz w:val="18"/>
          <w:szCs w:val="18"/>
          <w:color w:val="auto"/>
        </w:rPr>
        <w:t>behalf of the Lenders or the L/C Issuer under any of the Loan Documents shall continue to be held by the retiring Collateral Agent as nominee until such time as a successor Collateral Agent is appointed. Upon the acceptance of any appointment as Administrative Agent hereunder by a successor Administrative Agent, that successor Administrative Agent shall thereupon succeed to and become vested with all the rights, powers, privileges and duties of the Departing Administrative Agent and the Departing Administrative Agent shall promptly (i) transfer to such successor Administrative Agent all sums, securities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Departing Administrative Agent shall be discharged from its duties and obligations hereunder. Except as provided above, any resignation or removal of JPMorgan Chase Bank, N.A. or its successor as Administrative Agent pursuant to this Section 9.7 shall also constitute the resignation of JPMorgan Chase Bank, N.A. or its successor as Collateral Agent. After any Departing Administrative Agent’s resignation or replacement hereunder as Administrative Agent, the provisions of this Article 9 and all protective provisions of the other Loan Documents shall inure to its benefit as to any actions taken or omitted to be taken by it while it was Administrative Agent, but no successor Administrative Agent shall in any event be liable or responsible for any actions of its predecessor. Any successor Administrative Agent appointed pursuant to this Section 9.7 shall, upon its acceptance of such appointment, become the successor Collateral Agent for all purposes hereunder.</w:t>
      </w:r>
    </w:p>
    <w:p>
      <w:pPr>
        <w:spacing w:after="0" w:line="19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9.8 </w:t>
      </w:r>
      <w:r>
        <w:rPr>
          <w:rFonts w:ascii="Times New Roman" w:cs="Times New Roman" w:eastAsia="Times New Roman" w:hAnsi="Times New Roman"/>
          <w:sz w:val="22"/>
          <w:szCs w:val="22"/>
          <w:i w:val="1"/>
          <w:iCs w:val="1"/>
          <w:color w:val="auto"/>
        </w:rPr>
        <w:t>L/C Issuer</w:t>
      </w:r>
      <w:r>
        <w:rPr>
          <w:rFonts w:ascii="Times New Roman" w:cs="Times New Roman" w:eastAsia="Times New Roman" w:hAnsi="Times New Roman"/>
          <w:sz w:val="18"/>
          <w:szCs w:val="18"/>
          <w:color w:val="auto"/>
        </w:rPr>
        <w:t>. The L/C Issuers shall act on behalf of the Revolving Lenders with respect to any Letters of Credit issued by them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the documents associated therewith. The L/C Issuers shall have all of the benefits and immunities (i) provided to the Administrative Agent in this Article 9 with respect to any acts taken or omissions suffered by the L/C Issuers in connection with Letters of Credit issued by them or proposed to be issued by them and the Applications pertaining to such Letters of Credit as fully as if the term “Administrative Agent,” as used in this Article 9, included the L/C Issuers with respect to such acts or omissions (it being understood and agreed that for purposes of this Section 9.8, all references to “Lenders” in this Article 9 shall be deemed to be references to “Revolving Lenders”) and (ii) as additionally provided in this Agreement with respect to such L/C Issuer.</w:t>
      </w:r>
    </w:p>
    <w:p>
      <w:pPr>
        <w:spacing w:after="0" w:line="174" w:lineRule="exact"/>
        <w:rPr>
          <w:sz w:val="20"/>
          <w:szCs w:val="20"/>
          <w:color w:val="auto"/>
        </w:rPr>
      </w:pPr>
    </w:p>
    <w:p>
      <w:pPr>
        <w:ind w:right="20"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i w:val="1"/>
          <w:iCs w:val="1"/>
          <w:color w:val="auto"/>
        </w:rPr>
        <w:t>Hedging Liability and Funds Transfer Liability and Deposit Account Liability Obligation Arrangements</w:t>
      </w:r>
      <w:r>
        <w:rPr>
          <w:rFonts w:ascii="Times New Roman" w:cs="Times New Roman" w:eastAsia="Times New Roman" w:hAnsi="Times New Roman"/>
          <w:sz w:val="18"/>
          <w:szCs w:val="18"/>
          <w:color w:val="auto"/>
        </w:rPr>
        <w:t>.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virtue of a Lender’s execution of this Agreement or an assignment agreement pursuant to Section 10.10 hereof, as the case may be, any Affiliate of such Lender with whom the Borrower or any Subsidiary has entered into an agreement creating Hedging Liability or Funds Transfer Liability, Deposit Account Liability and Data Processing Obligations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Collateral as more fully set forth in Section 2.9 and Article 4 hereof. In connection with any such distribution of payments and collections, the Administrative Agent shall be entitled to assume no amounts are due to any Lender or its Affiliate with respect to Hedging Liability or Funds Transfer Liability, Deposit Account Liability and Data Processing Obligations unless such Lender has notified the Administrative Agent in writing of the amount of any such liability owed to it or its Affiliate prior to such distribution.</w:t>
      </w:r>
    </w:p>
    <w:p>
      <w:pPr>
        <w:spacing w:after="0" w:line="169"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i w:val="1"/>
          <w:iCs w:val="1"/>
          <w:color w:val="auto"/>
        </w:rPr>
        <w:t>No Other Duties</w:t>
      </w:r>
      <w:r>
        <w:rPr>
          <w:rFonts w:ascii="Times New Roman" w:cs="Times New Roman" w:eastAsia="Times New Roman" w:hAnsi="Times New Roman"/>
          <w:sz w:val="18"/>
          <w:szCs w:val="18"/>
          <w:color w:val="auto"/>
        </w:rPr>
        <w:t>. Anything herein to the contrary notwithstanding, none of the Joint Lead Arrangers, Co-Syndication Agents,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Co-Documentation Agents, Senior Managing Agents or other agents or arrangers listed on the cover page hereof shall have any powers, duties or responsibilities under this Agreement or any of the other Loan Documents, except in its capacity, as applicable, as the Administrative Agent, a Lender or an L/C Issuer hereunder.</w:t>
      </w:r>
    </w:p>
    <w:p>
      <w:pPr>
        <w:sectPr>
          <w:pgSz w:w="11900" w:h="16838" w:orient="portrait"/>
          <w:cols w:equalWidth="0" w:num="1">
            <w:col w:w="11400"/>
          </w:cols>
          <w:pgMar w:left="240" w:top="621" w:right="259" w:bottom="1440" w:gutter="0" w:footer="0" w:header="0"/>
        </w:sectPr>
      </w:pPr>
    </w:p>
    <w:bookmarkStart w:id="302" w:name="page303"/>
    <w:bookmarkEnd w:id="302"/>
    <w:p>
      <w:pPr>
        <w:ind w:firstLine="648"/>
        <w:spacing w:after="0" w:line="294"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i w:val="1"/>
          <w:iCs w:val="1"/>
          <w:color w:val="auto"/>
        </w:rPr>
        <w:t>Authorization to Enter into, and Enforcement of, the Collateral Documents</w:t>
      </w:r>
      <w:r>
        <w:rPr>
          <w:rFonts w:ascii="Times New Roman" w:cs="Times New Roman" w:eastAsia="Times New Roman" w:hAnsi="Times New Roman"/>
          <w:sz w:val="18"/>
          <w:szCs w:val="18"/>
          <w:color w:val="auto"/>
        </w:rPr>
        <w:t>. Subject to the Intercreditor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the Administrative Agent or Collateral Agent, as applicable, is hereby irrevocably authorized by each Secured Party to be the agent for and representative of the Secured Parties and to execute and deliver the Collateral Documents and Guaranty on behalf of and for the benefit of the Secured Parties and to take such action and exercise such powers under the Collateral Documents as the Administrative Agent or Collateral Agent, as applicable, considers appropriate;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neither the Administrative Agent nor the Collateral Agent shall owe any fiduciary duty, duty of loyalty, duty of care, duty of disclosure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obligation whatsoever to any other holder of Obligations with respect to any Hedge Agreement or Funds Transfer Liability, Deposit Account Liability and Data Processing Obligations. Neither the Administrative Agent nor the Collateral Agent shall (except as expressly provided in Section 10.11) amend the Collateral Documents unless such amendment is agreed to in writing by the Required Lenders. Each Lender acknowledges and agrees that it will be bound by the terms and conditions of the Collateral Documents upon the execution and delivery thereof by the Administrative Agent or the Collateral Agent, as applicable. Subject to the Intercreditor Agreement and except as otherwise specifically provided for herein, no Lender (or its Affiliates) other than the Administrative Agent or the Collateral Agent, as applicable, shall have the right to institute any suit, action or proceeding in equity or at law for the foreclosure or other realization upon any Collateral or for the execution of any trust or power in respect of the Collateral or for the appointment of a receiver or for the enforcement of any other remedy under the Collateral Documents; it being understood and intended that no one or more of the Lenders (or their Affiliates) shall have any right in any manner whatsoever to affect, disturb or prejudice the Lien of the Administrative Agent or the Collateral Agent (or any security trustee therefor), as applicable, under the Collateral Documents by its or their action or to enforce any right thereunder, and that all proceedings at law or in equity shall be instituted, had, and maintained by the Administrative Agent or Collateral Agent (or its security trustee), as applicable, in the manner provided for in the relevant Collateral Documents for the benefit of the Lenders and their Affiliates.</w:t>
      </w:r>
    </w:p>
    <w:p>
      <w:pPr>
        <w:spacing w:after="0" w:line="169" w:lineRule="exact"/>
        <w:rPr>
          <w:sz w:val="20"/>
          <w:szCs w:val="20"/>
          <w:color w:val="auto"/>
        </w:rPr>
      </w:pPr>
    </w:p>
    <w:p>
      <w:pPr>
        <w:jc w:val="both"/>
        <w:ind w:right="32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i w:val="1"/>
          <w:iCs w:val="1"/>
          <w:color w:val="auto"/>
        </w:rPr>
        <w:t>Authorization to Release Liens,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The Administrative Agent or Collateral Agent, as applicable, is hereby irrevocably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authorized by each of the Lenders, without the further consent of any Lender, (and shall, upon the written request of the Borrower) to (and to execute any agreements, documents or instruments necessary to):</w:t>
      </w:r>
    </w:p>
    <w:p>
      <w:pPr>
        <w:spacing w:after="0" w:line="175" w:lineRule="exact"/>
        <w:rPr>
          <w:sz w:val="20"/>
          <w:szCs w:val="20"/>
          <w:color w:val="auto"/>
        </w:rPr>
      </w:pPr>
    </w:p>
    <w:p>
      <w:pPr>
        <w:ind w:left="660" w:right="80" w:firstLine="888"/>
        <w:spacing w:after="0" w:line="263" w:lineRule="auto"/>
        <w:tabs>
          <w:tab w:leader="none" w:pos="1935"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Lien covering any Property of the Borrower or its Subsidiaries that is the subject of a disposition to a Person that is not a Loan Party that is permitted by this Agreement or that has been consented to in accordance with Section 10.11;</w:t>
      </w:r>
    </w:p>
    <w:p>
      <w:pPr>
        <w:spacing w:after="0" w:line="167" w:lineRule="exact"/>
        <w:rPr>
          <w:rFonts w:ascii="Times New Roman" w:cs="Times New Roman" w:eastAsia="Times New Roman" w:hAnsi="Times New Roman"/>
          <w:sz w:val="22"/>
          <w:szCs w:val="22"/>
          <w:color w:val="auto"/>
        </w:rPr>
      </w:pPr>
    </w:p>
    <w:p>
      <w:pPr>
        <w:ind w:left="660" w:right="120" w:firstLine="888"/>
        <w:spacing w:after="0" w:line="263" w:lineRule="auto"/>
        <w:tabs>
          <w:tab w:leader="none" w:pos="1995"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Date, release the Borrower and each of the Guarantors from its Obligations under the Loan Documents (other than those that specifically survive termination of this Agreement) and any Liens covering any of their Property with respect thereto;</w:t>
      </w:r>
    </w:p>
    <w:p>
      <w:pPr>
        <w:spacing w:after="0" w:line="167" w:lineRule="exact"/>
        <w:rPr>
          <w:rFonts w:ascii="Times New Roman" w:cs="Times New Roman" w:eastAsia="Times New Roman" w:hAnsi="Times New Roman"/>
          <w:sz w:val="22"/>
          <w:szCs w:val="22"/>
          <w:color w:val="auto"/>
        </w:rPr>
      </w:pPr>
    </w:p>
    <w:p>
      <w:pPr>
        <w:ind w:left="660" w:right="20" w:firstLine="888"/>
        <w:spacing w:after="0" w:line="263" w:lineRule="auto"/>
        <w:tabs>
          <w:tab w:leader="none" w:pos="2055"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Guarantor from its obligations under any Loan Document to which it is a party if such Person ceases to be a Restricted Subsidiary as a result of a transaction or designation permitted by this Agreement and the Liens on such Obligations shall be automatically released;</w:t>
      </w:r>
    </w:p>
    <w:p>
      <w:pPr>
        <w:spacing w:after="0" w:line="167" w:lineRule="exact"/>
        <w:rPr>
          <w:rFonts w:ascii="Times New Roman" w:cs="Times New Roman" w:eastAsia="Times New Roman" w:hAnsi="Times New Roman"/>
          <w:sz w:val="22"/>
          <w:szCs w:val="22"/>
          <w:color w:val="auto"/>
        </w:rPr>
      </w:pPr>
    </w:p>
    <w:p>
      <w:pPr>
        <w:ind w:left="660" w:right="260" w:firstLine="888"/>
        <w:spacing w:after="0" w:line="263" w:lineRule="auto"/>
        <w:tabs>
          <w:tab w:leader="none" w:pos="204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of the Borrower, subordinate any Lien on any Property granted to or held by the Administrative Agent under any Loan Document to the holder of any Lien on such Property that is permitted by Sections 6.15(I)(e), (w) or (x) or 6.15(II)</w:t>
      </w:r>
    </w:p>
    <w:p>
      <w:pPr>
        <w:sectPr>
          <w:pgSz w:w="11900" w:h="16838" w:orient="portrait"/>
          <w:cols w:equalWidth="0" w:num="1">
            <w:col w:w="11380"/>
          </w:cols>
          <w:pgMar w:left="240" w:top="621" w:right="279" w:bottom="1440" w:gutter="0" w:footer="0" w:header="0"/>
        </w:sectPr>
      </w:pPr>
    </w:p>
    <w:bookmarkStart w:id="303" w:name="page304"/>
    <w:bookmarkEnd w:id="303"/>
    <w:p>
      <w:pPr>
        <w:ind w:left="660" w:right="280"/>
        <w:spacing w:after="0" w:line="271" w:lineRule="auto"/>
        <w:rPr>
          <w:sz w:val="20"/>
          <w:szCs w:val="20"/>
          <w:color w:val="auto"/>
        </w:rPr>
      </w:pPr>
      <w:r>
        <w:rPr>
          <w:rFonts w:ascii="Times New Roman" w:cs="Times New Roman" w:eastAsia="Times New Roman" w:hAnsi="Times New Roman"/>
          <w:sz w:val="22"/>
          <w:szCs w:val="22"/>
          <w:color w:val="auto"/>
        </w:rPr>
        <w:t>(e), as applicable, or, with respect to the replacement of Liens, permitted by Sections 6.15(e), (w) or (x) or 6.15(II)(e), as applicable;</w:t>
      </w:r>
    </w:p>
    <w:p>
      <w:pPr>
        <w:spacing w:after="0" w:line="158" w:lineRule="exact"/>
        <w:rPr>
          <w:sz w:val="20"/>
          <w:szCs w:val="20"/>
          <w:color w:val="auto"/>
        </w:rPr>
      </w:pPr>
    </w:p>
    <w:p>
      <w:pPr>
        <w:ind w:left="660" w:firstLine="888"/>
        <w:spacing w:after="0" w:line="257" w:lineRule="auto"/>
        <w:tabs>
          <w:tab w:leader="none" w:pos="198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any intercreditor arrangements contemplated by Sections 2.14, 2.15, 6.13, 6.14, and/or 6.15 that will allow additional secured debt that is permitted under the Loan Documents to be secured by a lien on the Collateral on a </w:t>
      </w:r>
      <w:r>
        <w:rPr>
          <w:rFonts w:ascii="Times New Roman" w:cs="Times New Roman" w:eastAsia="Times New Roman" w:hAnsi="Times New Roman"/>
          <w:sz w:val="22"/>
          <w:szCs w:val="22"/>
          <w:i w:val="1"/>
          <w:iCs w:val="1"/>
          <w:color w:val="auto"/>
        </w:rPr>
        <w:t xml:space="preserve">pari passu </w:t>
      </w:r>
      <w:r>
        <w:rPr>
          <w:rFonts w:ascii="Times New Roman" w:cs="Times New Roman" w:eastAsia="Times New Roman" w:hAnsi="Times New Roman"/>
          <w:sz w:val="22"/>
          <w:szCs w:val="22"/>
          <w:color w:val="auto"/>
        </w:rPr>
        <w:t>or junior basis with the Obligations. The terms of such intercreditor arrangements shall be customary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acceptable to the Administrative Agent and the Borrower; and</w:t>
      </w:r>
    </w:p>
    <w:p>
      <w:pPr>
        <w:spacing w:after="0" w:line="172" w:lineRule="exact"/>
        <w:rPr>
          <w:rFonts w:ascii="Times New Roman" w:cs="Times New Roman" w:eastAsia="Times New Roman" w:hAnsi="Times New Roman"/>
          <w:sz w:val="22"/>
          <w:szCs w:val="22"/>
          <w:color w:val="auto"/>
        </w:rPr>
      </w:pPr>
    </w:p>
    <w:p>
      <w:pPr>
        <w:ind w:left="660" w:right="280" w:firstLine="888"/>
        <w:spacing w:after="0" w:line="284" w:lineRule="auto"/>
        <w:tabs>
          <w:tab w:leader="none" w:pos="204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Collateral Documents, enter into any new Collateral Documents and make any filings related thereto in connection with any Secured Covenant Reinstatement Event.</w:t>
      </w:r>
    </w:p>
    <w:p>
      <w:pPr>
        <w:spacing w:after="0" w:line="144" w:lineRule="exact"/>
        <w:rPr>
          <w:sz w:val="20"/>
          <w:szCs w:val="20"/>
          <w:color w:val="auto"/>
        </w:rPr>
      </w:pPr>
    </w:p>
    <w:p>
      <w:pPr>
        <w:ind w:right="20" w:firstLine="1297"/>
        <w:spacing w:after="0" w:line="260" w:lineRule="auto"/>
        <w:rPr>
          <w:sz w:val="20"/>
          <w:szCs w:val="20"/>
          <w:color w:val="auto"/>
        </w:rPr>
      </w:pPr>
      <w:r>
        <w:rPr>
          <w:rFonts w:ascii="Times New Roman" w:cs="Times New Roman" w:eastAsia="Times New Roman" w:hAnsi="Times New Roman"/>
          <w:sz w:val="21"/>
          <w:szCs w:val="21"/>
          <w:color w:val="auto"/>
        </w:rPr>
        <w:t>The Lenders hereby irrevocably agree that the Liens granted to the Collateral Agent by the Grantors on any Collateral shall be automatically released (i) in full, upon the Termination Date, (ii) upon the sale or other transfer of such Collateral (including as part of or in connection with any other sale or other transfer permitted hereunder) to any Person other than another Grantor, to the extent such sale, transfer or other disposition is made in compliance with the terms of this Agreement, (iii) to the extent such Collateral is comprised of property leased to a Grantor by a Person that is not a Grantor, upon termination or expiration of such lease, (iv) if the release of such Lien is approved, authorized or ratified in writing by the Required Lenders (or such other percentage of the Lenders whose consent may be required in accordance with Section 10.11), (v) as required by the Collateral Agent to effect any sale, transfer or other disposition of Collateral in connection with any exercise of remedies of the Collateral Agent pursuant to the Collateral Documents and (vi) to the extent such Collateral otherwise becomes Excluded Property.</w:t>
      </w:r>
    </w:p>
    <w:p>
      <w:pPr>
        <w:spacing w:after="0" w:line="171" w:lineRule="exact"/>
        <w:rPr>
          <w:sz w:val="20"/>
          <w:szCs w:val="20"/>
          <w:color w:val="auto"/>
        </w:rPr>
      </w:pPr>
    </w:p>
    <w:p>
      <w:pPr>
        <w:ind w:right="40" w:firstLine="1297"/>
        <w:spacing w:after="0" w:line="260" w:lineRule="auto"/>
        <w:rPr>
          <w:sz w:val="20"/>
          <w:szCs w:val="20"/>
          <w:color w:val="auto"/>
        </w:rPr>
      </w:pPr>
      <w:r>
        <w:rPr>
          <w:rFonts w:ascii="Times New Roman" w:cs="Times New Roman" w:eastAsia="Times New Roman" w:hAnsi="Times New Roman"/>
          <w:sz w:val="21"/>
          <w:szCs w:val="21"/>
          <w:color w:val="auto"/>
        </w:rPr>
        <w:t xml:space="preserve">The Lenders hereby irrevocably agree that if (a) all of the Equity Interests of any Guarantor or any of its successors in interest hereunder shall be transferred, sold or otherwise disposed of (including by merger or consolidation) in accordance with the terms and conditions hereof to a Person that is not a Loan Party or (b) a Guarantor or any of its successors in interest hereunder becomes an Excluded Subsidiary after the Escrow Release Date, then, in each case, the Guaranty of such Guarantor or such successor in interest, as the case may be, hereunder shall automatically be discharged and released without any further action by any Person effective as of (or if a Guarantor becomes an Excluded Subsidiary, immediately prior to) the time of such transfer, sale, disposal or occurrence;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release of a Guarantor (other than the SD Guarantor) in connection with such Guarantor becoming an Excluded Subsidiary shall constitute an investment in such Excluded Subsidiary as of the date of such release.</w:t>
      </w:r>
    </w:p>
    <w:p>
      <w:pPr>
        <w:spacing w:after="0" w:line="176" w:lineRule="exact"/>
        <w:rPr>
          <w:sz w:val="20"/>
          <w:szCs w:val="20"/>
          <w:color w:val="auto"/>
        </w:rPr>
      </w:pPr>
    </w:p>
    <w:p>
      <w:pPr>
        <w:ind w:right="360" w:firstLine="1297"/>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Agreement or any Loan Document, following a Collateral and Guarantee Suspension Date, the Unsecured Covenant Package shall become effective. Notwithstanding the prior sentence, if, after any</w:t>
      </w:r>
    </w:p>
    <w:p>
      <w:pPr>
        <w:sectPr>
          <w:pgSz w:w="11900" w:h="16838" w:orient="portrait"/>
          <w:cols w:equalWidth="0" w:num="1">
            <w:col w:w="11360"/>
          </w:cols>
          <w:pgMar w:left="240" w:top="626" w:right="299" w:bottom="1440" w:gutter="0" w:footer="0" w:header="0"/>
        </w:sectPr>
      </w:pPr>
    </w:p>
    <w:bookmarkStart w:id="304" w:name="page305"/>
    <w:bookmarkEnd w:id="304"/>
    <w:p>
      <w:pPr>
        <w:ind w:right="20"/>
        <w:spacing w:after="0" w:line="256" w:lineRule="auto"/>
        <w:rPr>
          <w:sz w:val="20"/>
          <w:szCs w:val="20"/>
          <w:color w:val="auto"/>
        </w:rPr>
      </w:pPr>
      <w:r>
        <w:rPr>
          <w:rFonts w:ascii="Times New Roman" w:cs="Times New Roman" w:eastAsia="Times New Roman" w:hAnsi="Times New Roman"/>
          <w:sz w:val="21"/>
          <w:szCs w:val="21"/>
          <w:color w:val="auto"/>
        </w:rPr>
        <w:t>Collateral and Guarantee Suspension Date, a Secured Covenant Reinstatement Event occurs, the Collateral and Guarantee Suspension Period shall terminate and all Collateral and the Collateral Documents, and all Liens granted or purported to be granted therein, and all guaranties of the Guarantors of the Obligations, shall be reinstated on the same terms as of the applicable Collateral Reinstatement Date, and the Loan Parties shall, at their sole cost and expense, take all actions and execute and deliver all documents including the delivery of new guaranty and pledge and security documents, UCC-1 financing statements and stock certificates accompanied by stock powers reasonably requested by the Administrative Agent or Collateral Agent as necessary to create and perfect the Liens of the Collateral Agent in such Collateral, in form and substance reasonably satisfactory to the Administrative Agent and Collateral Agent, within 90 days of such Secured Covenant Reinstatement Event (or such longer period as the Administrative Agent may agree in its sole discretion) (the first date on which a new pledge and or security document is required to be delivered pursuant to the foregoing, the “</w:t>
      </w:r>
      <w:r>
        <w:rPr>
          <w:rFonts w:ascii="Times New Roman" w:cs="Times New Roman" w:eastAsia="Times New Roman" w:hAnsi="Times New Roman"/>
          <w:sz w:val="21"/>
          <w:szCs w:val="21"/>
          <w:i w:val="1"/>
          <w:iCs w:val="1"/>
          <w:color w:val="auto"/>
        </w:rPr>
        <w:t>Collateral Reinstatement Date</w:t>
      </w:r>
      <w:r>
        <w:rPr>
          <w:rFonts w:ascii="Times New Roman" w:cs="Times New Roman" w:eastAsia="Times New Roman" w:hAnsi="Times New Roman"/>
          <w:sz w:val="21"/>
          <w:szCs w:val="21"/>
          <w:color w:val="auto"/>
        </w:rPr>
        <w:t>”). Upon the occurrence of a Secured Covenant Reinstatement Event, the Secured Covenant Package shall become effective and the Unsecured Covenant Package shall no longer be in effect. Notwithstanding anything to the contrary contained in this Agreement or any Loan Document, no action taken or omitted to be taken by the Borrower or any of its Restricted Subsidiaries during a Unsecured Covenants Period shall give rise to a Default or Event of Default on or after a Secured Covenant Reinstatement Event so long as such action or omission was permitted under the Unsecured Covenant Package or otherwise permitted during such Unsecured Covenants Period. Upon the applicable Secured Covenant Reinstatement Event, (i) all Indebtedness incurred during such Unsecured Covenants Period that otherwise would not have been permitted under the Secured Covenant Package will be classified to have been incurred pursuant to Section 6.14(I)(p) (and any Indebtedness incurred by Western Digital International Ltd. during a Unsecured Covenants Period shall be permitted notwithstanding the last paragraph of Section 6.14 and shall not be counted towards the calculation of the cap therein),</w:t>
      </w:r>
    </w:p>
    <w:p>
      <w:pPr>
        <w:spacing w:after="0" w:line="5" w:lineRule="exact"/>
        <w:rPr>
          <w:sz w:val="20"/>
          <w:szCs w:val="20"/>
          <w:color w:val="auto"/>
        </w:rPr>
      </w:pPr>
    </w:p>
    <w:p>
      <w:pPr>
        <w:ind w:firstLine="8"/>
        <w:spacing w:after="0" w:line="255" w:lineRule="auto"/>
        <w:tabs>
          <w:tab w:leader="none" w:pos="318"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Liens incurred during such Unsecured Covenants Period that otherwise would not have been permitted under the Secured Covenant Package will be classified to have been incurred pursuant to Section 6.15(I)(v) (and any Indebtedness of non-Loan Parties secured by Liens on intellectual property incurred during a Unsecured Covenants Period shall be permitted notwithstanding the last paragraph of Section 6.15 and shall not be counted towards the calculation of the cap therein), (iii) with respect to investments made under the Secured Covenant Package, the amount available to be made as investments will be calculated as though the provisions of Section 6.17 had been in effect prior to, but not during, any Unsecured Covenants Period, (iv) with respect to Distributions made under the Secured Covenant Package, the amount available to be made as Distributions will be calculated as though the provisions of Section 6.18 had been in effect prior to, but not during, any Unsecured Covenants Period, (v) with respect to Restricted Debt Payments made under the Secured Covenant Package, the amount available to be made as Restricted Debt Payments will be calculated as though Section 6.20 had been in effect prior to, but not during, any Unsecured Covenants Period and</w:t>
      </w:r>
    </w:p>
    <w:p>
      <w:pPr>
        <w:ind w:left="380" w:hanging="372"/>
        <w:spacing w:after="0"/>
        <w:tabs>
          <w:tab w:leader="none" w:pos="38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Subsidiaries shall be designated as Unrestricted Subsidiaries during any Unsecured Covenants Period.</w:t>
      </w:r>
    </w:p>
    <w:p>
      <w:pPr>
        <w:sectPr>
          <w:pgSz w:w="11900" w:h="16838" w:orient="portrait"/>
          <w:cols w:equalWidth="0" w:num="1">
            <w:col w:w="11420"/>
          </w:cols>
          <w:pgMar w:left="240" w:top="625" w:right="239" w:bottom="1440" w:gutter="0" w:footer="0" w:header="0"/>
        </w:sectPr>
      </w:pPr>
    </w:p>
    <w:bookmarkStart w:id="305" w:name="page306"/>
    <w:bookmarkEnd w:id="305"/>
    <w:p>
      <w:pPr>
        <w:ind w:firstLine="1297"/>
        <w:spacing w:after="0" w:line="246" w:lineRule="auto"/>
        <w:rPr>
          <w:sz w:val="20"/>
          <w:szCs w:val="20"/>
          <w:color w:val="auto"/>
        </w:rPr>
      </w:pPr>
      <w:r>
        <w:rPr>
          <w:rFonts w:ascii="Times New Roman" w:cs="Times New Roman" w:eastAsia="Times New Roman" w:hAnsi="Times New Roman"/>
          <w:sz w:val="22"/>
          <w:szCs w:val="22"/>
          <w:color w:val="auto"/>
        </w:rPr>
        <w:t>For purposes of this Agreement, (i) the period of time between a Collateral and Guarantee Suspension Date and the subsequent Collateral Reinstatement Date is referred to as the “</w:t>
      </w:r>
      <w:r>
        <w:rPr>
          <w:rFonts w:ascii="Times New Roman" w:cs="Times New Roman" w:eastAsia="Times New Roman" w:hAnsi="Times New Roman"/>
          <w:sz w:val="22"/>
          <w:szCs w:val="22"/>
          <w:i w:val="1"/>
          <w:iCs w:val="1"/>
          <w:color w:val="auto"/>
        </w:rPr>
        <w:t>Collateral and Guarantee Suspension Period</w:t>
      </w:r>
      <w:r>
        <w:rPr>
          <w:rFonts w:ascii="Times New Roman" w:cs="Times New Roman" w:eastAsia="Times New Roman" w:hAnsi="Times New Roman"/>
          <w:sz w:val="22"/>
          <w:szCs w:val="22"/>
          <w:color w:val="auto"/>
        </w:rPr>
        <w:t>,” (ii) any period of time prior to the first Collateral and Guarantee Suspension Date, or following the first Collateral and Guarantee Suspension Date and after a Collateral Reinstatement Date but prior to the subsequent Collateral and Guarantee Suspension Date, is referred to as a “</w:t>
      </w:r>
      <w:r>
        <w:rPr>
          <w:rFonts w:ascii="Times New Roman" w:cs="Times New Roman" w:eastAsia="Times New Roman" w:hAnsi="Times New Roman"/>
          <w:sz w:val="22"/>
          <w:szCs w:val="22"/>
          <w:i w:val="1"/>
          <w:iCs w:val="1"/>
          <w:color w:val="auto"/>
        </w:rPr>
        <w:t>Collateral and Guarantee Period</w:t>
      </w:r>
      <w:r>
        <w:rPr>
          <w:rFonts w:ascii="Times New Roman" w:cs="Times New Roman" w:eastAsia="Times New Roman" w:hAnsi="Times New Roman"/>
          <w:sz w:val="22"/>
          <w:szCs w:val="22"/>
          <w:color w:val="auto"/>
        </w:rPr>
        <w:t>”, (iii) the period of time between a Collateral and Guarantee Suspension Date and the date of the subsequent Secured Covenant Reinstatement Event, is referred to as the “</w:t>
      </w:r>
      <w:r>
        <w:rPr>
          <w:rFonts w:ascii="Times New Roman" w:cs="Times New Roman" w:eastAsia="Times New Roman" w:hAnsi="Times New Roman"/>
          <w:sz w:val="22"/>
          <w:szCs w:val="22"/>
          <w:i w:val="1"/>
          <w:iCs w:val="1"/>
          <w:color w:val="auto"/>
        </w:rPr>
        <w:t>Unsecured Covenants Period</w:t>
      </w:r>
      <w:r>
        <w:rPr>
          <w:rFonts w:ascii="Times New Roman" w:cs="Times New Roman" w:eastAsia="Times New Roman" w:hAnsi="Times New Roman"/>
          <w:sz w:val="22"/>
          <w:szCs w:val="22"/>
          <w:color w:val="auto"/>
        </w:rPr>
        <w:t>” and (iv) any period of time prior to the first Collateral and Guarantee Suspension Date, or following the first Collateral and Guarantee Suspension Date and after a Secured Covenant Reinstatement Event but prior to the subsequent Collateral and Guarantee Suspension Date, is referred to as the “</w:t>
      </w:r>
      <w:r>
        <w:rPr>
          <w:rFonts w:ascii="Times New Roman" w:cs="Times New Roman" w:eastAsia="Times New Roman" w:hAnsi="Times New Roman"/>
          <w:sz w:val="22"/>
          <w:szCs w:val="22"/>
          <w:i w:val="1"/>
          <w:iCs w:val="1"/>
          <w:color w:val="auto"/>
        </w:rPr>
        <w:t>Secured Covenants Period</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right="140" w:firstLine="1297"/>
        <w:spacing w:after="0" w:line="257" w:lineRule="auto"/>
        <w:rPr>
          <w:sz w:val="20"/>
          <w:szCs w:val="20"/>
          <w:color w:val="auto"/>
        </w:rPr>
      </w:pPr>
      <w:r>
        <w:rPr>
          <w:rFonts w:ascii="Times New Roman" w:cs="Times New Roman" w:eastAsia="Times New Roman" w:hAnsi="Times New Roman"/>
          <w:sz w:val="22"/>
          <w:szCs w:val="22"/>
          <w:color w:val="auto"/>
        </w:rPr>
        <w:t>Any representation, warranty or covenant contained in any Loan Document relating to any Collateral or Guarantor released pursuant to this Section 9.12 shall no longer be deemed to be repeated with respect to such released Collateral or released Guarantor.</w:t>
      </w:r>
    </w:p>
    <w:p>
      <w:pPr>
        <w:spacing w:after="0" w:line="169"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9.13 </w:t>
      </w:r>
      <w:r>
        <w:rPr>
          <w:rFonts w:ascii="Times New Roman" w:cs="Times New Roman" w:eastAsia="Times New Roman" w:hAnsi="Times New Roman"/>
          <w:sz w:val="21"/>
          <w:szCs w:val="21"/>
          <w:i w:val="1"/>
          <w:iCs w:val="1"/>
          <w:color w:val="auto"/>
        </w:rPr>
        <w:t>Withholding Taxes</w:t>
      </w:r>
      <w:r>
        <w:rPr>
          <w:rFonts w:ascii="Times New Roman" w:cs="Times New Roman" w:eastAsia="Times New Roman" w:hAnsi="Times New Roman"/>
          <w:sz w:val="21"/>
          <w:szCs w:val="21"/>
          <w:color w:val="auto"/>
        </w:rPr>
        <w:t>. To the extent required by any applicable laws, the Administrative Agent may withhold from any payment to any Lender an amount equivalent to any applicable withholding Tax. Without limiting or expanding the provisions of Section 10.1, each Lender shall indemnify and hold harmless the Administrative Agent against, within ten (10) days after written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9.13. For the avoidance of doubt, a “Lender” shall, for purposes of this Section 9.13, include any L/C Issuer. The agreements in this Section 9.13 shall survive the resignation and/or replacement of the Administrative Agent, any assignment of rights by, or the replacement of, a Lender, the termination of the Commitments and the repayment, satisfaction or discharge of all other Obligations.</w:t>
      </w:r>
    </w:p>
    <w:p>
      <w:pPr>
        <w:spacing w:after="0" w:line="170" w:lineRule="exact"/>
        <w:rPr>
          <w:sz w:val="20"/>
          <w:szCs w:val="20"/>
          <w:color w:val="auto"/>
        </w:rPr>
      </w:pPr>
    </w:p>
    <w:p>
      <w:pPr>
        <w:jc w:val="both"/>
        <w:ind w:right="160"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i w:val="1"/>
          <w:iCs w:val="1"/>
          <w:color w:val="auto"/>
        </w:rPr>
        <w:t>Credit Bidding</w:t>
      </w:r>
      <w:r>
        <w:rPr>
          <w:rFonts w:ascii="Times New Roman" w:cs="Times New Roman" w:eastAsia="Times New Roman" w:hAnsi="Times New Roman"/>
          <w:sz w:val="22"/>
          <w:szCs w:val="22"/>
          <w:color w:val="auto"/>
        </w:rPr>
        <w:t>. The Secured Parties hereby irrevocably authorize the Administrative Agent, at the direction of the Required Lenders, to credit bid all or any portion of the Obligations (including by accepting some or all of the Collateral (if any) in satisfaction of</w:t>
      </w:r>
    </w:p>
    <w:p>
      <w:pPr>
        <w:sectPr>
          <w:pgSz w:w="11900" w:h="16838" w:orient="portrait"/>
          <w:cols w:equalWidth="0" w:num="1">
            <w:col w:w="11400"/>
          </w:cols>
          <w:pgMar w:left="240" w:top="625" w:right="259" w:bottom="1440" w:gutter="0" w:footer="0" w:header="0"/>
        </w:sectPr>
      </w:pPr>
    </w:p>
    <w:bookmarkStart w:id="306" w:name="page307"/>
    <w:bookmarkEnd w:id="306"/>
    <w:p>
      <w:pPr>
        <w:spacing w:after="0" w:line="244" w:lineRule="auto"/>
        <w:rPr>
          <w:sz w:val="20"/>
          <w:szCs w:val="20"/>
          <w:color w:val="auto"/>
        </w:rPr>
      </w:pPr>
      <w:r>
        <w:rPr>
          <w:rFonts w:ascii="Times New Roman" w:cs="Times New Roman" w:eastAsia="Times New Roman" w:hAnsi="Times New Roman"/>
          <w:sz w:val="22"/>
          <w:szCs w:val="22"/>
          <w:color w:val="auto"/>
        </w:rPr>
        <w:t>some or all of the Obligations pursuant to a deed in lieu of foreclosure or otherwise) and in such manner purchase (either directly or through one or more acquisition vehicles) all or any portion of the Collateral (if any) (a) at any sale thereof conducted under the provisions of the United States Bankruptcy Code, as amended, including under Sections 363, 1123 or 1129 thereof,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10.11),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w:t>
      </w:r>
    </w:p>
    <w:p>
      <w:pPr>
        <w:sectPr>
          <w:pgSz w:w="11900" w:h="16838" w:orient="portrait"/>
          <w:cols w:equalWidth="0" w:num="1">
            <w:col w:w="11400"/>
          </w:cols>
          <w:pgMar w:left="240" w:top="626" w:right="259" w:bottom="1440" w:gutter="0" w:footer="0" w:header="0"/>
        </w:sectPr>
      </w:pPr>
    </w:p>
    <w:bookmarkStart w:id="307" w:name="page308"/>
    <w:bookmarkEnd w:id="307"/>
    <w:p>
      <w:pPr>
        <w:ind w:right="20"/>
        <w:spacing w:after="0" w:line="268" w:lineRule="auto"/>
        <w:rPr>
          <w:sz w:val="20"/>
          <w:szCs w:val="20"/>
          <w:color w:val="auto"/>
        </w:rPr>
      </w:pPr>
      <w:r>
        <w:rPr>
          <w:rFonts w:ascii="Times New Roman" w:cs="Times New Roman" w:eastAsia="Times New Roman" w:hAnsi="Times New Roman"/>
          <w:sz w:val="21"/>
          <w:szCs w:val="21"/>
          <w:color w:val="auto"/>
        </w:rPr>
        <w:t>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60"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ARTICLE 10.</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56"/>
        <w:spacing w:after="0" w:line="248" w:lineRule="auto"/>
        <w:tabs>
          <w:tab w:leader="none" w:pos="1068"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Payments Free of Withholding</w:t>
      </w:r>
      <w:r>
        <w:rPr>
          <w:rFonts w:ascii="Times New Roman" w:cs="Times New Roman" w:eastAsia="Times New Roman" w:hAnsi="Times New Roman"/>
          <w:sz w:val="22"/>
          <w:szCs w:val="22"/>
          <w:color w:val="auto"/>
        </w:rPr>
        <w:t>. Except as otherwise required by law, each payment by or on behalf of any Loan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this Agreement or any other Loan Document shall be made without withholding or deduction for or on account of any Taxes. If any such withholding or deduction is so required, such withholding or deduction shall be made by the applicable withholding agent, the amount withheld shall be paid to the appropriate Governmental Authority before penalties attach thereto or interest accrues thereon, and the relevant Loan Party shall pay such additional amount as may be necessary to ensure that the net amount actually received by each Lender (or, in the case of any amount received by the Administrative Agent for its own account, the Administrative Agent) after withholding or deduction for Taxes has been made (including such withholding or deduction of Taxes on such additional amount payable under this Section 10.1) is equal to the amount that such Lender (or, in the case of any amount received by the Administrative Agent for its own account, the Administrative Agent) would have received had such withholding or deduction not been made.</w:t>
      </w:r>
    </w:p>
    <w:p>
      <w:pPr>
        <w:spacing w:after="0" w:line="181" w:lineRule="exact"/>
        <w:rPr>
          <w:rFonts w:ascii="Times New Roman" w:cs="Times New Roman" w:eastAsia="Times New Roman" w:hAnsi="Times New Roman"/>
          <w:sz w:val="22"/>
          <w:szCs w:val="22"/>
          <w:color w:val="auto"/>
        </w:rPr>
      </w:pPr>
    </w:p>
    <w:p>
      <w:pPr>
        <w:ind w:right="40" w:firstLine="656"/>
        <w:spacing w:after="0" w:line="250" w:lineRule="auto"/>
        <w:tabs>
          <w:tab w:leader="none" w:pos="108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Borrower. </w:t>
      </w:r>
      <w:r>
        <w:rPr>
          <w:rFonts w:ascii="Times New Roman" w:cs="Times New Roman" w:eastAsia="Times New Roman" w:hAnsi="Times New Roman"/>
          <w:sz w:val="22"/>
          <w:szCs w:val="22"/>
          <w:color w:val="auto"/>
        </w:rPr>
        <w:t>The Borrower shall indemnify the Administrative Agent and each Lender for the full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any Indemnified Taxes (including any Indemnified Taxes imposed or asserted on or attributable to amounts payable under this Section 10.1) paid or payable by Administrative Agent or such Lender, as applicable, and any reasonable expenses arising therefrom or with respect thereto, in the currency in which such payment was made, whether or not such amounts were correctly or legally imposed or asserted by the relevant Governmental Authority, within ten (10) days after the date the Lender or the Administrative Agent makes written demand therefor, which demand shall be accompanied by a certificate describing in reasonable detail the basis thereof.</w:t>
      </w:r>
    </w:p>
    <w:p>
      <w:pPr>
        <w:spacing w:after="0" w:line="18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Lenders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660" w:right="200" w:firstLine="888"/>
        <w:spacing w:after="0" w:line="257" w:lineRule="auto"/>
        <w:tabs>
          <w:tab w:leader="none" w:pos="1935"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at such times as are reasonably requested by the Borrower or the Administrative Agent, provide the Borrower and the Administrative Agent with any documentation reasonably requested by the Borrower or the Administrative Agent certifying as to any entitlement of such Lender to an exemption from, or reduction in, withholding Tax with respect to any payments to be made to such</w:t>
      </w:r>
    </w:p>
    <w:p>
      <w:pPr>
        <w:sectPr>
          <w:pgSz w:w="11900" w:h="16838" w:orient="portrait"/>
          <w:cols w:equalWidth="0" w:num="1">
            <w:col w:w="11380"/>
          </w:cols>
          <w:pgMar w:left="240" w:top="625" w:right="279" w:bottom="1440" w:gutter="0" w:footer="0" w:header="0"/>
        </w:sectPr>
      </w:pPr>
    </w:p>
    <w:bookmarkStart w:id="308" w:name="page309"/>
    <w:bookmarkEnd w:id="308"/>
    <w:p>
      <w:pPr>
        <w:ind w:right="80"/>
        <w:spacing w:after="0" w:line="265" w:lineRule="auto"/>
        <w:rPr>
          <w:sz w:val="20"/>
          <w:szCs w:val="20"/>
          <w:color w:val="auto"/>
        </w:rPr>
      </w:pPr>
      <w:r>
        <w:rPr>
          <w:rFonts w:ascii="Times New Roman" w:cs="Times New Roman" w:eastAsia="Times New Roman" w:hAnsi="Times New Roman"/>
          <w:sz w:val="21"/>
          <w:szCs w:val="21"/>
          <w:color w:val="auto"/>
        </w:rPr>
        <w:t>Lender under any Loan Document. Each such Lender shall, whenever a lapse in time or change in circumstances renders such documentation (including any specific documentation required below in this Section 10.1(c)) obsolete, expired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w:t>
      </w:r>
    </w:p>
    <w:p>
      <w:pPr>
        <w:spacing w:after="0" w:line="166" w:lineRule="exact"/>
        <w:rPr>
          <w:sz w:val="20"/>
          <w:szCs w:val="20"/>
          <w:color w:val="auto"/>
        </w:rPr>
      </w:pPr>
    </w:p>
    <w:p>
      <w:pPr>
        <w:ind w:left="1340" w:hanging="452"/>
        <w:spacing w:after="0"/>
        <w:tabs>
          <w:tab w:leader="none" w:pos="134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33" w:lineRule="exact"/>
        <w:rPr>
          <w:rFonts w:ascii="Times New Roman" w:cs="Times New Roman" w:eastAsia="Times New Roman" w:hAnsi="Times New Roman"/>
          <w:sz w:val="22"/>
          <w:szCs w:val="22"/>
          <w:color w:val="auto"/>
        </w:rPr>
      </w:pPr>
    </w:p>
    <w:p>
      <w:pPr>
        <w:ind w:right="40" w:firstLine="645"/>
        <w:spacing w:after="0" w:line="273" w:lineRule="auto"/>
        <w:tabs>
          <w:tab w:leader="none" w:pos="1128"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that is a United States person (as such term is defined in Section 7701(a)(30) of the Code) shall deliver to the Borrower and the Administrative Agent on or prior to the date such Lender becomes a Lender hereunder (and from time to time thereafter upon reasonable request of the Borrower or the Administrative Agent), two (2) duly completed and signed copies of IRS Form W-9 certifying that such Lender is entitled to an exemption from U.S. backup withholding.</w:t>
      </w:r>
    </w:p>
    <w:p>
      <w:pPr>
        <w:spacing w:after="0" w:line="157" w:lineRule="exact"/>
        <w:rPr>
          <w:rFonts w:ascii="Times New Roman" w:cs="Times New Roman" w:eastAsia="Times New Roman" w:hAnsi="Times New Roman"/>
          <w:sz w:val="21"/>
          <w:szCs w:val="21"/>
          <w:color w:val="auto"/>
        </w:rPr>
      </w:pPr>
    </w:p>
    <w:p>
      <w:pPr>
        <w:ind w:firstLine="645"/>
        <w:spacing w:after="0" w:line="257" w:lineRule="auto"/>
        <w:tabs>
          <w:tab w:leader="none" w:pos="1116"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is not a United States person (as such term is defined in Section 7701(a)(30) of the Code) shall deliver to the Borrower and the Administrative Agent on or prior to the date such Lender becomes a Lender hereunder (and from time to time thereafter upon reasonable request of the Borrower or the Administrative Agent), whichever of the following is applicable:</w:t>
      </w:r>
    </w:p>
    <w:p>
      <w:pPr>
        <w:spacing w:after="0" w:line="172" w:lineRule="exact"/>
        <w:rPr>
          <w:rFonts w:ascii="Times New Roman" w:cs="Times New Roman" w:eastAsia="Times New Roman" w:hAnsi="Times New Roman"/>
          <w:sz w:val="22"/>
          <w:szCs w:val="22"/>
          <w:color w:val="auto"/>
        </w:rPr>
      </w:pPr>
    </w:p>
    <w:p>
      <w:pPr>
        <w:ind w:left="1300" w:right="160" w:hanging="331"/>
        <w:spacing w:after="0" w:line="257" w:lineRule="auto"/>
        <w:tabs>
          <w:tab w:leader="none" w:pos="1300" w:val="left"/>
        </w:tabs>
        <w:numPr>
          <w:ilvl w:val="2"/>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completed and signed IRS Forms W-8BEN or IRS Forms W-8BEN-E, as applicable, claiming eligibility for the benefits of an income tax treaty to which the United States is a party, and such other documentation as required under the Code;</w:t>
      </w:r>
    </w:p>
    <w:p>
      <w:pPr>
        <w:spacing w:after="0" w:line="173" w:lineRule="exact"/>
        <w:rPr>
          <w:rFonts w:ascii="Times New Roman" w:cs="Times New Roman" w:eastAsia="Times New Roman" w:hAnsi="Times New Roman"/>
          <w:sz w:val="22"/>
          <w:szCs w:val="22"/>
          <w:color w:val="auto"/>
        </w:rPr>
      </w:pPr>
    </w:p>
    <w:p>
      <w:pPr>
        <w:ind w:left="1300" w:hanging="331"/>
        <w:spacing w:after="0"/>
        <w:tabs>
          <w:tab w:leader="none" w:pos="1300" w:val="left"/>
        </w:tabs>
        <w:numPr>
          <w:ilvl w:val="2"/>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completed and signed IRS Forms W-8ECI;</w:t>
      </w:r>
    </w:p>
    <w:p>
      <w:pPr>
        <w:spacing w:after="0" w:line="220" w:lineRule="exact"/>
        <w:rPr>
          <w:sz w:val="20"/>
          <w:szCs w:val="20"/>
          <w:color w:val="auto"/>
        </w:rPr>
      </w:pPr>
    </w:p>
    <w:p>
      <w:pPr>
        <w:ind w:left="1300" w:right="140" w:hanging="323"/>
        <w:spacing w:after="0" w:line="252" w:lineRule="auto"/>
        <w:rPr>
          <w:sz w:val="20"/>
          <w:szCs w:val="20"/>
          <w:color w:val="auto"/>
        </w:rPr>
      </w:pPr>
      <w:r>
        <w:rPr>
          <w:rFonts w:ascii="Times New Roman" w:cs="Times New Roman" w:eastAsia="Times New Roman" w:hAnsi="Times New Roman"/>
          <w:sz w:val="22"/>
          <w:szCs w:val="22"/>
          <w:color w:val="auto"/>
        </w:rPr>
        <w:t xml:space="preserve">(iii)in the case of a Lender claiming the benefits of the exemption for portfolio interest under Section 871(h) or Section 881(c) of the Code, (x) two (2) duly completed and signed certificates substantially in the form of </w:t>
      </w:r>
      <w:r>
        <w:rPr>
          <w:rFonts w:ascii="Times New Roman" w:cs="Times New Roman" w:eastAsia="Times New Roman" w:hAnsi="Times New Roman"/>
          <w:sz w:val="22"/>
          <w:szCs w:val="22"/>
          <w:u w:val="single" w:color="auto"/>
          <w:color w:val="auto"/>
        </w:rPr>
        <w:t>Exhibit L-1</w:t>
      </w:r>
      <w:r>
        <w:rPr>
          <w:rFonts w:ascii="Times New Roman" w:cs="Times New Roman" w:eastAsia="Times New Roman" w:hAnsi="Times New Roman"/>
          <w:sz w:val="22"/>
          <w:szCs w:val="22"/>
          <w:color w:val="auto"/>
        </w:rPr>
        <w:t xml:space="preserve"> (any such certificate, a “</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and (y) two (2) duly completed and signed IRS Forms W-8BEN or IRS Forms W-8BEN-E, as applicable;</w:t>
      </w:r>
    </w:p>
    <w:p>
      <w:pPr>
        <w:spacing w:after="0" w:line="180" w:lineRule="exact"/>
        <w:rPr>
          <w:sz w:val="20"/>
          <w:szCs w:val="20"/>
          <w:color w:val="auto"/>
        </w:rPr>
      </w:pPr>
    </w:p>
    <w:p>
      <w:pPr>
        <w:ind w:left="1300" w:hanging="323"/>
        <w:spacing w:after="0" w:line="250" w:lineRule="auto"/>
        <w:rPr>
          <w:sz w:val="20"/>
          <w:szCs w:val="20"/>
          <w:color w:val="auto"/>
        </w:rPr>
      </w:pPr>
      <w:r>
        <w:rPr>
          <w:rFonts w:ascii="Times New Roman" w:cs="Times New Roman" w:eastAsia="Times New Roman" w:hAnsi="Times New Roman"/>
          <w:sz w:val="22"/>
          <w:szCs w:val="22"/>
          <w:color w:val="auto"/>
        </w:rPr>
        <w:t xml:space="preserve">(iv)to the extent a Lender is not the beneficial owner (for example, where the Lender is a partnership or a participating Lender), two (2) duly completed and signed IRS Forms W-8IMY of the Lender, together with an IRS FormW-8ECI, IRS Form W-8BEN, IRS Form W-8BEN-E, U.S. Tax Compliance Certificate substantially in the form of </w:t>
      </w:r>
      <w:r>
        <w:rPr>
          <w:rFonts w:ascii="Times New Roman" w:cs="Times New Roman" w:eastAsia="Times New Roman" w:hAnsi="Times New Roman"/>
          <w:sz w:val="22"/>
          <w:szCs w:val="22"/>
          <w:u w:val="single" w:color="auto"/>
          <w:color w:val="auto"/>
        </w:rPr>
        <w:t>Exhibit L-2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L-3</w:t>
      </w:r>
      <w:r>
        <w:rPr>
          <w:rFonts w:ascii="Times New Roman" w:cs="Times New Roman" w:eastAsia="Times New Roman" w:hAnsi="Times New Roman"/>
          <w:sz w:val="22"/>
          <w:szCs w:val="22"/>
          <w:color w:val="auto"/>
        </w:rPr>
        <w:t>, IRS Form W-9, and/or other certifications documents from each</w:t>
      </w:r>
    </w:p>
    <w:p>
      <w:pPr>
        <w:sectPr>
          <w:pgSz w:w="11900" w:h="16838" w:orient="portrait"/>
          <w:cols w:equalWidth="0" w:num="1">
            <w:col w:w="10700"/>
          </w:cols>
          <w:pgMar w:left="900" w:top="625" w:right="299" w:bottom="1440" w:gutter="0" w:footer="0" w:header="0"/>
        </w:sectPr>
      </w:pPr>
    </w:p>
    <w:bookmarkStart w:id="309" w:name="page310"/>
    <w:bookmarkEnd w:id="309"/>
    <w:p>
      <w:pPr>
        <w:ind w:left="1304" w:right="40"/>
        <w:spacing w:after="0" w:line="254" w:lineRule="auto"/>
        <w:rPr>
          <w:sz w:val="20"/>
          <w:szCs w:val="20"/>
          <w:color w:val="auto"/>
        </w:rPr>
      </w:pPr>
      <w:r>
        <w:rPr>
          <w:rFonts w:ascii="Times New Roman" w:cs="Times New Roman" w:eastAsia="Times New Roman" w:hAnsi="Times New Roman"/>
          <w:sz w:val="22"/>
          <w:szCs w:val="22"/>
          <w:color w:val="auto"/>
        </w:rPr>
        <w:t xml:space="preserve">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Lender is a partnership and one or more direct or indirect partners of such Lender are claiming the portfolio interest exemption, such Lender may provide a U.S. Tax Compliance Certificate substantially in the form of </w:t>
      </w:r>
      <w:r>
        <w:rPr>
          <w:rFonts w:ascii="Times New Roman" w:cs="Times New Roman" w:eastAsia="Times New Roman" w:hAnsi="Times New Roman"/>
          <w:sz w:val="22"/>
          <w:szCs w:val="22"/>
          <w:u w:val="single" w:color="auto"/>
          <w:color w:val="auto"/>
        </w:rPr>
        <w:t>Exhibit L-4</w:t>
      </w:r>
      <w:r>
        <w:rPr>
          <w:rFonts w:ascii="Times New Roman" w:cs="Times New Roman" w:eastAsia="Times New Roman" w:hAnsi="Times New Roman"/>
          <w:sz w:val="22"/>
          <w:szCs w:val="22"/>
          <w:color w:val="auto"/>
        </w:rPr>
        <w:t xml:space="preserve"> on behalf of each such direct and indirect partner; or</w:t>
      </w:r>
    </w:p>
    <w:p>
      <w:pPr>
        <w:spacing w:after="0" w:line="176" w:lineRule="exact"/>
        <w:rPr>
          <w:sz w:val="20"/>
          <w:szCs w:val="20"/>
          <w:color w:val="auto"/>
        </w:rPr>
      </w:pPr>
    </w:p>
    <w:p>
      <w:pPr>
        <w:ind w:left="1304" w:hanging="331"/>
        <w:spacing w:after="0" w:line="252" w:lineRule="auto"/>
        <w:tabs>
          <w:tab w:leader="none" w:pos="1304" w:val="left"/>
        </w:tabs>
        <w:numPr>
          <w:ilvl w:val="3"/>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completed and signed copies of any other form prescribed by applicable U.S. federal income tax laws as a basis for claiming exemption from or a reduction in U.S. federal withholding Tax, together with such supplementary documentation as may be prescribed by Applicable Laws to permit the Borrower or the Administrative Agent to determine any withholding or deduction required to be made.</w:t>
      </w:r>
    </w:p>
    <w:p>
      <w:pPr>
        <w:spacing w:after="0" w:line="179" w:lineRule="exact"/>
        <w:rPr>
          <w:rFonts w:ascii="Times New Roman" w:cs="Times New Roman" w:eastAsia="Times New Roman" w:hAnsi="Times New Roman"/>
          <w:sz w:val="22"/>
          <w:szCs w:val="22"/>
          <w:color w:val="auto"/>
        </w:rPr>
      </w:pPr>
    </w:p>
    <w:p>
      <w:pPr>
        <w:ind w:left="4" w:right="20" w:firstLine="645"/>
        <w:spacing w:after="0" w:line="260" w:lineRule="auto"/>
        <w:tabs>
          <w:tab w:leader="none" w:pos="1120"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the Administrative Agent or a Lender under any Loan Document would be subject to U.S. federal withholding Tax imposed by FATCA if the Administrative Agent or such Lender were to fail to comply with the requirements of FATCA (including those contained in Section 1471(b) or 1472(b) of the Code, as applicable), the Administrative Agent or such Lender, as applicable, shall deliver to the Borrower and (other than in the case of a payment to the Administrative Agent) the Administrative Agent at the time or times prescribed by Applicable Laws and at such time or times reasonably requested by the Borrower or the Administrative Agent such documentation prescribed by Applicable Laws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the Administrative Agent or such Lender has complied with its obligations under FATCA or to determine the amount to deduct and withhold from such payment. Solely for purposes of this clause (C), “FATCA” shall include any amendments made to FATCA after the Closing Date.</w:t>
      </w:r>
    </w:p>
    <w:p>
      <w:pPr>
        <w:spacing w:after="0" w:line="174" w:lineRule="exact"/>
        <w:rPr>
          <w:rFonts w:ascii="Times New Roman" w:cs="Times New Roman" w:eastAsia="Times New Roman" w:hAnsi="Times New Roman"/>
          <w:sz w:val="21"/>
          <w:szCs w:val="21"/>
          <w:color w:val="auto"/>
        </w:rPr>
      </w:pPr>
    </w:p>
    <w:p>
      <w:pPr>
        <w:ind w:left="4" w:right="260" w:firstLine="888"/>
        <w:spacing w:after="0" w:line="284" w:lineRule="auto"/>
        <w:tabs>
          <w:tab w:leader="none" w:pos="1399" w:val="left"/>
        </w:tabs>
        <w:numPr>
          <w:ilvl w:val="2"/>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10.1(c), a Lender shall not be required to deliver any form that such Lender is not legally eligible to deliver.</w:t>
      </w:r>
    </w:p>
    <w:p>
      <w:pPr>
        <w:spacing w:after="0" w:line="144" w:lineRule="exact"/>
        <w:rPr>
          <w:rFonts w:ascii="Times New Roman" w:cs="Times New Roman" w:eastAsia="Times New Roman" w:hAnsi="Times New Roman"/>
          <w:sz w:val="22"/>
          <w:szCs w:val="22"/>
          <w:color w:val="auto"/>
        </w:rPr>
      </w:pPr>
    </w:p>
    <w:p>
      <w:pPr>
        <w:ind w:left="4" w:right="40" w:firstLine="888"/>
        <w:spacing w:after="0" w:line="263" w:lineRule="auto"/>
        <w:tabs>
          <w:tab w:leader="none" w:pos="1387" w:val="left"/>
        </w:tabs>
        <w:numPr>
          <w:ilvl w:val="2"/>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authorizes the Administrative Agent to deliver to the Loan Parties and to any successor Administrative Agent any documentation provided by such Lender to the Administrative Agent pursuant to this Section 10.1(c).</w:t>
      </w:r>
    </w:p>
    <w:p>
      <w:pPr>
        <w:spacing w:after="0" w:line="163" w:lineRule="exact"/>
        <w:rPr>
          <w:rFonts w:ascii="Times New Roman" w:cs="Times New Roman" w:eastAsia="Times New Roman" w:hAnsi="Times New Roman"/>
          <w:sz w:val="22"/>
          <w:szCs w:val="22"/>
          <w:color w:val="auto"/>
        </w:rPr>
      </w:pPr>
    </w:p>
    <w:p>
      <w:pPr>
        <w:ind w:left="-656" w:right="140" w:firstLine="656"/>
        <w:spacing w:after="0" w:line="258" w:lineRule="auto"/>
        <w:tabs>
          <w:tab w:leader="none" w:pos="42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Evidence of Payments. </w:t>
      </w:r>
      <w:r>
        <w:rPr>
          <w:rFonts w:ascii="Times New Roman" w:cs="Times New Roman" w:eastAsia="Times New Roman" w:hAnsi="Times New Roman"/>
          <w:sz w:val="22"/>
          <w:szCs w:val="22"/>
          <w:color w:val="auto"/>
        </w:rPr>
        <w:t>After any payment of Taxes by any Loan Party to a Governmental Authority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10.1 or Section 10.4, such Loan Party shall deliver official tax receipts evidencing that payment or certified copies thereof (or, if such receipts are not available, other evidence of payment reasonably acceptable to the relevant Lender or Administrative Agent) to the Lender or Administrative Agent on whose account such</w:t>
      </w:r>
    </w:p>
    <w:p>
      <w:pPr>
        <w:sectPr>
          <w:pgSz w:w="11900" w:h="16838" w:orient="portrait"/>
          <w:cols w:equalWidth="0" w:num="1">
            <w:col w:w="10744"/>
          </w:cols>
          <w:pgMar w:left="896" w:top="621" w:right="259" w:bottom="1440" w:gutter="0" w:footer="0" w:header="0"/>
        </w:sectPr>
      </w:pPr>
    </w:p>
    <w:bookmarkStart w:id="310" w:name="page311"/>
    <w:bookmarkEnd w:id="310"/>
    <w:p>
      <w:pPr>
        <w:ind w:right="300"/>
        <w:spacing w:after="0" w:line="271" w:lineRule="auto"/>
        <w:rPr>
          <w:sz w:val="20"/>
          <w:szCs w:val="20"/>
          <w:color w:val="auto"/>
        </w:rPr>
      </w:pPr>
      <w:r>
        <w:rPr>
          <w:rFonts w:ascii="Times New Roman" w:cs="Times New Roman" w:eastAsia="Times New Roman" w:hAnsi="Times New Roman"/>
          <w:sz w:val="22"/>
          <w:szCs w:val="22"/>
          <w:color w:val="auto"/>
        </w:rPr>
        <w:t>withholding was made (with a copy to the Administrative Agent if not the recipient of the original) on or before the thirtieth day after payment.</w:t>
      </w:r>
    </w:p>
    <w:p>
      <w:pPr>
        <w:spacing w:after="0" w:line="154" w:lineRule="exact"/>
        <w:rPr>
          <w:sz w:val="20"/>
          <w:szCs w:val="20"/>
          <w:color w:val="auto"/>
        </w:rPr>
      </w:pPr>
    </w:p>
    <w:p>
      <w:pPr>
        <w:ind w:right="20" w:firstLine="656"/>
        <w:spacing w:after="0" w:line="246" w:lineRule="auto"/>
        <w:tabs>
          <w:tab w:leader="none" w:pos="1068"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Refunds</w:t>
      </w:r>
      <w:r>
        <w:rPr>
          <w:rFonts w:ascii="Times New Roman" w:cs="Times New Roman" w:eastAsia="Times New Roman" w:hAnsi="Times New Roman"/>
          <w:sz w:val="22"/>
          <w:szCs w:val="22"/>
          <w:color w:val="auto"/>
        </w:rPr>
        <w:t>. If the Administrative Agent or any Lender determines, in its sole discretion exercised in good faith, that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has received a refund of Taxes as to which it has been indemnified (including by the payment of additional amounts) pursuant to this Section 10.1 or Section 10.4, it shall pay over an amount equal to such refund to the Borrower (but only to the extent of indemnity payments made, or additional amounts paid, by a Loan Party under this Section 10.1 or Section 10.4 giving rise to such refund), net of all reasonable out-of-pocket expenses (including Taxes) of the Administrative Agent or such Lender, as applicable and without interest (other than any interest paid by the relevant Governmental Authority with respect to such refund);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upon the request of the Administrative Agent or such Lender, agrees to repay to such indemnified party the amount paid over to the Borrower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penalties, interest or other charges imposed by the relevant Governmental Authority in the event such indemnified party is required to repay such refund to such Governmental Authority. Notwithstanding anything to the contrary in this Section 10.1(e), in no event will the indemnified party be required to pay any amount to the Borrower pursuant to this Section 10.1(e) the payment of which would place the indemnified party in a less favorable net after-Tax position than the indemnified party would have been in if the Tax subject to indemnification and giving rise to such refund had not been deducted and the indemnification payments or additional amounts with respect to such Tax had not been paid. This paragraph shall not be construed to require the Administrative Agent or any Lender to make available its Tax returns (or any other information relating to its Taxes which it deems confidential) to the Borrower or any other Person.</w:t>
      </w:r>
    </w:p>
    <w:p>
      <w:pPr>
        <w:spacing w:after="0" w:line="18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p>
    <w:p>
      <w:pPr>
        <w:spacing w:after="0" w:line="233" w:lineRule="exact"/>
        <w:rPr>
          <w:rFonts w:ascii="Times New Roman" w:cs="Times New Roman" w:eastAsia="Times New Roman" w:hAnsi="Times New Roman"/>
          <w:sz w:val="22"/>
          <w:szCs w:val="22"/>
          <w:color w:val="auto"/>
        </w:rPr>
      </w:pPr>
    </w:p>
    <w:p>
      <w:pPr>
        <w:ind w:right="20" w:firstLine="656"/>
        <w:spacing w:after="0" w:line="313" w:lineRule="auto"/>
        <w:tabs>
          <w:tab w:leader="none" w:pos="108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Each party’s obligations under this Section 10.1 and Section 10.4 shall survive the resignation or replacement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Administrative Agent or any assignment of rights by, or the replacement of, a Lender, and the Termination Date.</w:t>
      </w:r>
    </w:p>
    <w:p>
      <w:pPr>
        <w:spacing w:after="0" w:line="112"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For the avoidance of doubt, a “Lender” shall, for purposes of this Section 10.1, include any L/C Issuer.</w:t>
      </w:r>
    </w:p>
    <w:p>
      <w:pPr>
        <w:spacing w:after="0" w:line="233" w:lineRule="exact"/>
        <w:rPr>
          <w:sz w:val="20"/>
          <w:szCs w:val="20"/>
          <w:color w:val="auto"/>
        </w:rPr>
      </w:pPr>
    </w:p>
    <w:p>
      <w:pPr>
        <w:ind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No Waiver; Cumulative Remedies; Collective Action</w:t>
      </w:r>
      <w:r>
        <w:rPr>
          <w:rFonts w:ascii="Times New Roman" w:cs="Times New Roman" w:eastAsia="Times New Roman" w:hAnsi="Times New Roman"/>
          <w:sz w:val="18"/>
          <w:szCs w:val="18"/>
          <w:color w:val="auto"/>
        </w:rPr>
        <w:t>. No delay or failure on the part of the Administrative Agent or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sectPr>
          <w:pgSz w:w="11900" w:h="16838" w:orient="portrait"/>
          <w:cols w:equalWidth="0" w:num="1">
            <w:col w:w="11400"/>
          </w:cols>
          <w:pgMar w:left="240" w:top="625" w:right="259" w:bottom="1440" w:gutter="0" w:footer="0" w:header="0"/>
        </w:sectPr>
      </w:pPr>
    </w:p>
    <w:bookmarkStart w:id="311" w:name="page312"/>
    <w:bookmarkEnd w:id="311"/>
    <w:p>
      <w:pPr>
        <w:ind w:firstLine="1297"/>
        <w:spacing w:after="0" w:line="245"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7.2, Section 7.3 and Section 7.4 for the benefit of all the Lenders and the L/C Issuers, and each Lender and each L/C Issuer hereby agree with each other Lender and each other L/C Issuer, as applicable, that no Lender or L/C Issuer shall take any action to protect or enforce its rights under this Agreement or any other Loan Document (including exercising any rights of set-off) without first obtaining the prior written consent of the Administrative Agent or the Required Lenders (such consent not to be unreasonably withheld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L/C Issuer) hereunder and under the other Loan Documents, or (c) any Lender from filing proofs of claim or appearing and filing pleadings on its own behalf during the pendency of a proceeding relative to any Loan Party under any debtor relief law.</w:t>
      </w:r>
    </w:p>
    <w:p>
      <w:pPr>
        <w:spacing w:after="0" w:line="191" w:lineRule="exact"/>
        <w:rPr>
          <w:sz w:val="20"/>
          <w:szCs w:val="20"/>
          <w:color w:val="auto"/>
        </w:rPr>
      </w:pPr>
    </w:p>
    <w:p>
      <w:pPr>
        <w:ind w:right="80"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Non-Business Days</w:t>
      </w:r>
      <w:r>
        <w:rPr>
          <w:rFonts w:ascii="Times New Roman" w:cs="Times New Roman" w:eastAsia="Times New Roman" w:hAnsi="Times New Roman"/>
          <w:sz w:val="18"/>
          <w:szCs w:val="18"/>
          <w:color w:val="auto"/>
        </w:rPr>
        <w:t>. Except as otherwise provided herein, if any payment hereunder or date for performance becomes due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payable or performable (in each case, including as a result of the expiration of any relevant notice period) on a day which is not a Business Day, the due date of such payment or the date for such performance shall be extended to the next succeeding Business Day on which date such payment shall be due and payable or such other requirement shall be performed.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74" w:lineRule="exact"/>
        <w:rPr>
          <w:sz w:val="20"/>
          <w:szCs w:val="20"/>
          <w:color w:val="auto"/>
        </w:rPr>
      </w:pPr>
    </w:p>
    <w:p>
      <w:pPr>
        <w:ind w:right="140"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Documentary Taxes</w:t>
      </w:r>
      <w:r>
        <w:rPr>
          <w:rFonts w:ascii="Times New Roman" w:cs="Times New Roman" w:eastAsia="Times New Roman" w:hAnsi="Times New Roman"/>
          <w:sz w:val="18"/>
          <w:szCs w:val="18"/>
          <w:color w:val="auto"/>
        </w:rPr>
        <w:t>. The Borrower shall timely pay to the relevant Governmental Authority in accordance with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Law, or at the option of the Administrative Agent shall timely reimburse the Administrative Agent for the payment of, any and all present or future documentary, court, stamp, excise, property, intangible, recording, filing or similar Taxes that arise from any payment made under, from the execution, deliver, performance, enforcement, or registration of, from the receipt or perfection of a security interest under, or otherwise with respect to, this Agreement or any other Loan Document (“</w:t>
      </w:r>
      <w:r>
        <w:rPr>
          <w:rFonts w:ascii="Times New Roman" w:cs="Times New Roman" w:eastAsia="Times New Roman" w:hAnsi="Times New Roman"/>
          <w:sz w:val="18"/>
          <w:szCs w:val="18"/>
          <w:i w:val="1"/>
          <w:iCs w:val="1"/>
          <w:color w:val="auto"/>
        </w:rPr>
        <w:t>Other Taxes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8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Survival of Representations</w:t>
      </w:r>
      <w:r>
        <w:rPr>
          <w:rFonts w:ascii="Times New Roman" w:cs="Times New Roman" w:eastAsia="Times New Roman" w:hAnsi="Times New Roman"/>
          <w:sz w:val="18"/>
          <w:szCs w:val="18"/>
          <w:color w:val="auto"/>
        </w:rPr>
        <w:t>. All representations and warranties made herein or in any other Loan Document or in certificates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given pursuant hereto or thereto shall survive the execution and delivery of this Agreement and the other Loan Documents, and shall continue in full force and effect with respect to the date as of which they were made until the Termination Date.</w:t>
      </w:r>
    </w:p>
    <w:p>
      <w:pPr>
        <w:spacing w:after="0" w:line="171"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i w:val="1"/>
          <w:iCs w:val="1"/>
          <w:color w:val="auto"/>
        </w:rPr>
        <w:t>Survival of Indemnities</w:t>
      </w:r>
      <w:r>
        <w:rPr>
          <w:rFonts w:ascii="Times New Roman" w:cs="Times New Roman" w:eastAsia="Times New Roman" w:hAnsi="Times New Roman"/>
          <w:sz w:val="18"/>
          <w:szCs w:val="18"/>
          <w:color w:val="auto"/>
        </w:rPr>
        <w:t>. All indemnities and other provisions relative to reimbursement to the Lenders of amounts sufficient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protect the yield of the Lenders with respect to the Loans and Letters of Credit, including, but not limited to, Sections 8.1, 8.4, 10.4 and 10.13 hereof, shall survive the termination of this Agreement and the other Loan Documents and the payment of the Obligations.</w:t>
      </w:r>
    </w:p>
    <w:p>
      <w:pPr>
        <w:sectPr>
          <w:pgSz w:w="11900" w:h="16838" w:orient="portrait"/>
          <w:cols w:equalWidth="0" w:num="1">
            <w:col w:w="11380"/>
          </w:cols>
          <w:pgMar w:left="240" w:top="625" w:right="279" w:bottom="1440" w:gutter="0" w:footer="0" w:header="0"/>
        </w:sectPr>
      </w:pPr>
    </w:p>
    <w:bookmarkStart w:id="312" w:name="page313"/>
    <w:bookmarkEnd w:id="312"/>
    <w:p>
      <w:pPr>
        <w:ind w:right="140"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i w:val="1"/>
          <w:iCs w:val="1"/>
          <w:color w:val="auto"/>
        </w:rPr>
        <w:t>Sharing of Set-Off</w:t>
      </w:r>
      <w:r>
        <w:rPr>
          <w:rFonts w:ascii="Times New Roman" w:cs="Times New Roman" w:eastAsia="Times New Roman" w:hAnsi="Times New Roman"/>
          <w:sz w:val="18"/>
          <w:szCs w:val="18"/>
          <w:color w:val="auto"/>
        </w:rPr>
        <w:t>. Each Lender agrees with each other Lender a party hereto that if such Lender shall receive and retain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payment, whether by set-off or application of deposit balances or otherwise (except pursuant to a valid assignment or participation pursuant to Section 10.10 or as provided in or contemplated by Sections 2.14, 2.15 or 2.16), on any of the Loans or Reimbursement Obligations in excess of its ratable share of payments on all such Obligations then outstanding to the Lenders, then such Lender shall purchase for cash at face value, but without recourse, ratably from each of the other Lenders such amount of the Loans or Reimbursement Obligations, or participations therein, held by each such other Lenders (or interest therein) as shall be necessary to cause such Lender to share such excess payment ratably with all the other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For purposes of this Section 10.7, amounts owed to or recovered by an L/C Issuer in connection with Reimbursement Obligations in which Lenders have been required to fund their participation shall be treated as amounts owed to or recovered by such L/C Issuer as a Lender hereunder.</w:t>
      </w:r>
    </w:p>
    <w:p>
      <w:pPr>
        <w:spacing w:after="0" w:line="174"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18"/>
          <w:szCs w:val="18"/>
          <w:color w:val="auto"/>
        </w:rPr>
        <w:t>. Except as otherwise specified herein, all notices hereunder and under the other Loan Documents shall be in writing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(including, without limitation, notice by facsimile or email transmission) and shall be given to the relevant party at its physical address, facsimile number or email address set forth below, or such other physical address, facsimile number or email address as such party may hereafter specify by notice to the Administrative Agent and the Borrower given by courier, by United States certified or registered mail, by facsimile, email transmission or by other telecommunication device capable of creating a written record of such notice and its receipt. Notices under the Loan Documents to any Lender shall be addressed to its physical address or facsimile number or email address set forth on its Administrative Questionnaire; and notices under the Loan Documents to the Borrower or the Administrative Agent shall be addressed to their respective physical addresses, facsimile numbers or email addresses set forth below:</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4240" w:type="dxa"/>
            <w:vAlign w:val="bottom"/>
          </w:tcPr>
          <w:p>
            <w:pPr>
              <w:spacing w:after="0"/>
              <w:rPr>
                <w:sz w:val="20"/>
                <w:szCs w:val="20"/>
                <w:color w:val="auto"/>
              </w:rPr>
            </w:pPr>
            <w:r>
              <w:rPr>
                <w:rFonts w:ascii="Times New Roman" w:cs="Times New Roman" w:eastAsia="Times New Roman" w:hAnsi="Times New Roman"/>
                <w:sz w:val="22"/>
                <w:szCs w:val="22"/>
                <w:color w:val="auto"/>
              </w:rPr>
              <w:t>to the Borrower:</w:t>
            </w:r>
          </w:p>
        </w:tc>
        <w:tc>
          <w:tcPr>
            <w:tcW w:w="674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rPr>
              <w:t>to the Administrative Agent:</w:t>
            </w:r>
          </w:p>
        </w:tc>
      </w:tr>
      <w:tr>
        <w:trPr>
          <w:trHeight w:val="447"/>
        </w:trPr>
        <w:tc>
          <w:tcPr>
            <w:tcW w:w="4240" w:type="dxa"/>
            <w:vAlign w:val="bottom"/>
          </w:tcPr>
          <w:p>
            <w:pPr>
              <w:spacing w:after="0"/>
              <w:rPr>
                <w:sz w:val="20"/>
                <w:szCs w:val="20"/>
                <w:color w:val="auto"/>
              </w:rPr>
            </w:pPr>
            <w:r>
              <w:rPr>
                <w:rFonts w:ascii="Times New Roman" w:cs="Times New Roman" w:eastAsia="Times New Roman" w:hAnsi="Times New Roman"/>
                <w:sz w:val="22"/>
                <w:szCs w:val="22"/>
                <w:color w:val="auto"/>
              </w:rPr>
              <w:t>Western Digital Corporation.</w:t>
            </w:r>
          </w:p>
        </w:tc>
        <w:tc>
          <w:tcPr>
            <w:tcW w:w="674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w w:val="97"/>
              </w:rPr>
              <w:t>For delivery of any list of Prohibited Lenders and notices with</w:t>
            </w:r>
          </w:p>
        </w:tc>
      </w:tr>
      <w:tr>
        <w:trPr>
          <w:trHeight w:val="243"/>
        </w:trPr>
        <w:tc>
          <w:tcPr>
            <w:tcW w:w="4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3355 Michelson Drive, Suite 100</w:t>
            </w:r>
          </w:p>
        </w:tc>
        <w:tc>
          <w:tcPr>
            <w:tcW w:w="6740" w:type="dxa"/>
            <w:vAlign w:val="bottom"/>
            <w:gridSpan w:val="5"/>
          </w:tcPr>
          <w:p>
            <w:pPr>
              <w:ind w:left="1360"/>
              <w:spacing w:after="0" w:line="243" w:lineRule="exact"/>
              <w:rPr>
                <w:sz w:val="20"/>
                <w:szCs w:val="20"/>
                <w:color w:val="auto"/>
              </w:rPr>
            </w:pPr>
            <w:r>
              <w:rPr>
                <w:rFonts w:ascii="Times New Roman" w:cs="Times New Roman" w:eastAsia="Times New Roman" w:hAnsi="Times New Roman"/>
                <w:sz w:val="22"/>
                <w:szCs w:val="22"/>
                <w:color w:val="auto"/>
              </w:rPr>
              <w:t>respect to changes to the list of Prohibited Lenders, email to:</w:t>
            </w:r>
          </w:p>
        </w:tc>
      </w:tr>
      <w:tr>
        <w:trPr>
          <w:trHeight w:val="243"/>
        </w:trPr>
        <w:tc>
          <w:tcPr>
            <w:tcW w:w="4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Irvine, California 92612</w:t>
            </w:r>
          </w:p>
        </w:tc>
        <w:tc>
          <w:tcPr>
            <w:tcW w:w="6740" w:type="dxa"/>
            <w:vAlign w:val="bottom"/>
            <w:gridSpan w:val="5"/>
          </w:tcPr>
          <w:p>
            <w:pPr>
              <w:ind w:left="1360"/>
              <w:spacing w:after="0" w:line="243" w:lineRule="exact"/>
              <w:rPr>
                <w:sz w:val="20"/>
                <w:szCs w:val="20"/>
                <w:color w:val="auto"/>
              </w:rPr>
            </w:pPr>
            <w:r>
              <w:rPr>
                <w:rFonts w:ascii="Times New Roman" w:cs="Times New Roman" w:eastAsia="Times New Roman" w:hAnsi="Times New Roman"/>
                <w:sz w:val="22"/>
                <w:szCs w:val="22"/>
                <w:color w:val="auto"/>
              </w:rPr>
              <w:t>JPMDQ_CONTACT@JPMORGAN.COM</w:t>
            </w:r>
          </w:p>
        </w:tc>
      </w:tr>
      <w:tr>
        <w:trPr>
          <w:trHeight w:val="243"/>
        </w:trPr>
        <w:tc>
          <w:tcPr>
            <w:tcW w:w="4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Attention: Chief Legal Officer</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4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Telephone: (949) 672-7000</w:t>
            </w:r>
          </w:p>
        </w:tc>
        <w:tc>
          <w:tcPr>
            <w:tcW w:w="6740" w:type="dxa"/>
            <w:vAlign w:val="bottom"/>
            <w:gridSpan w:val="5"/>
          </w:tcPr>
          <w:p>
            <w:pPr>
              <w:ind w:left="1360"/>
              <w:spacing w:after="0" w:line="243" w:lineRule="exact"/>
              <w:rPr>
                <w:sz w:val="20"/>
                <w:szCs w:val="20"/>
                <w:color w:val="auto"/>
              </w:rPr>
            </w:pPr>
            <w:r>
              <w:rPr>
                <w:rFonts w:ascii="Times New Roman" w:cs="Times New Roman" w:eastAsia="Times New Roman" w:hAnsi="Times New Roman"/>
                <w:sz w:val="22"/>
                <w:szCs w:val="22"/>
                <w:color w:val="auto"/>
              </w:rPr>
              <w:t>For all other notices to the Administrative Agent:</w:t>
            </w:r>
          </w:p>
        </w:tc>
      </w:tr>
      <w:tr>
        <w:trPr>
          <w:trHeight w:val="243"/>
        </w:trPr>
        <w:tc>
          <w:tcPr>
            <w:tcW w:w="4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Facsimile: (949) 672-9612</w:t>
            </w:r>
          </w:p>
        </w:tc>
        <w:tc>
          <w:tcPr>
            <w:tcW w:w="6740" w:type="dxa"/>
            <w:vAlign w:val="bottom"/>
            <w:gridSpan w:val="5"/>
          </w:tcPr>
          <w:p>
            <w:pPr>
              <w:ind w:left="1360"/>
              <w:spacing w:after="0" w:line="243" w:lineRule="exact"/>
              <w:rPr>
                <w:sz w:val="20"/>
                <w:szCs w:val="20"/>
                <w:color w:val="auto"/>
              </w:rPr>
            </w:pPr>
            <w:r>
              <w:rPr>
                <w:rFonts w:ascii="Times New Roman" w:cs="Times New Roman" w:eastAsia="Times New Roman" w:hAnsi="Times New Roman"/>
                <w:sz w:val="22"/>
                <w:szCs w:val="22"/>
                <w:color w:val="auto"/>
              </w:rPr>
              <w:t>JPMorgan Chase Bank, N.A.</w:t>
            </w:r>
          </w:p>
        </w:tc>
      </w:tr>
      <w:tr>
        <w:trPr>
          <w:trHeight w:val="243"/>
        </w:trPr>
        <w:tc>
          <w:tcPr>
            <w:tcW w:w="4240" w:type="dxa"/>
            <w:vAlign w:val="bottom"/>
          </w:tcPr>
          <w:p>
            <w:pPr>
              <w:spacing w:after="0"/>
              <w:rPr>
                <w:sz w:val="21"/>
                <w:szCs w:val="21"/>
                <w:color w:val="auto"/>
              </w:rPr>
            </w:pPr>
          </w:p>
        </w:tc>
        <w:tc>
          <w:tcPr>
            <w:tcW w:w="6740" w:type="dxa"/>
            <w:vAlign w:val="bottom"/>
            <w:gridSpan w:val="5"/>
          </w:tcPr>
          <w:p>
            <w:pPr>
              <w:ind w:left="1360"/>
              <w:spacing w:after="0" w:line="243" w:lineRule="exact"/>
              <w:rPr>
                <w:sz w:val="20"/>
                <w:szCs w:val="20"/>
                <w:color w:val="auto"/>
              </w:rPr>
            </w:pPr>
            <w:r>
              <w:rPr>
                <w:rFonts w:ascii="Times New Roman" w:cs="Times New Roman" w:eastAsia="Times New Roman" w:hAnsi="Times New Roman"/>
                <w:sz w:val="22"/>
                <w:szCs w:val="22"/>
                <w:color w:val="auto"/>
              </w:rPr>
              <w:t>10 South Dearborn</w:t>
            </w:r>
          </w:p>
        </w:tc>
      </w:tr>
      <w:tr>
        <w:trPr>
          <w:trHeight w:val="243"/>
        </w:trPr>
        <w:tc>
          <w:tcPr>
            <w:tcW w:w="4240" w:type="dxa"/>
            <w:vAlign w:val="bottom"/>
          </w:tcPr>
          <w:p>
            <w:pPr>
              <w:spacing w:after="0"/>
              <w:rPr>
                <w:sz w:val="21"/>
                <w:szCs w:val="21"/>
                <w:color w:val="auto"/>
              </w:rPr>
            </w:pPr>
          </w:p>
        </w:tc>
        <w:tc>
          <w:tcPr>
            <w:tcW w:w="6740" w:type="dxa"/>
            <w:vAlign w:val="bottom"/>
            <w:gridSpan w:val="5"/>
          </w:tcPr>
          <w:p>
            <w:pPr>
              <w:ind w:left="1360"/>
              <w:spacing w:after="0" w:line="243" w:lineRule="exact"/>
              <w:rPr>
                <w:sz w:val="20"/>
                <w:szCs w:val="20"/>
                <w:color w:val="auto"/>
              </w:rPr>
            </w:pPr>
            <w:r>
              <w:rPr>
                <w:rFonts w:ascii="Times New Roman" w:cs="Times New Roman" w:eastAsia="Times New Roman" w:hAnsi="Times New Roman"/>
                <w:sz w:val="22"/>
                <w:szCs w:val="22"/>
                <w:color w:val="auto"/>
              </w:rPr>
              <w:t>Chicago, IL 60603</w:t>
            </w:r>
          </w:p>
        </w:tc>
      </w:tr>
      <w:tr>
        <w:trPr>
          <w:trHeight w:val="243"/>
        </w:trPr>
        <w:tc>
          <w:tcPr>
            <w:tcW w:w="4240" w:type="dxa"/>
            <w:vAlign w:val="bottom"/>
          </w:tcPr>
          <w:p>
            <w:pPr>
              <w:spacing w:after="0"/>
              <w:rPr>
                <w:sz w:val="21"/>
                <w:szCs w:val="21"/>
                <w:color w:val="auto"/>
              </w:rPr>
            </w:pPr>
          </w:p>
        </w:tc>
        <w:tc>
          <w:tcPr>
            <w:tcW w:w="6740" w:type="dxa"/>
            <w:vAlign w:val="bottom"/>
            <w:gridSpan w:val="5"/>
          </w:tcPr>
          <w:p>
            <w:pPr>
              <w:ind w:left="1360"/>
              <w:spacing w:after="0" w:line="243" w:lineRule="exact"/>
              <w:rPr>
                <w:sz w:val="20"/>
                <w:szCs w:val="20"/>
                <w:color w:val="auto"/>
              </w:rPr>
            </w:pPr>
            <w:r>
              <w:rPr>
                <w:rFonts w:ascii="Times New Roman" w:cs="Times New Roman" w:eastAsia="Times New Roman" w:hAnsi="Times New Roman"/>
                <w:sz w:val="22"/>
                <w:szCs w:val="22"/>
                <w:color w:val="auto"/>
              </w:rPr>
              <w:t>Attention: Lamekia Davis</w:t>
            </w:r>
          </w:p>
        </w:tc>
      </w:tr>
      <w:tr>
        <w:trPr>
          <w:trHeight w:val="243"/>
        </w:trPr>
        <w:tc>
          <w:tcPr>
            <w:tcW w:w="4240" w:type="dxa"/>
            <w:vAlign w:val="bottom"/>
          </w:tcPr>
          <w:p>
            <w:pPr>
              <w:spacing w:after="0"/>
              <w:rPr>
                <w:sz w:val="21"/>
                <w:szCs w:val="21"/>
                <w:color w:val="auto"/>
              </w:rPr>
            </w:pPr>
          </w:p>
        </w:tc>
        <w:tc>
          <w:tcPr>
            <w:tcW w:w="6740" w:type="dxa"/>
            <w:vAlign w:val="bottom"/>
            <w:gridSpan w:val="5"/>
          </w:tcPr>
          <w:p>
            <w:pPr>
              <w:ind w:left="1360"/>
              <w:spacing w:after="0" w:line="243" w:lineRule="exact"/>
              <w:rPr>
                <w:sz w:val="20"/>
                <w:szCs w:val="20"/>
                <w:color w:val="auto"/>
              </w:rPr>
            </w:pPr>
            <w:r>
              <w:rPr>
                <w:rFonts w:ascii="Times New Roman" w:cs="Times New Roman" w:eastAsia="Times New Roman" w:hAnsi="Times New Roman"/>
                <w:sz w:val="22"/>
                <w:szCs w:val="22"/>
                <w:color w:val="auto"/>
              </w:rPr>
              <w:t>Telephone: (312) 732-2300</w:t>
            </w:r>
          </w:p>
        </w:tc>
      </w:tr>
      <w:tr>
        <w:trPr>
          <w:trHeight w:val="243"/>
        </w:trPr>
        <w:tc>
          <w:tcPr>
            <w:tcW w:w="4240" w:type="dxa"/>
            <w:vAlign w:val="bottom"/>
          </w:tcPr>
          <w:p>
            <w:pPr>
              <w:spacing w:after="0"/>
              <w:rPr>
                <w:sz w:val="21"/>
                <w:szCs w:val="21"/>
                <w:color w:val="auto"/>
              </w:rPr>
            </w:pPr>
          </w:p>
        </w:tc>
        <w:tc>
          <w:tcPr>
            <w:tcW w:w="6740" w:type="dxa"/>
            <w:vAlign w:val="bottom"/>
            <w:gridSpan w:val="5"/>
          </w:tcPr>
          <w:p>
            <w:pPr>
              <w:ind w:left="1360"/>
              <w:spacing w:after="0" w:line="243" w:lineRule="exact"/>
              <w:rPr>
                <w:sz w:val="20"/>
                <w:szCs w:val="20"/>
                <w:color w:val="auto"/>
              </w:rPr>
            </w:pPr>
            <w:r>
              <w:rPr>
                <w:rFonts w:ascii="Times New Roman" w:cs="Times New Roman" w:eastAsia="Times New Roman" w:hAnsi="Times New Roman"/>
                <w:sz w:val="22"/>
                <w:szCs w:val="22"/>
                <w:color w:val="auto"/>
              </w:rPr>
              <w:t>Facsimile: (844) 490-5663</w:t>
            </w:r>
          </w:p>
        </w:tc>
      </w:tr>
      <w:tr>
        <w:trPr>
          <w:trHeight w:val="230"/>
        </w:trPr>
        <w:tc>
          <w:tcPr>
            <w:tcW w:w="4240" w:type="dxa"/>
            <w:vAlign w:val="bottom"/>
          </w:tcPr>
          <w:p>
            <w:pPr>
              <w:spacing w:after="0"/>
              <w:rPr>
                <w:sz w:val="20"/>
                <w:szCs w:val="20"/>
                <w:color w:val="auto"/>
              </w:rPr>
            </w:pPr>
          </w:p>
        </w:tc>
        <w:tc>
          <w:tcPr>
            <w:tcW w:w="6740" w:type="dxa"/>
            <w:vAlign w:val="bottom"/>
            <w:gridSpan w:val="5"/>
          </w:tcPr>
          <w:p>
            <w:pPr>
              <w:ind w:left="1360"/>
              <w:spacing w:after="0" w:line="230" w:lineRule="exact"/>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color w:val="0000FF"/>
              </w:rPr>
              <w:t>JPM.AGENCY.CRI@JPMORGAN.COM</w:t>
            </w:r>
            <w:r>
              <w:rPr>
                <w:rFonts w:ascii="Times New Roman" w:cs="Times New Roman" w:eastAsia="Times New Roman" w:hAnsi="Times New Roman"/>
                <w:sz w:val="22"/>
                <w:szCs w:val="22"/>
                <w:color w:val="auto"/>
              </w:rPr>
              <w:t xml:space="preserve"> with a</w:t>
            </w:r>
          </w:p>
        </w:tc>
      </w:tr>
      <w:tr>
        <w:trPr>
          <w:trHeight w:val="223"/>
        </w:trPr>
        <w:tc>
          <w:tcPr>
            <w:tcW w:w="4240" w:type="dxa"/>
            <w:vAlign w:val="bottom"/>
          </w:tcPr>
          <w:p>
            <w:pPr>
              <w:spacing w:after="0"/>
              <w:rPr>
                <w:sz w:val="19"/>
                <w:szCs w:val="19"/>
                <w:color w:val="auto"/>
              </w:rPr>
            </w:pPr>
          </w:p>
        </w:tc>
        <w:tc>
          <w:tcPr>
            <w:tcW w:w="1980" w:type="dxa"/>
            <w:vAlign w:val="bottom"/>
          </w:tcPr>
          <w:p>
            <w:pPr>
              <w:ind w:left="1360"/>
              <w:spacing w:after="0" w:line="223" w:lineRule="exact"/>
              <w:rPr>
                <w:sz w:val="20"/>
                <w:szCs w:val="20"/>
                <w:color w:val="auto"/>
              </w:rPr>
            </w:pPr>
            <w:r>
              <w:rPr>
                <w:rFonts w:ascii="Times New Roman" w:cs="Times New Roman" w:eastAsia="Times New Roman" w:hAnsi="Times New Roman"/>
                <w:sz w:val="22"/>
                <w:szCs w:val="22"/>
                <w:color w:val="auto"/>
                <w:w w:val="91"/>
              </w:rPr>
              <w:t>copy to</w:t>
            </w:r>
          </w:p>
        </w:tc>
        <w:tc>
          <w:tcPr>
            <w:tcW w:w="80" w:type="dxa"/>
            <w:vAlign w:val="bottom"/>
            <w:tcBorders>
              <w:top w:val="single" w:sz="8" w:color="0000FF"/>
            </w:tcBorders>
          </w:tcPr>
          <w:p>
            <w:pPr>
              <w:spacing w:after="0"/>
              <w:rPr>
                <w:sz w:val="19"/>
                <w:szCs w:val="19"/>
                <w:color w:val="auto"/>
              </w:rPr>
            </w:pPr>
          </w:p>
        </w:tc>
        <w:tc>
          <w:tcPr>
            <w:tcW w:w="2420" w:type="dxa"/>
            <w:vAlign w:val="bottom"/>
            <w:tcBorders>
              <w:top w:val="single" w:sz="8" w:color="0000FF"/>
              <w:bottom w:val="single" w:sz="8" w:color="0000FF"/>
            </w:tcBorders>
          </w:tcPr>
          <w:p>
            <w:pPr>
              <w:spacing w:after="0" w:line="223" w:lineRule="exact"/>
              <w:rPr>
                <w:sz w:val="20"/>
                <w:szCs w:val="20"/>
                <w:color w:val="auto"/>
              </w:rPr>
            </w:pPr>
            <w:r>
              <w:rPr>
                <w:rFonts w:ascii="Times New Roman" w:cs="Times New Roman" w:eastAsia="Times New Roman" w:hAnsi="Times New Roman"/>
                <w:sz w:val="22"/>
                <w:szCs w:val="22"/>
                <w:color w:val="0000FF"/>
                <w:w w:val="97"/>
              </w:rPr>
              <w:t>Lamekia.Davis@chase.com</w:t>
            </w:r>
          </w:p>
        </w:tc>
        <w:tc>
          <w:tcPr>
            <w:tcW w:w="1160" w:type="dxa"/>
            <w:vAlign w:val="bottom"/>
            <w:tcBorders>
              <w:top w:val="single" w:sz="8" w:color="0000FF"/>
            </w:tcBorders>
          </w:tcPr>
          <w:p>
            <w:pPr>
              <w:spacing w:after="0"/>
              <w:rPr>
                <w:sz w:val="19"/>
                <w:szCs w:val="19"/>
                <w:color w:val="auto"/>
              </w:rPr>
            </w:pPr>
          </w:p>
        </w:tc>
        <w:tc>
          <w:tcPr>
            <w:tcW w:w="1100" w:type="dxa"/>
            <w:vAlign w:val="bottom"/>
          </w:tcPr>
          <w:p>
            <w:pPr>
              <w:spacing w:after="0"/>
              <w:rPr>
                <w:sz w:val="19"/>
                <w:szCs w:val="19"/>
                <w:color w:val="auto"/>
              </w:rPr>
            </w:pPr>
          </w:p>
        </w:tc>
      </w:tr>
    </w:tbl>
    <w:p>
      <w:pPr>
        <w:sectPr>
          <w:pgSz w:w="11900" w:h="16838" w:orient="portrait"/>
          <w:cols w:equalWidth="0" w:num="1">
            <w:col w:w="11420"/>
          </w:cols>
          <w:pgMar w:left="240" w:top="621" w:right="239" w:bottom="1440" w:gutter="0" w:footer="0" w:header="0"/>
        </w:sectPr>
      </w:pPr>
    </w:p>
    <w:bookmarkStart w:id="313" w:name="page314"/>
    <w:bookmarkEnd w:id="313"/>
    <w:p>
      <w:pPr>
        <w:ind w:left="40"/>
        <w:spacing w:after="0"/>
        <w:rPr>
          <w:sz w:val="20"/>
          <w:szCs w:val="20"/>
          <w:color w:val="auto"/>
        </w:rPr>
      </w:pPr>
      <w:r>
        <w:rPr>
          <w:rFonts w:ascii="Times New Roman" w:cs="Times New Roman" w:eastAsia="Times New Roman" w:hAnsi="Times New Roman"/>
          <w:sz w:val="22"/>
          <w:szCs w:val="22"/>
          <w:color w:val="auto"/>
        </w:rPr>
        <w:t>With a copy of any notice of any Default or Event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of Default (which shall not constitute notice to the</w:t>
      </w:r>
    </w:p>
    <w:p>
      <w:pPr>
        <w:ind w:left="40"/>
        <w:spacing w:after="0"/>
        <w:rPr>
          <w:sz w:val="20"/>
          <w:szCs w:val="20"/>
          <w:color w:val="auto"/>
        </w:rPr>
      </w:pPr>
      <w:r>
        <w:rPr>
          <w:rFonts w:ascii="Times New Roman" w:cs="Times New Roman" w:eastAsia="Times New Roman" w:hAnsi="Times New Roman"/>
          <w:sz w:val="22"/>
          <w:szCs w:val="22"/>
          <w:color w:val="auto"/>
        </w:rPr>
        <w:t>Borrower) to:</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Cleary Gottlieb Steen &amp; Hamilton LLP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Liberty Plaza</w:t>
      </w:r>
    </w:p>
    <w:p>
      <w:pPr>
        <w:ind w:left="40"/>
        <w:spacing w:after="0" w:line="230" w:lineRule="auto"/>
        <w:rPr>
          <w:sz w:val="20"/>
          <w:szCs w:val="20"/>
          <w:color w:val="auto"/>
        </w:rPr>
      </w:pPr>
      <w:r>
        <w:rPr>
          <w:rFonts w:ascii="Times New Roman" w:cs="Times New Roman" w:eastAsia="Times New Roman" w:hAnsi="Times New Roman"/>
          <w:sz w:val="22"/>
          <w:szCs w:val="22"/>
          <w:color w:val="auto"/>
        </w:rPr>
        <w:t>New York, New York 10006</w:t>
      </w:r>
    </w:p>
    <w:p>
      <w:pPr>
        <w:ind w:left="40"/>
        <w:spacing w:after="0" w:line="231" w:lineRule="auto"/>
        <w:rPr>
          <w:sz w:val="20"/>
          <w:szCs w:val="20"/>
          <w:color w:val="auto"/>
        </w:rPr>
      </w:pPr>
      <w:r>
        <w:rPr>
          <w:rFonts w:ascii="Times New Roman" w:cs="Times New Roman" w:eastAsia="Times New Roman" w:hAnsi="Times New Roman"/>
          <w:sz w:val="22"/>
          <w:szCs w:val="22"/>
          <w:color w:val="auto"/>
        </w:rPr>
        <w:t>Attention: Duane McLaughlin</w:t>
      </w:r>
    </w:p>
    <w:p>
      <w:pPr>
        <w:ind w:left="40"/>
        <w:spacing w:after="0" w:line="230" w:lineRule="auto"/>
        <w:rPr>
          <w:sz w:val="20"/>
          <w:szCs w:val="20"/>
          <w:color w:val="auto"/>
        </w:rPr>
      </w:pPr>
      <w:r>
        <w:rPr>
          <w:rFonts w:ascii="Times New Roman" w:cs="Times New Roman" w:eastAsia="Times New Roman" w:hAnsi="Times New Roman"/>
          <w:sz w:val="22"/>
          <w:szCs w:val="22"/>
          <w:color w:val="auto"/>
        </w:rPr>
        <w:t>Telephone: 212-225-2000</w:t>
      </w:r>
    </w:p>
    <w:p>
      <w:pPr>
        <w:ind w:left="40"/>
        <w:spacing w:after="0" w:line="231" w:lineRule="auto"/>
        <w:rPr>
          <w:sz w:val="20"/>
          <w:szCs w:val="20"/>
          <w:color w:val="auto"/>
        </w:rPr>
      </w:pPr>
      <w:r>
        <w:rPr>
          <w:rFonts w:ascii="Times New Roman" w:cs="Times New Roman" w:eastAsia="Times New Roman" w:hAnsi="Times New Roman"/>
          <w:sz w:val="22"/>
          <w:szCs w:val="22"/>
          <w:color w:val="auto"/>
        </w:rPr>
        <w:t>Facsimile: 212-225-3999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dmclaughlin@cgsh.com</w:t>
      </w:r>
    </w:p>
    <w:p>
      <w:pPr>
        <w:spacing w:after="0" w:line="263" w:lineRule="exact"/>
        <w:rPr>
          <w:sz w:val="20"/>
          <w:szCs w:val="20"/>
          <w:color w:val="auto"/>
        </w:rPr>
      </w:pPr>
    </w:p>
    <w:p>
      <w:pPr>
        <w:ind w:right="40" w:firstLine="1297"/>
        <w:spacing w:after="0" w:line="246" w:lineRule="auto"/>
        <w:rPr>
          <w:sz w:val="20"/>
          <w:szCs w:val="20"/>
          <w:color w:val="auto"/>
        </w:rPr>
      </w:pPr>
      <w:r>
        <w:rPr>
          <w:rFonts w:ascii="Times New Roman" w:cs="Times New Roman" w:eastAsia="Times New Roman" w:hAnsi="Times New Roman"/>
          <w:sz w:val="22"/>
          <w:szCs w:val="22"/>
          <w:color w:val="auto"/>
        </w:rPr>
        <w:t xml:space="preserve">Each such notice, request or other communication shall be effective (i) if given by facsimile, when such facsimile is transmitted to the facsimile number specified in this Section 10.8 or in the relevant Administrative Questionnaire and a confirmation of such telecopy has been received by the sender, (ii) if given by mail, five (5) days after such communication is deposited in the mail, certified or registered with return receipt requested, addressed as aforesaid, (iii) if by email, when delivered (all such notices and communications sent by email shall be deemed delivered upon the sender’s receipt of an acknowledgement from the intended recipient (such as by the “return receipt requested” function, as available, return email or other written acknowledgement)), or (iv) if given by any other means, when delivered at the addresses specified in this Section 10.8 or in the relevant Administrative Questionnaire;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notice given pursuant to Article 2 hereof shall be effective only upon receipt.</w:t>
      </w:r>
    </w:p>
    <w:p>
      <w:pPr>
        <w:spacing w:after="0" w:line="188" w:lineRule="exact"/>
        <w:rPr>
          <w:sz w:val="20"/>
          <w:szCs w:val="20"/>
          <w:color w:val="auto"/>
        </w:rPr>
      </w:pPr>
    </w:p>
    <w:p>
      <w:pPr>
        <w:ind w:right="4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18"/>
          <w:szCs w:val="18"/>
          <w:color w:val="auto"/>
        </w:rPr>
        <w:t>. This Agreement may be executed in any number of counterparts, and by the different parties hereto on separate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counterpart signature pages, and all such counterparts taken together shall be deemed to constitute one and the same instrument;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w:t>
      </w:r>
    </w:p>
    <w:p>
      <w:pPr>
        <w:spacing w:after="0" w:line="171"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22"/>
          <w:szCs w:val="22"/>
          <w:color w:val="auto"/>
        </w:rPr>
        <w:t>Section 10.10</w:t>
      </w:r>
      <w:r>
        <w:rPr>
          <w:sz w:val="20"/>
          <w:szCs w:val="20"/>
          <w:color w:val="auto"/>
        </w:rPr>
        <w:tab/>
      </w:r>
      <w:r>
        <w:rPr>
          <w:rFonts w:ascii="Times New Roman" w:cs="Times New Roman" w:eastAsia="Times New Roman" w:hAnsi="Times New Roman"/>
          <w:sz w:val="21"/>
          <w:szCs w:val="21"/>
          <w:i w:val="1"/>
          <w:iCs w:val="1"/>
          <w:color w:val="auto"/>
        </w:rPr>
        <w:t>Successors and Assigns; Assignments and Participations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firstLine="656"/>
        <w:spacing w:after="0" w:line="249" w:lineRule="auto"/>
        <w:tabs>
          <w:tab w:leader="none" w:pos="1068"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and Assigns Generally</w:t>
      </w:r>
      <w:r>
        <w:rPr>
          <w:rFonts w:ascii="Times New Roman" w:cs="Times New Roman" w:eastAsia="Times New Roman" w:hAnsi="Times New Roman"/>
          <w:sz w:val="22"/>
          <w:szCs w:val="22"/>
          <w:color w:val="auto"/>
        </w:rPr>
        <w:t>. The provisions of this Agreement shall be binding upon and inure to the benefit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parties hereto and their respective successors and assigns permitted hereby, except that the Borrower may not assign or otherwise transfer any of its rights or obligations under any Loan Document without the prior written consent of the Administrative Agent and each Lender, and no Lender may assign or otherwise transfer any of its rights or obligations hereunder except (i) to an Eligible Assignee in accordance with the provisions of clause (b) of this Section 10.10, (ii) by way of participation in accordance with the provisions of clause (d) of this Section or (iii) by way of pledge or assignment of a security interest subject to the restrictions of clause (f) of this Section 10.10. Nothing in this Agreement, expressed or implied, shall be construed to confer upon any Person (other than the parties hereto, their respective successors and assigns permitted hereby, Participants to the extent provided in</w:t>
      </w:r>
    </w:p>
    <w:p>
      <w:pPr>
        <w:sectPr>
          <w:pgSz w:w="11900" w:h="16838" w:orient="portrait"/>
          <w:cols w:equalWidth="0" w:num="1">
            <w:col w:w="11360"/>
          </w:cols>
          <w:pgMar w:left="240" w:top="774" w:right="299" w:bottom="1440" w:gutter="0" w:footer="0" w:header="0"/>
        </w:sectPr>
      </w:pPr>
    </w:p>
    <w:bookmarkStart w:id="314" w:name="page315"/>
    <w:bookmarkEnd w:id="314"/>
    <w:p>
      <w:pPr>
        <w:ind w:right="100"/>
        <w:spacing w:after="0" w:line="271" w:lineRule="auto"/>
        <w:rPr>
          <w:sz w:val="20"/>
          <w:szCs w:val="20"/>
          <w:color w:val="auto"/>
        </w:rPr>
      </w:pPr>
      <w:r>
        <w:rPr>
          <w:rFonts w:ascii="Times New Roman" w:cs="Times New Roman" w:eastAsia="Times New Roman" w:hAnsi="Times New Roman"/>
          <w:sz w:val="22"/>
          <w:szCs w:val="22"/>
          <w:color w:val="auto"/>
        </w:rPr>
        <w:t>clause (d) of this Section and, to the extent expressly contemplated hereby, the Related Parties of each of the Administrative Agent and the Lenders) any legal or equitable right, remedy or claim under or by reason of this Agreement.</w:t>
      </w:r>
    </w:p>
    <w:p>
      <w:pPr>
        <w:spacing w:after="0" w:line="154" w:lineRule="exact"/>
        <w:rPr>
          <w:sz w:val="20"/>
          <w:szCs w:val="20"/>
          <w:color w:val="auto"/>
        </w:rPr>
      </w:pPr>
    </w:p>
    <w:p>
      <w:pPr>
        <w:ind w:left="1080" w:hanging="424"/>
        <w:spacing w:after="0"/>
        <w:tabs>
          <w:tab w:leader="none" w:pos="108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by Lenders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 w:firstLine="656"/>
        <w:spacing w:after="0" w:line="282" w:lineRule="auto"/>
        <w:tabs>
          <w:tab w:leader="none" w:pos="98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assign to one (1) or more Eligible Assignees all or a portion of its rights and obligations under this Agreement with respect to all or a portion of its Revolving Credit Commitment(s) and the Loans at the time owing to it.</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9" w:lineRule="exact"/>
        <w:rPr>
          <w:rFonts w:ascii="Times New Roman" w:cs="Times New Roman" w:eastAsia="Times New Roman" w:hAnsi="Times New Roman"/>
          <w:sz w:val="18"/>
          <w:szCs w:val="18"/>
          <w:color w:val="auto"/>
        </w:rPr>
      </w:pPr>
    </w:p>
    <w:p>
      <w:pPr>
        <w:ind w:left="660" w:firstLine="645"/>
        <w:spacing w:after="0" w:line="247" w:lineRule="auto"/>
        <w:tabs>
          <w:tab w:leader="none" w:pos="1788"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assignment of the entire remaining amount of the assigning Lender’s Revolving Credit Commitment(s) and the Loans at the time owing to it or in the case of an assignment to a Lender or an Affiliate of a Lender or an Approved Fund with respect to a Lender, the aggregate amount of the Revolving Credit Commitment(s) (which for this purpose includes Loans outstanding thereunder) or, if the applicable Revolving Credit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2"/>
          <w:szCs w:val="22"/>
          <w:i w:val="1"/>
          <w:iCs w:val="1"/>
          <w:color w:val="auto"/>
        </w:rPr>
        <w:t>Trade Date</w:t>
      </w:r>
      <w:r>
        <w:rPr>
          <w:rFonts w:ascii="Times New Roman" w:cs="Times New Roman" w:eastAsia="Times New Roman" w:hAnsi="Times New Roman"/>
          <w:sz w:val="22"/>
          <w:szCs w:val="22"/>
          <w:color w:val="auto"/>
        </w:rPr>
        <w:t>” is specified in the Assignment and Assumption, as of such Trade Date) shall not be less than $5.0 million, in the case of any assignment in respect of the Revolving Facility, or less than $1.0 million, in the case of any assignment in respect of the Term Facility (calculated, in each case, in the aggregate with respect to multiple, simultaneous assignments by two (2) or more Approved Funds which are Affiliates or share the same (or affiliated) manager or advisor and/or two (2) or more lenders that are Affiliates) unless each of the Administrative Agent and the Borrower otherwise consent (each such consent not to be unreasonably withheld or delayed);</w:t>
      </w:r>
    </w:p>
    <w:p>
      <w:pPr>
        <w:spacing w:after="0" w:line="184" w:lineRule="exact"/>
        <w:rPr>
          <w:rFonts w:ascii="Times New Roman" w:cs="Times New Roman" w:eastAsia="Times New Roman" w:hAnsi="Times New Roman"/>
          <w:sz w:val="22"/>
          <w:szCs w:val="22"/>
          <w:color w:val="auto"/>
        </w:rPr>
      </w:pPr>
    </w:p>
    <w:p>
      <w:pPr>
        <w:ind w:left="660" w:right="220" w:firstLine="645"/>
        <w:spacing w:after="0" w:line="257" w:lineRule="auto"/>
        <w:tabs>
          <w:tab w:leader="none" w:pos="1776"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 with respect to the Facility or the Revolving Credit Commitment assigned, except that this clause (B) shall not prohibit any Lender from assigning all or a portion of its rights and obligations among separate Facilities on a non-</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w:t>
      </w:r>
    </w:p>
    <w:p>
      <w:pPr>
        <w:spacing w:after="0" w:line="172" w:lineRule="exact"/>
        <w:rPr>
          <w:rFonts w:ascii="Times New Roman" w:cs="Times New Roman" w:eastAsia="Times New Roman" w:hAnsi="Times New Roman"/>
          <w:sz w:val="22"/>
          <w:szCs w:val="22"/>
          <w:color w:val="auto"/>
        </w:rPr>
      </w:pPr>
    </w:p>
    <w:p>
      <w:pPr>
        <w:ind w:left="660" w:right="680" w:firstLine="645"/>
        <w:spacing w:after="0" w:line="257" w:lineRule="auto"/>
        <w:tabs>
          <w:tab w:leader="none" w:pos="1776"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and Assumption, together with a processing and recordation fee of $3,500 (unless otherwise waived or reduced by the Administrative Agent in its sole discretion), and the Eligible Assignee, if it shall not be a Lender, shall deliver to the Administrative Agent an Administrative Questionnaire; and</w:t>
      </w:r>
    </w:p>
    <w:p>
      <w:pPr>
        <w:sectPr>
          <w:pgSz w:w="11900" w:h="16838" w:orient="portrait"/>
          <w:cols w:equalWidth="0" w:num="1">
            <w:col w:w="11420"/>
          </w:cols>
          <w:pgMar w:left="240" w:top="625" w:right="239" w:bottom="1440" w:gutter="0" w:footer="0" w:header="0"/>
        </w:sectPr>
      </w:pPr>
    </w:p>
    <w:bookmarkStart w:id="315" w:name="page316"/>
    <w:bookmarkEnd w:id="315"/>
    <w:p>
      <w:pPr>
        <w:ind w:left="660" w:right="540" w:firstLine="645"/>
        <w:spacing w:after="0" w:line="284" w:lineRule="auto"/>
        <w:tabs>
          <w:tab w:leader="none" w:pos="1788"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Assignee provides the Borrower and the Administrative Agent the forms required by Section 10.1(b) prior to the assignment.</w:t>
      </w:r>
    </w:p>
    <w:p>
      <w:pPr>
        <w:spacing w:after="0" w:line="144" w:lineRule="exact"/>
        <w:rPr>
          <w:sz w:val="20"/>
          <w:szCs w:val="20"/>
          <w:color w:val="auto"/>
        </w:rPr>
      </w:pPr>
    </w:p>
    <w:p>
      <w:pPr>
        <w:ind w:firstLine="1297"/>
        <w:spacing w:after="0" w:line="245" w:lineRule="auto"/>
        <w:rPr>
          <w:sz w:val="20"/>
          <w:szCs w:val="20"/>
          <w:color w:val="auto"/>
        </w:rPr>
      </w:pPr>
      <w:r>
        <w:rPr>
          <w:rFonts w:ascii="Times New Roman" w:cs="Times New Roman" w:eastAsia="Times New Roman" w:hAnsi="Times New Roman"/>
          <w:sz w:val="22"/>
          <w:szCs w:val="22"/>
          <w:color w:val="auto"/>
        </w:rPr>
        <w:t xml:space="preserve">Subject to acceptance and recording thereof by the Administrative Agent pursuant to clause (c) of this Section 10.10,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8.4, 10.1(a) and 10.13 and subject to any obligations hereunder with respect to facts and circumstances occurring prior to the effective date of such assignment. All parties hereto consent that assignments to the Borrower permitted by the terms hereof shall not be construed as violating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optional redemption or any other provisions hereof, it being understood that, notwithstanding anything to the contrary elsewhere in this Agreement, immediately upon receipt by the Borrower of any Loans and/or Revolving Credit Commitments the same shall be deemed cancelled and no longer outstanding for any purpose under this Agreement, including without limitation, Section 10.11, and in no event shall the Borrower have any rights of a Lender under this Agreement or any other Loan Document.</w:t>
      </w:r>
    </w:p>
    <w:p>
      <w:pPr>
        <w:spacing w:after="0" w:line="191" w:lineRule="exact"/>
        <w:rPr>
          <w:sz w:val="20"/>
          <w:szCs w:val="20"/>
          <w:color w:val="auto"/>
        </w:rPr>
      </w:pPr>
    </w:p>
    <w:p>
      <w:pPr>
        <w:ind w:left="1080" w:hanging="424"/>
        <w:spacing w:after="0"/>
        <w:tabs>
          <w:tab w:leader="none" w:pos="108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60" w:firstLine="656"/>
        <w:spacing w:after="0" w:line="255" w:lineRule="auto"/>
        <w:tabs>
          <w:tab w:leader="none" w:pos="99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solely for this purpose as an agent of the Borrower, shall maintain a copy of each Assignment and Assumption delivered to it and a register for the recordation of the names and addresses of the Lenders, the Revolving Credit Commitment(s) of, and principal amounts (and stated interest) of the Loans owing to, each Lender pursuant to the terms hereof from time to time, and each repayment in respect of the principal amount (and any interest thereon) (the “</w:t>
      </w: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(as to its own interest, but not the interest of any other Lender), at any reasonable time and from time to time upon reasonable prior notice.</w:t>
      </w:r>
    </w:p>
    <w:p>
      <w:pPr>
        <w:spacing w:after="0" w:line="189" w:lineRule="exact"/>
        <w:rPr>
          <w:rFonts w:ascii="Times New Roman" w:cs="Times New Roman" w:eastAsia="Times New Roman" w:hAnsi="Times New Roman"/>
          <w:sz w:val="18"/>
          <w:szCs w:val="18"/>
          <w:color w:val="auto"/>
        </w:rPr>
      </w:pPr>
    </w:p>
    <w:p>
      <w:pPr>
        <w:ind w:right="200" w:firstLine="656"/>
        <w:spacing w:after="0" w:line="282" w:lineRule="auto"/>
        <w:tabs>
          <w:tab w:leader="none" w:pos="104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(A) accept the Assignment and Assumption and (B) promptly record the information contained therein in the Register once all the requirements of clause (a) above have been met. No assignment shall be effective unless it has been recorded in the Register.</w:t>
      </w:r>
    </w:p>
    <w:p>
      <w:pPr>
        <w:spacing w:after="0" w:line="162" w:lineRule="exact"/>
        <w:rPr>
          <w:sz w:val="20"/>
          <w:szCs w:val="20"/>
          <w:color w:val="auto"/>
        </w:rPr>
      </w:pPr>
    </w:p>
    <w:p>
      <w:pPr>
        <w:ind w:firstLine="656"/>
        <w:spacing w:after="0" w:line="258" w:lineRule="auto"/>
        <w:tabs>
          <w:tab w:leader="none" w:pos="108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Participations</w:t>
      </w:r>
      <w:r>
        <w:rPr>
          <w:rFonts w:ascii="Times New Roman" w:cs="Times New Roman" w:eastAsia="Times New Roman" w:hAnsi="Times New Roman"/>
          <w:sz w:val="22"/>
          <w:szCs w:val="22"/>
          <w:color w:val="auto"/>
        </w:rPr>
        <w:t>. Any Lender may at any time, without the consent of, or notice to, the Borrower,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or any L/C Issuer, sell participations to any Person (other than a natural person (or a holding company, investment vehicle or trust for, or owned and operated for the primary benefit of, a natural person) or a Prohibited Lender) (each, a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in all or a portion of such Lender’s rights and/or obligations under this Agreement</w:t>
      </w:r>
    </w:p>
    <w:p>
      <w:pPr>
        <w:sectPr>
          <w:pgSz w:w="11900" w:h="16838" w:orient="portrait"/>
          <w:cols w:equalWidth="0" w:num="1">
            <w:col w:w="11420"/>
          </w:cols>
          <w:pgMar w:left="240" w:top="625" w:right="239" w:bottom="1440" w:gutter="0" w:footer="0" w:header="0"/>
        </w:sectPr>
      </w:pPr>
    </w:p>
    <w:bookmarkStart w:id="316" w:name="page317"/>
    <w:bookmarkEnd w:id="316"/>
    <w:p>
      <w:pPr>
        <w:ind w:right="220"/>
        <w:spacing w:after="0" w:line="269" w:lineRule="auto"/>
        <w:rPr>
          <w:sz w:val="20"/>
          <w:szCs w:val="20"/>
          <w:color w:val="auto"/>
        </w:rPr>
      </w:pPr>
      <w:r>
        <w:rPr>
          <w:rFonts w:ascii="Times New Roman" w:cs="Times New Roman" w:eastAsia="Times New Roman" w:hAnsi="Times New Roman"/>
          <w:sz w:val="21"/>
          <w:szCs w:val="21"/>
          <w:color w:val="auto"/>
        </w:rPr>
        <w:t xml:space="preserve">(including all or a portion of its Revolving Credit Commitment(s) and/or the Loans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w:t>
      </w:r>
    </w:p>
    <w:p>
      <w:pPr>
        <w:spacing w:after="0" w:line="164"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 xml:space="preserve">Any agreement or instrument pursuant to which a Lender sells such a participation shall provide that such Lender shall retain the sole right to enforce this Agreement and to approve any amendment, modification, supplement or waiver of any provision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supplement or waiver described in subclause (A) (to the extent that such Participant is directly affected) or (B) of Section 10.11. Subject to clause (e) of this Section 10.10, the Borrower agrees that each Participant shall be entitled to the benefits of Sections 8.1, 8.4, 10.1, and 10.4 (subject to the requirements and limitations therein (including the requirements under Section 10.1(c), it being understood that the documentation required to be provided under Section 10.1(c) shall be delivered to the participating Lender)) to the same extent as if it were a Lender and had acquired its interest by assignment pursuant to clause (b) of this Section 10.10. To the extent permitted by law, each Participant also shall be entitled to the benefits of Section 10.14 as though it were a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agrees to be subject to Section 10.7 as though it were a Lender.</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Each Lender that sells a participation pursuant to this Section 10.10(d), acting solely for this purpose as a non-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fiduciary agent of the Borrower, shall maintain a register for the recordation of the names and addresses of the Participants,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commitments of, and principal amounts (and stated interest) of the Loans owing to, each Participant pursuant to the terms hereof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time to time, and each repayment in respect of the principal amount (and any interest thereon) (each, a “</w:t>
      </w:r>
      <w:r>
        <w:rPr>
          <w:rFonts w:ascii="Times New Roman" w:cs="Times New Roman" w:eastAsia="Times New Roman" w:hAnsi="Times New Roman"/>
          <w:sz w:val="22"/>
          <w:szCs w:val="22"/>
          <w:i w:val="1"/>
          <w:iCs w:val="1"/>
          <w:color w:val="auto"/>
        </w:rPr>
        <w:t>Participant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Register</w:t>
      </w:r>
      <w:r>
        <w:rPr>
          <w:rFonts w:ascii="Times New Roman" w:cs="Times New Roman" w:eastAsia="Times New Roman" w:hAnsi="Times New Roman"/>
          <w:sz w:val="21"/>
          <w:szCs w:val="21"/>
          <w:color w:val="auto"/>
        </w:rPr>
        <w:t>”). The entries in the Participant Register shall be conclusive absent manifest error, and such Lender and the Borrower shall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treat each Person whose name is recorded in the Participant Register pursuant to the terms hereof as the owner of a participation for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all purposes of this Agreement, notwithstanding notice to the contrary;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Lender shall have the obligation to disclose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or any portion of the Participant Register (including the identity of any Participant or any information relating to a Participant’s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in any Loan or other Obligations under any Loan Document) to any Person except to the extent such disclosure is necessary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connection with a tax audit or other proceeding to establish that any such Obligations are in registered form for U.S. federal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income tax purposes.</w:t>
      </w:r>
    </w:p>
    <w:p>
      <w:pPr>
        <w:spacing w:after="0" w:line="192" w:lineRule="exact"/>
        <w:rPr>
          <w:sz w:val="20"/>
          <w:szCs w:val="20"/>
          <w:color w:val="auto"/>
        </w:rPr>
      </w:pPr>
    </w:p>
    <w:p>
      <w:pPr>
        <w:ind w:right="240" w:firstLine="656"/>
        <w:spacing w:after="0" w:line="284" w:lineRule="auto"/>
        <w:tabs>
          <w:tab w:leader="none" w:pos="1068"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Limitations upon Participant Rights</w:t>
      </w:r>
      <w:r>
        <w:rPr>
          <w:rFonts w:ascii="Times New Roman" w:cs="Times New Roman" w:eastAsia="Times New Roman" w:hAnsi="Times New Roman"/>
          <w:sz w:val="21"/>
          <w:szCs w:val="21"/>
          <w:color w:val="auto"/>
        </w:rPr>
        <w:t>. A Participant shall not be entitled to receive any greater payment under Section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8.4 than the applicable Lender would have been entitled to receive with respect to the participation sold to such Participant. A Participant shall not be entitled to receive any greater payment under Section 10.1 or Section 10.4 than the applicable</w:t>
      </w:r>
    </w:p>
    <w:p>
      <w:pPr>
        <w:sectPr>
          <w:pgSz w:w="11900" w:h="16838" w:orient="portrait"/>
          <w:cols w:equalWidth="0" w:num="1">
            <w:col w:w="11400"/>
          </w:cols>
          <w:pgMar w:left="240" w:top="621" w:right="259" w:bottom="1440" w:gutter="0" w:footer="0" w:header="0"/>
        </w:sectPr>
      </w:pPr>
    </w:p>
    <w:bookmarkStart w:id="317" w:name="page318"/>
    <w:bookmarkEnd w:id="317"/>
    <w:p>
      <w:pPr>
        <w:ind w:right="560"/>
        <w:spacing w:after="0" w:line="271" w:lineRule="auto"/>
        <w:rPr>
          <w:sz w:val="20"/>
          <w:szCs w:val="20"/>
          <w:color w:val="auto"/>
        </w:rPr>
      </w:pPr>
      <w:r>
        <w:rPr>
          <w:rFonts w:ascii="Times New Roman" w:cs="Times New Roman" w:eastAsia="Times New Roman" w:hAnsi="Times New Roman"/>
          <w:sz w:val="22"/>
          <w:szCs w:val="22"/>
          <w:color w:val="auto"/>
        </w:rPr>
        <w:t>Lender would have been entitled to receive with respect to the participation sold to such Participant, except to the extent such entitlement to a greater payment results from a change in law after the sale of the participation.</w:t>
      </w:r>
    </w:p>
    <w:p>
      <w:pPr>
        <w:spacing w:after="0" w:line="154" w:lineRule="exact"/>
        <w:rPr>
          <w:sz w:val="20"/>
          <w:szCs w:val="20"/>
          <w:color w:val="auto"/>
        </w:rPr>
      </w:pPr>
    </w:p>
    <w:p>
      <w:pPr>
        <w:ind w:right="280" w:firstLine="656"/>
        <w:spacing w:after="0" w:line="252" w:lineRule="auto"/>
        <w:tabs>
          <w:tab w:leader="none" w:pos="104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Pledges</w:t>
      </w:r>
      <w:r>
        <w:rPr>
          <w:rFonts w:ascii="Times New Roman" w:cs="Times New Roman" w:eastAsia="Times New Roman" w:hAnsi="Times New Roman"/>
          <w:sz w:val="22"/>
          <w:szCs w:val="22"/>
          <w:color w:val="auto"/>
        </w:rPr>
        <w:t>. Any Lender may at any time pledge or assign a security interest in all or any portion of its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 this Agreement (other than to any Prohibited Lender) to secure obligations of such Lender, including any pledge or assignment to secure obligations to a Federal Reserve Bank or other central bank having jurisdiction over such lender, and this Section 10.10 shall not apply to any pledge or assignment of a security interest;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5" w:lineRule="exact"/>
        <w:rPr>
          <w:rFonts w:ascii="Times New Roman" w:cs="Times New Roman" w:eastAsia="Times New Roman" w:hAnsi="Times New Roman"/>
          <w:sz w:val="22"/>
          <w:szCs w:val="22"/>
          <w:color w:val="auto"/>
        </w:rPr>
      </w:pPr>
    </w:p>
    <w:p>
      <w:pPr>
        <w:ind w:firstLine="656"/>
        <w:spacing w:after="0" w:line="252" w:lineRule="auto"/>
        <w:tabs>
          <w:tab w:leader="none" w:pos="108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Execution of Assignments</w:t>
      </w:r>
      <w:r>
        <w:rPr>
          <w:rFonts w:ascii="Times New Roman" w:cs="Times New Roman" w:eastAsia="Times New Roman" w:hAnsi="Times New Roman"/>
          <w:sz w:val="22"/>
          <w:szCs w:val="22"/>
          <w:color w:val="auto"/>
        </w:rPr>
        <w:t>. The words “execution,” “signed,” “signature,” and words of like import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Ohio Uniform Electronic Transactions Act, or any other similar state laws based on the Uniform Electronic Transactions Act.</w:t>
      </w:r>
    </w:p>
    <w:p>
      <w:pPr>
        <w:spacing w:after="0" w:line="175" w:lineRule="exact"/>
        <w:rPr>
          <w:sz w:val="20"/>
          <w:szCs w:val="20"/>
          <w:color w:val="auto"/>
        </w:rPr>
      </w:pPr>
    </w:p>
    <w:p>
      <w:pPr>
        <w:ind w:right="20" w:firstLine="656"/>
        <w:spacing w:after="0" w:line="265" w:lineRule="auto"/>
        <w:tabs>
          <w:tab w:leader="none" w:pos="1068"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to the Borrower and its Subsidiaries</w:t>
      </w:r>
      <w:r>
        <w:rPr>
          <w:rFonts w:ascii="Times New Roman" w:cs="Times New Roman" w:eastAsia="Times New Roman" w:hAnsi="Times New Roman"/>
          <w:sz w:val="22"/>
          <w:szCs w:val="22"/>
          <w:color w:val="auto"/>
        </w:rPr>
        <w:t>. Any Lender may elect to, but is not obligated to elect to, at any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assign all or a portion of its rights and obligations in respect of the Term B Loans to the Borrower and/or any Subsidiary of the Borrower through Dutch Auctions open to all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subject to the following limitations:</w:t>
      </w:r>
    </w:p>
    <w:p>
      <w:pPr>
        <w:spacing w:after="0" w:line="165" w:lineRule="exact"/>
        <w:rPr>
          <w:rFonts w:ascii="Times New Roman" w:cs="Times New Roman" w:eastAsia="Times New Roman" w:hAnsi="Times New Roman"/>
          <w:sz w:val="22"/>
          <w:szCs w:val="22"/>
          <w:color w:val="auto"/>
        </w:rPr>
      </w:pPr>
    </w:p>
    <w:p>
      <w:pPr>
        <w:jc w:val="both"/>
        <w:ind w:left="660" w:right="420" w:firstLine="888"/>
        <w:spacing w:after="0" w:line="309" w:lineRule="auto"/>
        <w:tabs>
          <w:tab w:leader="none" w:pos="1935"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Revolving Facility shall not be utilized to fund the purchase or assignment and (B) no Default or Event of Default shall have occurred and be continuing at the time of acceptance of any bids in any Dutch Auction; and</w:t>
      </w:r>
    </w:p>
    <w:p>
      <w:pPr>
        <w:spacing w:after="0" w:line="120" w:lineRule="exact"/>
        <w:rPr>
          <w:rFonts w:ascii="Times New Roman" w:cs="Times New Roman" w:eastAsia="Times New Roman" w:hAnsi="Times New Roman"/>
          <w:sz w:val="21"/>
          <w:szCs w:val="21"/>
          <w:color w:val="auto"/>
        </w:rPr>
      </w:pPr>
    </w:p>
    <w:p>
      <w:pPr>
        <w:ind w:left="660" w:right="1140" w:firstLine="888"/>
        <w:spacing w:after="0" w:line="284" w:lineRule="auto"/>
        <w:tabs>
          <w:tab w:leader="none" w:pos="1995"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 B Loans acquired by the Borrower or any of its Subsidiaries shall be immediately and automatically cancelled.</w:t>
      </w:r>
    </w:p>
    <w:p>
      <w:pPr>
        <w:spacing w:after="0" w:line="140" w:lineRule="exact"/>
        <w:rPr>
          <w:rFonts w:ascii="Times New Roman" w:cs="Times New Roman" w:eastAsia="Times New Roman" w:hAnsi="Times New Roman"/>
          <w:sz w:val="22"/>
          <w:szCs w:val="22"/>
          <w:color w:val="auto"/>
        </w:rPr>
      </w:pPr>
    </w:p>
    <w:p>
      <w:pPr>
        <w:ind w:firstLine="656"/>
        <w:spacing w:after="0" w:line="250" w:lineRule="auto"/>
        <w:tabs>
          <w:tab w:leader="none" w:pos="108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Prohibited Lenders</w:t>
      </w:r>
      <w:r>
        <w:rPr>
          <w:rFonts w:ascii="Times New Roman" w:cs="Times New Roman" w:eastAsia="Times New Roman" w:hAnsi="Times New Roman"/>
          <w:sz w:val="22"/>
          <w:szCs w:val="22"/>
          <w:color w:val="auto"/>
        </w:rPr>
        <w:t>. If any assignment or participation under this Section 10.10 is made (or attempted to be made) (i)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Prohibited Lender without the Borrower’s prior written consent or (ii) to the extent the Borrower’s consent is required under the terms of this Section 10.10 and such consent shall have not been obtained or deemed to have been obtained, to any other Person without the Borrower’s consent, then the Borrower may, at its sole expense and effort, upon notice to such Lender and the Administrative Agent, (A) in the case of any outstanding Term Loans, purchase such Loans by paying the lesser of par or the same amount that such Lender paid to acquire such Loans, or (B) require such Lender to assign and delegate, without recourse (in accordance with and subject to the restrictions contained in this Section</w:t>
      </w:r>
    </w:p>
    <w:p>
      <w:pPr>
        <w:sectPr>
          <w:pgSz w:w="11900" w:h="16838" w:orient="portrait"/>
          <w:cols w:equalWidth="0" w:num="1">
            <w:col w:w="11420"/>
          </w:cols>
          <w:pgMar w:left="240" w:top="625" w:right="239" w:bottom="1440" w:gutter="0" w:footer="0" w:header="0"/>
        </w:sectPr>
      </w:pPr>
    </w:p>
    <w:bookmarkStart w:id="318" w:name="page319"/>
    <w:bookmarkEnd w:id="318"/>
    <w:p>
      <w:pPr>
        <w:spacing w:after="0" w:line="256" w:lineRule="auto"/>
        <w:rPr>
          <w:sz w:val="20"/>
          <w:szCs w:val="20"/>
          <w:color w:val="auto"/>
        </w:rPr>
      </w:pPr>
      <w:r>
        <w:rPr>
          <w:rFonts w:ascii="Times New Roman" w:cs="Times New Roman" w:eastAsia="Times New Roman" w:hAnsi="Times New Roman"/>
          <w:sz w:val="21"/>
          <w:szCs w:val="21"/>
          <w:color w:val="auto"/>
        </w:rPr>
        <w:t xml:space="preserve">10.10),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Lender shall have received payment of an amount equal to the lesser of par or the amount such Lender paid for such Loans and participations in L/C Disbursements, accrued interest thereon, accrued fees and all other amounts payable to it hereunder, from the assignee (to the extent of such outstanding principal and accrued interest and fees) or the Borrower (in the case of all other amounts), (ii) the Borrower shall be liable to such Lender under Section 8.1 if any Eurodollar Loan owing to such Lender is repaid or purchased other than on the last day of the Interest Period relating thereto, and (iii) such assignment shall otherwise comply with this Section 10.10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registration and processing fee referred to in this Section 10.10 shall be owing in connection with any assignment pursuant to this clause). Each Lender hereby grants to the Administrative Agent an irrevocable power of attorney (which power is coupled with an interest) to execute and deliver, on behalf of such Lender, as assignor, any Assignment and Assumption necessary to effectuate any assignment of such Lender’s interests hereunder to an assignee as contemplated hereby in the circumstances contemplated by this Section 10.10(i). Nothing in this Section 10.10(i) shall be deemed to prejudice any rights or remedies the Borrower may otherwise have at law or equity. Each Lender acknowledges and agrees that the Borrower would suffer irreparable harm if such Lender breaches any of its obligations under Section 10.10(a), 10.10(d) or 10.10(f) insofar as such Sections relate to any assignment, participation or pledge to a Prohibited Lender without the Borrower’s prior written consent. Additionally, each Lender agrees that the Borrower may seek to obtain specific performance or other equitable or injunctive relief to enforce this Section</w:t>
      </w:r>
    </w:p>
    <w:p>
      <w:pPr>
        <w:spacing w:after="0" w:line="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1"/>
          <w:szCs w:val="21"/>
          <w:color w:val="auto"/>
        </w:rPr>
        <w:t>10.10(i) against such Lender with respect to such breach without posting a bond or presenting evidence of irreparable harm. The Administrative Agent shall not be responsible or have liability for, or have any duty to ascertain, inquire into, monitor or enforce, compliance with the provisions hereof relating to Prohibited Lenders. Without limiting the generality of the foregoing, the Administrative Agent shall not (x) be obligated to ascertain, monitor or inquire as to whether any Lender is a Prohibited Lender or</w:t>
      </w:r>
    </w:p>
    <w:p>
      <w:pPr>
        <w:ind w:right="680" w:firstLine="8"/>
        <w:spacing w:after="0" w:line="248" w:lineRule="auto"/>
        <w:tabs>
          <w:tab w:leader="none" w:pos="30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liability with respect to or arising out of any assignment or participation of Loans, or disclosure of confidential information, to any Prohibited Lender.</w:t>
      </w:r>
    </w:p>
    <w:p>
      <w:pPr>
        <w:spacing w:after="0" w:line="182" w:lineRule="exact"/>
        <w:rPr>
          <w:rFonts w:ascii="Times New Roman" w:cs="Times New Roman" w:eastAsia="Times New Roman" w:hAnsi="Times New Roman"/>
          <w:sz w:val="22"/>
          <w:szCs w:val="22"/>
          <w:color w:val="auto"/>
        </w:rPr>
      </w:pPr>
    </w:p>
    <w:p>
      <w:pPr>
        <w:ind w:right="120" w:firstLine="656"/>
        <w:spacing w:after="0" w:line="267" w:lineRule="auto"/>
        <w:tabs>
          <w:tab w:leader="none" w:pos="1068"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wishes to replace the Loans or Commitments under any Facility with ones having different terms, it shall have the option, with the consent of the Administrative Agent and subject to at least three (3) Business Days’ advance notice to the Lenders under such Facility, instead of prepaying the Loans or reducing or terminating the Commitments to be replaced, to</w:t>
      </w:r>
    </w:p>
    <w:p>
      <w:pPr>
        <w:spacing w:after="0" w:line="1"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the Lenders under such Facility to assign such Loans or Commitments to the Administrative Agent or its designees and</w:t>
      </w:r>
    </w:p>
    <w:p>
      <w:pPr>
        <w:spacing w:after="0" w:line="15" w:lineRule="exact"/>
        <w:rPr>
          <w:rFonts w:ascii="Times New Roman" w:cs="Times New Roman" w:eastAsia="Times New Roman" w:hAnsi="Times New Roman"/>
          <w:sz w:val="21"/>
          <w:szCs w:val="21"/>
          <w:color w:val="auto"/>
        </w:rPr>
      </w:pPr>
    </w:p>
    <w:p>
      <w:pPr>
        <w:ind w:right="260" w:firstLine="8"/>
        <w:spacing w:after="0" w:line="244" w:lineRule="auto"/>
        <w:tabs>
          <w:tab w:leader="none" w:pos="31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terms thereof in accordance with Section 10.11 (with such replacement, if applicable, deemed to have been made pursuant to Section 2.16). Pursuant to any such assignment, all Loans and Commitments to be replaced shall be purchased at par (allocated among the Lenders under such Facility in the same manner as would be required if such Loans were being optionally prepaid or such Commitments were being optionally reduced or terminated by the Borrower), accompanied by payment by the Borrower of</w:t>
      </w:r>
    </w:p>
    <w:p>
      <w:pPr>
        <w:sectPr>
          <w:pgSz w:w="11900" w:h="16838" w:orient="portrait"/>
          <w:cols w:equalWidth="0" w:num="1">
            <w:col w:w="11380"/>
          </w:cols>
          <w:pgMar w:left="240" w:top="625" w:right="279" w:bottom="1440" w:gutter="0" w:footer="0" w:header="0"/>
        </w:sectPr>
      </w:pPr>
    </w:p>
    <w:bookmarkStart w:id="319" w:name="page320"/>
    <w:bookmarkEnd w:id="319"/>
    <w:p>
      <w:pPr>
        <w:ind w:right="60"/>
        <w:spacing w:after="0" w:line="249" w:lineRule="auto"/>
        <w:rPr>
          <w:sz w:val="20"/>
          <w:szCs w:val="20"/>
          <w:color w:val="auto"/>
        </w:rPr>
      </w:pPr>
      <w:r>
        <w:rPr>
          <w:rFonts w:ascii="Times New Roman" w:cs="Times New Roman" w:eastAsia="Times New Roman" w:hAnsi="Times New Roman"/>
          <w:sz w:val="22"/>
          <w:szCs w:val="22"/>
          <w:color w:val="auto"/>
        </w:rPr>
        <w:t xml:space="preserve">any accrued interest and fees thereon and any amounts owing pursuant to Section 10.13(b) to the extent demanded in writing prior to the date of such assignment. By receiving such purchase price, the Lenders under such Facility shall automatically be deemed to have assigned the Loans or Commitments under such Facility pursuant to the terms of the form of Assignment and Assumption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and accordingly no other action by such Lenders shall be required in connection therewith. The provisions of this clause (j) are intended to facilitate the maintenance of the perfection and priority of existing security interests in the Collateral during any such replacement.</w:t>
      </w:r>
    </w:p>
    <w:p>
      <w:pPr>
        <w:spacing w:after="0" w:line="177"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22"/>
          <w:szCs w:val="22"/>
          <w:color w:val="auto"/>
        </w:rPr>
        <w:t>Section 10.11</w:t>
      </w:r>
      <w:r>
        <w:rPr>
          <w:sz w:val="20"/>
          <w:szCs w:val="20"/>
          <w:color w:val="auto"/>
        </w:rPr>
        <w:tab/>
      </w:r>
      <w:r>
        <w:rPr>
          <w:rFonts w:ascii="Times New Roman" w:cs="Times New Roman" w:eastAsia="Times New Roman" w:hAnsi="Times New Roman"/>
          <w:sz w:val="21"/>
          <w:szCs w:val="21"/>
          <w:i w:val="1"/>
          <w:iCs w:val="1"/>
          <w:color w:val="auto"/>
        </w:rPr>
        <w:t>Amendments</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right="20" w:firstLine="656"/>
        <w:spacing w:after="0" w:line="258" w:lineRule="auto"/>
        <w:tabs>
          <w:tab w:leader="none" w:pos="102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2.14 with respect to any Incremental Facility, Section 2.15 with respect to any Extension and Section 2.16 with respect to any Refinancing Term Loans or Replacement Revolving Facility, (a) no provision of this Agreement or the other Loan Documents may be amended, modified, supplemented or waived unless such amendment, modification, supplement or waiver is in writing and is signed by (i) the Borrower, (ii) the Required Lenders, (iii) if the rights or duties of the Administrative Agent are adversely affected thereby, the Administrative Agent, and (iv) if the rights or duties of the L/C Issuers are affected thereby, the L/C Issuers;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8" w:lineRule="exact"/>
        <w:rPr>
          <w:rFonts w:ascii="Times New Roman" w:cs="Times New Roman" w:eastAsia="Times New Roman" w:hAnsi="Times New Roman"/>
          <w:sz w:val="18"/>
          <w:szCs w:val="18"/>
          <w:color w:val="auto"/>
        </w:rPr>
      </w:pPr>
    </w:p>
    <w:p>
      <w:pPr>
        <w:ind w:left="660" w:firstLine="645"/>
        <w:spacing w:after="0" w:line="246" w:lineRule="auto"/>
        <w:tabs>
          <w:tab w:leader="none" w:pos="1788"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modification, supplement or waiver pursuant to this Section 10.11 shall (i) increase any Commitment or extend the expiry date of any such Commitment of any Lender without the consent of such Lender (it being understood that any such amendment, modification, supplement or waiver that provides for the payment of interest in kind in addition to, and not as substitution for or as conversion of, the interest otherwise payable hereunder shall only require the consent of the Required Lenders and that a waiver of any condition precedent or the waiver of any Default or Event of Default or mandatory prepayment shall not constitute an extension or increase of any Commitment), (ii) reduce the amount of, postpone the date for any scheduled payment of any principal of or interest or fee on, or extend the final maturity of any Loan or of any Reimbursement Obligation or of any fee payable hereunder (other than with respect to a waiver of default interest and it being understood that any change in the definitions of any ratio used in the calculation of such rate of interest or fees (or the component definitions) shall not constitute a reduction in any rate of interest or fees) without the consent of each Lender (but not the Required Lenders) to which such payment is owing or which has committed to make such Loan or Letter of Credit (or participate therein) hereunder or (iii) change the application of payments set forth in Section 2.9 hereof without the consent of any Lender adversely affected thereby;</w:t>
      </w:r>
    </w:p>
    <w:p>
      <w:pPr>
        <w:spacing w:after="0" w:line="194" w:lineRule="exact"/>
        <w:rPr>
          <w:rFonts w:ascii="Times New Roman" w:cs="Times New Roman" w:eastAsia="Times New Roman" w:hAnsi="Times New Roman"/>
          <w:sz w:val="22"/>
          <w:szCs w:val="22"/>
          <w:color w:val="auto"/>
        </w:rPr>
      </w:pPr>
    </w:p>
    <w:p>
      <w:pPr>
        <w:jc w:val="both"/>
        <w:ind w:left="660" w:right="60" w:firstLine="645"/>
        <w:spacing w:after="0" w:line="257" w:lineRule="auto"/>
        <w:tabs>
          <w:tab w:leader="none" w:pos="1776"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modification, supplement or waiver pursuant to this Section 10.11 shall, unless signed by each Lender, change the definition of Required Lenders in a manner that reduces the voting percentages set forth therein, change the provisions of this Section 10.11, release all or substantially all of the Collateral (except as expressly provided in the Loan Documents) or all or substantially all of the value of the</w:t>
      </w:r>
    </w:p>
    <w:p>
      <w:pPr>
        <w:sectPr>
          <w:pgSz w:w="11900" w:h="16838" w:orient="portrait"/>
          <w:cols w:equalWidth="0" w:num="1">
            <w:col w:w="11380"/>
          </w:cols>
          <w:pgMar w:left="240" w:top="625" w:right="279" w:bottom="1440" w:gutter="0" w:footer="0" w:header="0"/>
        </w:sectPr>
      </w:pPr>
    </w:p>
    <w:bookmarkStart w:id="320" w:name="page321"/>
    <w:bookmarkEnd w:id="320"/>
    <w:p>
      <w:pPr>
        <w:ind w:left="660" w:right="20"/>
        <w:spacing w:after="0" w:line="250" w:lineRule="auto"/>
        <w:rPr>
          <w:sz w:val="20"/>
          <w:szCs w:val="20"/>
          <w:color w:val="auto"/>
        </w:rPr>
      </w:pPr>
      <w:r>
        <w:rPr>
          <w:rFonts w:ascii="Times New Roman" w:cs="Times New Roman" w:eastAsia="Times New Roman" w:hAnsi="Times New Roman"/>
          <w:sz w:val="22"/>
          <w:szCs w:val="22"/>
          <w:color w:val="auto"/>
        </w:rPr>
        <w:t xml:space="preserve">guarantees provided by the Guarantors (except as expressly provided in the Loan Documents), affect the number of Lenders required to take any action hereunder or under any other Loan Document, or change or waive any provision of any Loan Document that provides for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nature of disbursements or payments to Lenders or sharing of Collateral among the Lenders (except in connection with any transaction permitted by the last paragraph of this Section 10.11(a) or Section 10.10(h));</w:t>
      </w:r>
    </w:p>
    <w:p>
      <w:pPr>
        <w:spacing w:after="0" w:line="181" w:lineRule="exact"/>
        <w:rPr>
          <w:sz w:val="20"/>
          <w:szCs w:val="20"/>
          <w:color w:val="auto"/>
        </w:rPr>
      </w:pPr>
    </w:p>
    <w:p>
      <w:pPr>
        <w:ind w:left="660" w:right="100" w:firstLine="645"/>
        <w:spacing w:after="0" w:line="251" w:lineRule="auto"/>
        <w:tabs>
          <w:tab w:leader="none" w:pos="177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modification, supplement or waiver pursuant to this Section 10.11 shall amend or otherwise modify Section 2.8 or any other provisions of any Loan Document in a manner that by its terms adversely affects the rights in respect of payments due to Lenders holding Loans of any Class differently than those holding Loans of any other Class, without the consent of Lenders representing a majority in interest of each affected Class (it being understood that the Required Lenders may waive, in whole or in part, any prepayment of Loans hereunder so long as the application, as between Classes, of any portion of such prepayment that is still required to be made is not altered); and</w:t>
      </w:r>
    </w:p>
    <w:p>
      <w:pPr>
        <w:spacing w:after="0" w:line="181" w:lineRule="exact"/>
        <w:rPr>
          <w:rFonts w:ascii="Times New Roman" w:cs="Times New Roman" w:eastAsia="Times New Roman" w:hAnsi="Times New Roman"/>
          <w:sz w:val="22"/>
          <w:szCs w:val="22"/>
          <w:color w:val="auto"/>
        </w:rPr>
      </w:pPr>
    </w:p>
    <w:p>
      <w:pPr>
        <w:ind w:left="660" w:right="200" w:firstLine="645"/>
        <w:spacing w:after="0" w:line="253" w:lineRule="auto"/>
        <w:tabs>
          <w:tab w:leader="none" w:pos="1788"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modification, supplement or waiver pursuant to this Section 10.11 shall amend or modify the provisions of Section 2.3 or any letter of credit application and any bilateral agreement between the Borrower and an L/C Issuer regarding such L/C Issuer’s Letter of Credit Commitment or the respective rights and obligations between the Borrower and such L/C Issuer in connection with the issuance of Letters of Credit without the prior written consent of the Administrative Agent and such L/C Issuer, respectively.</w:t>
      </w:r>
    </w:p>
    <w:p>
      <w:pPr>
        <w:spacing w:after="0" w:line="179"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1"/>
          <w:szCs w:val="21"/>
          <w:color w:val="auto"/>
        </w:rPr>
        <w:t>Notwithstanding anything to the contrary herein, (a) except as set forth in clause (A) above, no Defaulting Lender shall have any right to approve or disapprove any amendment, modification, supplement, waiver or consent hereunder or otherwise give any direction to the Administrative Agent; (b) the Borrower and the Administrative Agent may, without the input or consent of any other Lender, effect amendments to this Agreement and the other Loan Documents as may be necessary in the reasonable opinion of the Borrower and the Administrative Agent to effect the provisions of Sections 2.8(d), 2.14, 2.15, 2.16, 10.10(i) or (j);</w:t>
      </w:r>
    </w:p>
    <w:p>
      <w:pPr>
        <w:spacing w:after="0" w:line="4" w:lineRule="exact"/>
        <w:rPr>
          <w:sz w:val="20"/>
          <w:szCs w:val="20"/>
          <w:color w:val="auto"/>
        </w:rPr>
      </w:pPr>
    </w:p>
    <w:p>
      <w:pPr>
        <w:ind w:firstLine="8"/>
        <w:spacing w:after="0" w:line="244" w:lineRule="auto"/>
        <w:tabs>
          <w:tab w:leader="none" w:pos="29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collateral security documents and related documents and related documents executed by the Borrower or any of its Subsidiaries in connection with this Agreement may be in a form reasonably determined by the Administrative Agent and may be amended, supplemented or waived without the consent of any Lender if such amendment, supplement or waiver is delivered in order to (i) comply with local law or advice of local counsel, (ii) cure ambiguities, omissions, mistakes or defects or (iii) cause such guarantee, collateral security document or other document to be consistent with this Agreement and the other Loan Documents; (d) the Administrative Agent may, with the consent of Borrower only, amend, modify or supplement this Agreement or any other Loan Document to cure any ambiguity, omission, defect or inconsistency, so long as such amendment, modification or supplement does not adversely affect</w:t>
      </w:r>
    </w:p>
    <w:p>
      <w:pPr>
        <w:sectPr>
          <w:pgSz w:w="11900" w:h="16838" w:orient="portrait"/>
          <w:cols w:equalWidth="0" w:num="1">
            <w:col w:w="11400"/>
          </w:cols>
          <w:pgMar w:left="240" w:top="625" w:right="259" w:bottom="1440" w:gutter="0" w:footer="0" w:header="0"/>
        </w:sectPr>
      </w:pPr>
    </w:p>
    <w:bookmarkStart w:id="321" w:name="page322"/>
    <w:bookmarkEnd w:id="321"/>
    <w:p>
      <w:pPr>
        <w:ind w:right="220"/>
        <w:spacing w:after="0" w:line="250" w:lineRule="auto"/>
        <w:rPr>
          <w:sz w:val="20"/>
          <w:szCs w:val="20"/>
          <w:color w:val="auto"/>
        </w:rPr>
      </w:pPr>
      <w:r>
        <w:rPr>
          <w:rFonts w:ascii="Times New Roman" w:cs="Times New Roman" w:eastAsia="Times New Roman" w:hAnsi="Times New Roman"/>
          <w:sz w:val="22"/>
          <w:szCs w:val="22"/>
          <w:color w:val="auto"/>
        </w:rPr>
        <w:t>the rights of any Lender and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and (e) Schedules 5.10, 5.17, 6.11, 6.14, 6.15, 6.17 and 6.24 may be updated with the consent of the Borrower and the Administrative Agent following the Closing Date and prior to the Escrow Release Date to reflect circumstances existing on the Escrow Release Date.</w:t>
      </w:r>
    </w:p>
    <w:p>
      <w:pPr>
        <w:spacing w:after="0" w:line="181" w:lineRule="exact"/>
        <w:rPr>
          <w:sz w:val="20"/>
          <w:szCs w:val="20"/>
          <w:color w:val="auto"/>
        </w:rPr>
      </w:pPr>
    </w:p>
    <w:p>
      <w:pPr>
        <w:ind w:right="100" w:firstLine="1297"/>
        <w:spacing w:after="0" w:line="250" w:lineRule="auto"/>
        <w:rPr>
          <w:sz w:val="20"/>
          <w:szCs w:val="20"/>
          <w:color w:val="auto"/>
        </w:rPr>
      </w:pPr>
      <w:r>
        <w:rPr>
          <w:rFonts w:ascii="Times New Roman" w:cs="Times New Roman" w:eastAsia="Times New Roman" w:hAnsi="Times New Roman"/>
          <w:sz w:val="22"/>
          <w:szCs w:val="22"/>
          <w:color w:val="auto"/>
        </w:rPr>
        <w:t>Notwithstanding the foregoing, (i) only the consent of the Required RC/TLA Lenders shall be required in respect of amendments, modifications or waivers of the financial covenants set forth in Section 6.22 (or any component definition thereof to the extent applicable thereto) and (ii) only the consent of the Required RC Lenders shall be required with respect to waivers of any conditions to the Borrowing of any Revolving Loans, and any such amendment, modification or waiver may be made without the consent of any other Lender (including, for the avoidance of doubt, the Required Lenders).</w:t>
      </w:r>
    </w:p>
    <w:p>
      <w:pPr>
        <w:spacing w:after="0" w:line="181" w:lineRule="exact"/>
        <w:rPr>
          <w:sz w:val="20"/>
          <w:szCs w:val="20"/>
          <w:color w:val="auto"/>
        </w:rPr>
      </w:pPr>
    </w:p>
    <w:p>
      <w:pPr>
        <w:ind w:right="220" w:firstLine="1297"/>
        <w:spacing w:after="0" w:line="271" w:lineRule="auto"/>
        <w:rPr>
          <w:sz w:val="20"/>
          <w:szCs w:val="20"/>
          <w:color w:val="auto"/>
        </w:rPr>
      </w:pPr>
      <w:r>
        <w:rPr>
          <w:rFonts w:ascii="Times New Roman" w:cs="Times New Roman" w:eastAsia="Times New Roman" w:hAnsi="Times New Roman"/>
          <w:sz w:val="22"/>
          <w:szCs w:val="22"/>
          <w:color w:val="auto"/>
        </w:rPr>
        <w:t>In addition, notwithstanding the foregoing, any amendment or waiver of the conditions in Section 3.3 shall require the consent of the Required Lenders as of the date of such amendment or waiver.</w:t>
      </w:r>
    </w:p>
    <w:p>
      <w:pPr>
        <w:spacing w:after="0" w:line="158"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 xml:space="preserve">In addition, notwithstanding the foregoing, this Agreement may be amended (or amended and restated) with the written consent of the Required Lenders (as determined hereunder prior to any such amendment or amendment and restatement), the Administrative Agent and the Borrower (i) to add one (1) or more additional credit facilities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 and (ii) to include appropriately the Lenders holding such credit facilities in any determination of the Required Lenders, the Required RC/TLA Lenders, the Required RC Lenders and other definitions related to such new credit facilities;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be obligated to commit to or hold any part of such credit facilities.</w:t>
      </w:r>
    </w:p>
    <w:p>
      <w:pPr>
        <w:spacing w:after="0" w:line="182" w:lineRule="exact"/>
        <w:rPr>
          <w:sz w:val="20"/>
          <w:szCs w:val="20"/>
          <w:color w:val="auto"/>
        </w:rPr>
      </w:pPr>
    </w:p>
    <w:p>
      <w:pPr>
        <w:ind w:left="1080" w:hanging="424"/>
        <w:spacing w:after="0"/>
        <w:tabs>
          <w:tab w:leader="none" w:pos="108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right="260" w:firstLine="656"/>
        <w:spacing w:after="0" w:line="257" w:lineRule="auto"/>
        <w:tabs>
          <w:tab w:leader="none" w:pos="1068"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waiver, amendment, modification, supplement or consent made or given pursuant to this Section 10.11 shall be effective only in the specific instance and for the specific purpose for which given, and such waiver, amendment, modification or supplement shall apply equally to each of the Lenders and shall be binding on the Loan Parties, the Lenders, the Administrative Agent and all future holders of the Loans and Revolving Credit Commitments.</w:t>
      </w:r>
    </w:p>
    <w:p>
      <w:pPr>
        <w:spacing w:after="0" w:line="168" w:lineRule="exact"/>
        <w:rPr>
          <w:sz w:val="20"/>
          <w:szCs w:val="20"/>
          <w:color w:val="auto"/>
        </w:rPr>
      </w:pPr>
    </w:p>
    <w:p>
      <w:pPr>
        <w:ind w:right="46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i w:val="1"/>
          <w:iCs w:val="1"/>
          <w:color w:val="auto"/>
        </w:rPr>
        <w:t>Heading</w:t>
      </w:r>
      <w:r>
        <w:rPr>
          <w:rFonts w:ascii="Times New Roman" w:cs="Times New Roman" w:eastAsia="Times New Roman" w:hAnsi="Times New Roman"/>
          <w:sz w:val="18"/>
          <w:szCs w:val="18"/>
          <w:color w:val="auto"/>
        </w:rPr>
        <w:t>. Section headings and the Table of Contents used in this Agreement are for reference only and shall not affect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construction of this Agreement.</w:t>
      </w:r>
    </w:p>
    <w:p>
      <w:pPr>
        <w:sectPr>
          <w:pgSz w:w="11900" w:h="16838" w:orient="portrait"/>
          <w:cols w:equalWidth="0" w:num="1">
            <w:col w:w="11420"/>
          </w:cols>
          <w:pgMar w:left="240" w:top="625" w:right="239" w:bottom="1440" w:gutter="0" w:footer="0" w:header="0"/>
        </w:sectPr>
      </w:pPr>
    </w:p>
    <w:bookmarkStart w:id="322" w:name="page323"/>
    <w:bookmarkEnd w:id="322"/>
    <w:p>
      <w:pPr>
        <w:ind w:left="4"/>
        <w:spacing w:after="0"/>
        <w:tabs>
          <w:tab w:leader="none" w:pos="1343" w:val="left"/>
        </w:tabs>
        <w:rPr>
          <w:sz w:val="20"/>
          <w:szCs w:val="20"/>
          <w:color w:val="auto"/>
        </w:rPr>
      </w:pPr>
      <w:r>
        <w:rPr>
          <w:rFonts w:ascii="Times New Roman" w:cs="Times New Roman" w:eastAsia="Times New Roman" w:hAnsi="Times New Roman"/>
          <w:sz w:val="22"/>
          <w:szCs w:val="22"/>
          <w:color w:val="auto"/>
        </w:rPr>
        <w:t>Section 10.13</w:t>
      </w:r>
      <w:r>
        <w:rPr>
          <w:sz w:val="20"/>
          <w:szCs w:val="20"/>
          <w:color w:val="auto"/>
        </w:rPr>
        <w:tab/>
      </w:r>
      <w:r>
        <w:rPr>
          <w:rFonts w:ascii="Times New Roman" w:cs="Times New Roman" w:eastAsia="Times New Roman" w:hAnsi="Times New Roman"/>
          <w:sz w:val="21"/>
          <w:szCs w:val="21"/>
          <w:i w:val="1"/>
          <w:iCs w:val="1"/>
          <w:color w:val="auto"/>
        </w:rPr>
        <w:t>Costs and Expenses; Indemnification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656" w:firstLine="656"/>
        <w:spacing w:after="0" w:line="248" w:lineRule="auto"/>
        <w:tabs>
          <w:tab w:leader="none" w:pos="412"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all reasonable and documented out-of-pocket costs and expenses (on the Closing Date or within thirty (30) days of a written demand therefor, together with reasonable backup documentation supporting such reimbursement request) of (i) the Administrative Agent, L/C Issuers and Joint Lead Arrangers in connection with the syndication of the Facilities and the preparation, execution, delivery and administration of the Loan Documents, (ii) the Administrative Agent and the L/C Issuers in connection with any amendment, modification, supplement, waiver or consent related to the Loan Documents, together with any fees and charges suffered or incurred by the Administrative Agent in connection with collateral filing fees and lien searches and (iii) the Administrative Agent, L/C Issuers and the Lenders (within thirty (30) days of a written demand therefor together with reasonable backup documentation supporting such reimbursement request) in connection with the enforcement of the Loan Documents.</w:t>
      </w:r>
    </w:p>
    <w:p>
      <w:pPr>
        <w:spacing w:after="0" w:line="186" w:lineRule="exact"/>
        <w:rPr>
          <w:rFonts w:ascii="Times New Roman" w:cs="Times New Roman" w:eastAsia="Times New Roman" w:hAnsi="Times New Roman"/>
          <w:sz w:val="22"/>
          <w:szCs w:val="22"/>
          <w:color w:val="auto"/>
        </w:rPr>
      </w:pPr>
    </w:p>
    <w:p>
      <w:pPr>
        <w:ind w:left="-656" w:right="40" w:firstLine="656"/>
        <w:spacing w:after="0" w:line="257" w:lineRule="auto"/>
        <w:tabs>
          <w:tab w:leader="none" w:pos="424"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further agrees to indemnify the Administrative Agent in its capacity as such, each Joint Lead Arranger, each L/C Issuer and each Lender, their respective Affiliates and controlling Persons and the respective directors, officers, employees, partners, advisors, agents and other representatives of the foregoing against all Damages (including, without limitation, reasonable attorney’s fees and other expenses of litigation or preparation therefor, whether or not the indemnified person is a party thereto, or any settlement arrangement arising from or relating to any such litigation) which any of them may pay or incur arising out of or relating to (x) any Loan Document, any of the transactions contemplated thereby, the Facilities, the syndication of the Facilities, the direct or indirect application or proposed application of the proceeds of any Loan or Letter of Credit or the Transactions or (y) any Environmental Liability relating to the Borrower or any Restricted Subsidiary, including without limitation, with respect to the actual or alleged presence, Release or threat of Release of any Hazardous Materials at, on, under or from any property currently or formerly owned or operated by the Borrower or any Restricted Subsidiary, other than those in each of the cases of clauses (x) and (y) above which (i) arise from the gross negligence, willful misconduct or bad faith of, or material breach of the Loan Documents by, the party claiming indemnification (or any of its respective directors, officers, employees, advisors, agents and Affiliates), in each case, to the extent determined by a court of competent jurisdiction in a final and non-appealable judgment or (ii) arise out of any dispute solely among indemnified persons (other than in connection with any agent or arranger acting in its capacity as the Administrative Agent, an L/C Issuer, a Joint Lead Arranger or any other agent, co-agent, arranger or similar role, in each case in their respective capacities as such, or in connection with any syndication activities) that did not arise out of any act or omission of the Borrower or any of its Affiliates. Notwithstanding the foregoing, each indemnified person shall be obligated to refund and return any and all amounts paid by the Borrower to such indemnified person for fees, expenses or damages to the extent such indemnified person is not entitled to payment of such amounts in accordance with the terms hereof. No indemnified person and no Loan Party shall have any liability for any special, punitive, indirect or</w:t>
      </w:r>
    </w:p>
    <w:p>
      <w:pPr>
        <w:sectPr>
          <w:pgSz w:w="11900" w:h="16838" w:orient="portrait"/>
          <w:cols w:equalWidth="0" w:num="1">
            <w:col w:w="10744"/>
          </w:cols>
          <w:pgMar w:left="896" w:top="621" w:right="259" w:bottom="1440" w:gutter="0" w:footer="0" w:header="0"/>
        </w:sectPr>
      </w:pPr>
    </w:p>
    <w:bookmarkStart w:id="323" w:name="page324"/>
    <w:bookmarkEnd w:id="323"/>
    <w:p>
      <w:pPr>
        <w:spacing w:after="0" w:line="259" w:lineRule="auto"/>
        <w:rPr>
          <w:sz w:val="20"/>
          <w:szCs w:val="20"/>
          <w:color w:val="auto"/>
        </w:rPr>
      </w:pPr>
      <w:r>
        <w:rPr>
          <w:rFonts w:ascii="Times New Roman" w:cs="Times New Roman" w:eastAsia="Times New Roman" w:hAnsi="Times New Roman"/>
          <w:sz w:val="21"/>
          <w:szCs w:val="21"/>
          <w:color w:val="auto"/>
        </w:rPr>
        <w:t xml:space="preserve">consequential damages relating to this Agreement or any other Loan Document or arising out of its activities in connection herewith or therewith (whether before or after the Closing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nothing in this sentence shall limit any Loan Party’s indemnity and reimbursement obligations to the extent that such special, punitive, indirect or consequential damages are included in any claim by a third party unaffiliated with any of the indemnified persons with respect to which the applicable indemnified person is entitled to indemnification as set forth in the immediately preceding sentence. No indemnified person nor any other party hereto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any such damages arise from the gross negligence, bad faith or willful misconduct of, or material breach of the Loan Documents by, such indemnified person (or any of its respective directors, officers, employees, advisors, agents and Affiliates) or such other party hereto, as applicable, in each case to the extent determined by a court of competent jurisdiction in a final and non-appealable judgment.</w:t>
      </w:r>
    </w:p>
    <w:p>
      <w:pPr>
        <w:spacing w:after="0" w:line="172" w:lineRule="exact"/>
        <w:rPr>
          <w:sz w:val="20"/>
          <w:szCs w:val="20"/>
          <w:color w:val="auto"/>
        </w:rPr>
      </w:pPr>
    </w:p>
    <w:p>
      <w:pPr>
        <w:ind w:right="20" w:firstLine="656"/>
        <w:spacing w:after="0" w:line="248" w:lineRule="auto"/>
        <w:tabs>
          <w:tab w:leader="none" w:pos="1068"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of the foregoing clauses (a) or (b) to the contrary, in no event shall the Borrower be obligated to pay for the legal expenses or fees of more than one (1) firm of outside counsel and, if reasonably necessary, one (1) local counsel in any relevant jurisdiction or otherwise retained with the Borrower’s consent (not to be unreasonably withheld or delayed), to the Administrative Agent, or the Administrative Agent, the L/C Issuers, the Joint Lead Arrangers and the Lenders, taken as a whole, as the case may be, except, solely in the case of a conflict of interest under clauses (a)(iii) or (b) above, one (1) additional counsel to all affected persons similarly situated, taken as a whole, and if reasonably necessary, one (1) additional local counsel in each relevant jurisdiction or otherwise retained with Borrower’s consent (not to be unreasonably withheld or delayed) to all affected persons similarly situated, taken as a whole. The obligations of the Borrower under this Section 10.13 shall survive the termination of this Agreement.</w:t>
      </w:r>
    </w:p>
    <w:p>
      <w:pPr>
        <w:spacing w:after="0" w:line="182"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i w:val="1"/>
          <w:iCs w:val="1"/>
          <w:color w:val="auto"/>
        </w:rPr>
        <w:t>Set-off</w:t>
      </w:r>
      <w:r>
        <w:rPr>
          <w:rFonts w:ascii="Times New Roman" w:cs="Times New Roman" w:eastAsia="Times New Roman" w:hAnsi="Times New Roman"/>
          <w:sz w:val="18"/>
          <w:szCs w:val="18"/>
          <w:color w:val="auto"/>
        </w:rPr>
        <w:t>. In addition to any rights now or hereafter granted under Applicable Law and not by way of limitation of any such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but subject to Section 10.2, upon the occurrence and during the continuation of any Event of Default, each Lender and each subsequent holder of any Obligation is hereby authorized by the Borrower at any time or from time to time, without prior notice to the Borrower or to any other Person, any such notice being hereby expressly waived, to set-off and to appropriate and to apply any and all deposits (general or special, including, but not limited to, indebtedness evidenced by certificates of deposit, whether matured or unmatured, but not including trust accounts, and in whatever currency denominated) and any other indebtedness at any time held or owing by that Lender or that subsequent holder to or for the credit or the account of the Borrower, whether or not matured, against and on account of any amount due and payable by the Borrower hereunder. Each Lender or any such subsequent holder of any Obligations agrees to promptly notify the Borrower and the Administrative Agent after any such set-off and application made by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ectPr>
          <w:pgSz w:w="11900" w:h="16838" w:orient="portrait"/>
          <w:cols w:equalWidth="0" w:num="1">
            <w:col w:w="11400"/>
          </w:cols>
          <w:pgMar w:left="240" w:top="625" w:right="259" w:bottom="1440" w:gutter="0" w:footer="0" w:header="0"/>
        </w:sectPr>
      </w:pPr>
    </w:p>
    <w:bookmarkStart w:id="324" w:name="page325"/>
    <w:bookmarkEnd w:id="324"/>
    <w:p>
      <w:pPr>
        <w:ind w:right="24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18"/>
          <w:szCs w:val="18"/>
          <w:color w:val="auto"/>
        </w:rPr>
        <w:t>. The Loan Documents constitute the entire understanding of the parties thereto with respect to the 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matter thereof and any prior agreements, whether written or oral, with respect thereto are superseded hereby.</w:t>
      </w:r>
    </w:p>
    <w:p>
      <w:pPr>
        <w:spacing w:after="0" w:line="188"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18"/>
          <w:szCs w:val="18"/>
          <w:color w:val="auto"/>
        </w:rPr>
        <w:t>. This Agreement and the rights and obligations of the parties hereunder shall be governed by, and construed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and interpreted in accordance with, the law of the State of New York;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 governing law provision of the Loan Documents, (a) the interpretation of the definition of “</w:t>
      </w:r>
      <w:r>
        <w:rPr>
          <w:rFonts w:ascii="Times New Roman" w:cs="Times New Roman" w:eastAsia="Times New Roman" w:hAnsi="Times New Roman"/>
          <w:sz w:val="18"/>
          <w:szCs w:val="18"/>
          <w:i w:val="1"/>
          <w:iCs w:val="1"/>
          <w:color w:val="auto"/>
        </w:rPr>
        <w:t>Company Material Adverse Effect</w:t>
      </w:r>
      <w:r>
        <w:rPr>
          <w:rFonts w:ascii="Times New Roman" w:cs="Times New Roman" w:eastAsia="Times New Roman" w:hAnsi="Times New Roman"/>
          <w:sz w:val="18"/>
          <w:szCs w:val="18"/>
          <w:color w:val="auto"/>
        </w:rPr>
        <w:t>” (and whether or not a Company Material Adverse Effect has occurred), (b) the determination of the accuracy of any Specified Acquisition Agreement Representation and whether as a result of any inaccuracy thereof either the Borrower or its applicable affiliate has the right to terminate its obligations under the Acquisition Agreement or to decline to consummate the Schrader Acquisition and</w:t>
      </w:r>
    </w:p>
    <w:p>
      <w:pPr>
        <w:spacing w:after="0" w:line="4" w:lineRule="exact"/>
        <w:rPr>
          <w:sz w:val="20"/>
          <w:szCs w:val="20"/>
          <w:color w:val="auto"/>
        </w:rPr>
      </w:pPr>
    </w:p>
    <w:p>
      <w:pPr>
        <w:ind w:right="20" w:firstLine="8"/>
        <w:spacing w:after="0" w:line="338" w:lineRule="auto"/>
        <w:tabs>
          <w:tab w:leader="none" w:pos="245"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whether the Schrader Acquisition has been consummated in accordance with the terms of Acquisition Agreement and, in any case, claims or disputes arising out of any such interpretation or determination or any aspect thereof shall, in each case, be governed by, and construed in accordance with, the laws of the State of Delaware, regardless of the laws that might otherwise govern under applicable principles of conflicts of laws thereof.</w:t>
      </w:r>
    </w:p>
    <w:p>
      <w:pPr>
        <w:spacing w:after="0" w:line="133"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i w:val="1"/>
          <w:iCs w:val="1"/>
          <w:color w:val="auto"/>
        </w:rPr>
        <w:t>Severability of Provisions</w:t>
      </w:r>
      <w:r>
        <w:rPr>
          <w:rFonts w:ascii="Times New Roman" w:cs="Times New Roman" w:eastAsia="Times New Roman" w:hAnsi="Times New Roman"/>
          <w:sz w:val="18"/>
          <w:szCs w:val="18"/>
          <w:color w:val="auto"/>
        </w:rPr>
        <w:t>. Any provision of any Loan Document which is unenforceable in any jurisdiction shall, as to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174"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21"/>
          <w:szCs w:val="21"/>
          <w:color w:val="auto"/>
        </w:rPr>
        <w:t xml:space="preserve">Section 10.18 </w:t>
      </w:r>
      <w:r>
        <w:rPr>
          <w:rFonts w:ascii="Times New Roman" w:cs="Times New Roman" w:eastAsia="Times New Roman" w:hAnsi="Times New Roman"/>
          <w:sz w:val="21"/>
          <w:szCs w:val="21"/>
          <w:i w:val="1"/>
          <w:iCs w:val="1"/>
          <w:color w:val="auto"/>
        </w:rPr>
        <w:t>Excess Interest</w:t>
      </w:r>
      <w:r>
        <w:rPr>
          <w:rFonts w:ascii="Times New Roman" w:cs="Times New Roman" w:eastAsia="Times New Roman" w:hAnsi="Times New Roman"/>
          <w:sz w:val="17"/>
          <w:szCs w:val="17"/>
          <w:color w:val="auto"/>
        </w:rPr>
        <w:t>. Notwithstanding any provision to the contrary contained herein or in any other Loan Document, no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Times New Roman" w:cs="Times New Roman" w:eastAsia="Times New Roman" w:hAnsi="Times New Roman"/>
          <w:sz w:val="17"/>
          <w:szCs w:val="17"/>
          <w:i w:val="1"/>
          <w:iCs w:val="1"/>
          <w:color w:val="auto"/>
        </w:rPr>
        <w:t>Excess Interest</w:t>
      </w:r>
      <w:r>
        <w:rPr>
          <w:rFonts w:ascii="Times New Roman" w:cs="Times New Roman" w:eastAsia="Times New Roman" w:hAnsi="Times New Roman"/>
          <w:sz w:val="17"/>
          <w:szCs w:val="17"/>
          <w:color w:val="auto"/>
        </w:rPr>
        <w:t>”). If any Excess Interest is provided for, or is adjudicated to be provided for, herein or in any other Loan Document, then in such event (a) the provisions of this Section 10.18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Borrower, or (iii) any combination of the foregoing,</w:t>
      </w:r>
    </w:p>
    <w:p>
      <w:pPr>
        <w:ind w:right="40" w:firstLine="8"/>
        <w:spacing w:after="0" w:line="302" w:lineRule="auto"/>
        <w:tabs>
          <w:tab w:leader="none" w:pos="2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payable hereunder or under any other Loan Document shall be automatically subject to reduction to the maximum lawful contract rate allowed under applicable usury laws (the “</w:t>
      </w:r>
      <w:r>
        <w:rPr>
          <w:rFonts w:ascii="Times New Roman" w:cs="Times New Roman" w:eastAsia="Times New Roman" w:hAnsi="Times New Roman"/>
          <w:sz w:val="18"/>
          <w:szCs w:val="18"/>
          <w:i w:val="1"/>
          <w:iCs w:val="1"/>
          <w:color w:val="auto"/>
        </w:rPr>
        <w:t>Maximum Rate</w:t>
      </w:r>
      <w:r>
        <w:rPr>
          <w:rFonts w:ascii="Times New Roman" w:cs="Times New Roman" w:eastAsia="Times New Roman" w:hAnsi="Times New Roman"/>
          <w:sz w:val="18"/>
          <w:szCs w:val="18"/>
          <w:color w:val="auto"/>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sectPr>
          <w:pgSz w:w="11900" w:h="16838" w:orient="portrait"/>
          <w:cols w:equalWidth="0" w:num="1">
            <w:col w:w="11420"/>
          </w:cols>
          <w:pgMar w:left="240" w:top="621" w:right="239" w:bottom="1440" w:gutter="0" w:footer="0" w:header="0"/>
        </w:sectPr>
      </w:pPr>
    </w:p>
    <w:bookmarkStart w:id="325" w:name="page326"/>
    <w:bookmarkEnd w:id="325"/>
    <w:p>
      <w:pPr>
        <w:ind w:right="80" w:firstLine="648"/>
        <w:spacing w:after="0" w:line="285" w:lineRule="auto"/>
        <w:rPr>
          <w:sz w:val="20"/>
          <w:szCs w:val="20"/>
          <w:color w:val="auto"/>
        </w:rPr>
      </w:pPr>
      <w:r>
        <w:rPr>
          <w:rFonts w:ascii="Times New Roman" w:cs="Times New Roman" w:eastAsia="Times New Roman" w:hAnsi="Times New Roman"/>
          <w:sz w:val="22"/>
          <w:szCs w:val="22"/>
          <w:color w:val="auto"/>
        </w:rPr>
        <w:t xml:space="preserve">Section 10.19 </w:t>
      </w:r>
      <w:r>
        <w:rPr>
          <w:rFonts w:ascii="Times New Roman" w:cs="Times New Roman" w:eastAsia="Times New Roman" w:hAnsi="Times New Roman"/>
          <w:sz w:val="22"/>
          <w:szCs w:val="22"/>
          <w:i w:val="1"/>
          <w:iCs w:val="1"/>
          <w:color w:val="auto"/>
        </w:rPr>
        <w:t>Construction</w:t>
      </w:r>
      <w:r>
        <w:rPr>
          <w:rFonts w:ascii="Times New Roman" w:cs="Times New Roman" w:eastAsia="Times New Roman" w:hAnsi="Times New Roman"/>
          <w:sz w:val="18"/>
          <w:szCs w:val="18"/>
          <w:color w:val="auto"/>
        </w:rPr>
        <w:t>. The parties acknowledge and agree that the Loan Documents shall not be construed more favorably in favor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any party hereto based upon which party drafted the same, it being acknowledged that all parties hereto contributed substantially to the negotiation of the Loan Documents. The provisions of this Agreement relating to Subsidiaries shall apply only during such times as the Borrower has one (1) or more Subsidiaries. In the event of any conflict or inconsistency between or among this Agreement and the other Loan Documents, the terms and conditions of this Agreement shall govern and control.</w:t>
      </w:r>
    </w:p>
    <w:p>
      <w:pPr>
        <w:spacing w:after="0" w:line="174"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22"/>
          <w:szCs w:val="22"/>
          <w:color w:val="auto"/>
        </w:rPr>
        <w:t xml:space="preserve">Section 10.20 </w:t>
      </w:r>
      <w:r>
        <w:rPr>
          <w:rFonts w:ascii="Times New Roman" w:cs="Times New Roman" w:eastAsia="Times New Roman" w:hAnsi="Times New Roman"/>
          <w:sz w:val="22"/>
          <w:szCs w:val="22"/>
          <w:i w:val="1"/>
          <w:iCs w:val="1"/>
          <w:color w:val="auto"/>
        </w:rPr>
        <w:t>Lender’s Obligations Several</w:t>
      </w:r>
      <w:r>
        <w:rPr>
          <w:rFonts w:ascii="Times New Roman" w:cs="Times New Roman" w:eastAsia="Times New Roman" w:hAnsi="Times New Roman"/>
          <w:sz w:val="18"/>
          <w:szCs w:val="18"/>
          <w:color w:val="auto"/>
        </w:rPr>
        <w:t>. The obligations of the Lenders hereunder are several and not joint and no Lender shall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responsible for the failure of any other Lender to satisfy its obligations hereunder except as otherwise set forth in this Agreement. Nothing contained in this Agreement and no action taken by the Lenders pursuant hereto shall be deemed to constitute the Lenders a partnership, association, joint venture or other entity.</w:t>
      </w:r>
    </w:p>
    <w:p>
      <w:pPr>
        <w:spacing w:after="0" w:line="179"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10.21 </w:t>
      </w:r>
      <w:r>
        <w:rPr>
          <w:rFonts w:ascii="Times New Roman" w:cs="Times New Roman" w:eastAsia="Times New Roman" w:hAnsi="Times New Roman"/>
          <w:sz w:val="22"/>
          <w:szCs w:val="22"/>
          <w:i w:val="1"/>
          <w:iCs w:val="1"/>
          <w:color w:val="auto"/>
        </w:rPr>
        <w:t>USA Patriot Act</w:t>
      </w:r>
      <w:r>
        <w:rPr>
          <w:rFonts w:ascii="Times New Roman" w:cs="Times New Roman" w:eastAsia="Times New Roman" w:hAnsi="Times New Roman"/>
          <w:sz w:val="18"/>
          <w:szCs w:val="18"/>
          <w:color w:val="auto"/>
        </w:rPr>
        <w:t>. Each Lender and each Agent hereby notifies each Loan Party that pursuant to the requirements of the Patriot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Act it is required to obtain, verify and record information that identifies each Loan Party, which information includes the name and address of each Loan Party and other information that will allow such Lender and/or Agent to identify each Loan Party in accordance with the Patriot Act.</w:t>
      </w:r>
    </w:p>
    <w:p>
      <w:pPr>
        <w:spacing w:after="0" w:line="171" w:lineRule="exact"/>
        <w:rPr>
          <w:sz w:val="20"/>
          <w:szCs w:val="20"/>
          <w:color w:val="auto"/>
        </w:rPr>
      </w:pPr>
    </w:p>
    <w:p>
      <w:pPr>
        <w:ind w:firstLine="648"/>
        <w:spacing w:after="0" w:line="293" w:lineRule="auto"/>
        <w:rPr>
          <w:sz w:val="20"/>
          <w:szCs w:val="20"/>
          <w:color w:val="auto"/>
        </w:rPr>
      </w:pPr>
      <w:r>
        <w:rPr>
          <w:rFonts w:ascii="Times New Roman" w:cs="Times New Roman" w:eastAsia="Times New Roman" w:hAnsi="Times New Roman"/>
          <w:sz w:val="22"/>
          <w:szCs w:val="22"/>
          <w:color w:val="auto"/>
        </w:rPr>
        <w:t xml:space="preserve">Section 10.22 </w:t>
      </w:r>
      <w:r>
        <w:rPr>
          <w:rFonts w:ascii="Times New Roman" w:cs="Times New Roman" w:eastAsia="Times New Roman" w:hAnsi="Times New Roman"/>
          <w:sz w:val="22"/>
          <w:szCs w:val="22"/>
          <w:i w:val="1"/>
          <w:iCs w:val="1"/>
          <w:color w:val="auto"/>
        </w:rPr>
        <w:t>Submission to Jurisdiction; Waiver of Jury Trial</w:t>
      </w:r>
      <w:r>
        <w:rPr>
          <w:rFonts w:ascii="Times New Roman" w:cs="Times New Roman" w:eastAsia="Times New Roman" w:hAnsi="Times New Roman"/>
          <w:sz w:val="18"/>
          <w:szCs w:val="18"/>
          <w:color w:val="auto"/>
        </w:rPr>
        <w:t>. Each of the parties hereto hereby submits to the exclusive jurisdiction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of the United States District Court for the Southern District of New York and of any New York State court sitting in New York City in the borough of Manhattan for purposes of all legal proceedings arising out of or relating to this Agreement, the other Loan Documents or the transactions contemplated hereby or thereby. Each of the parties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Each of the parties hereto agrees that a final judgment in any such proceeding shall be conclusive and may be enforced in other jurisdictions by suit on the judgment or in any other manner provided by law. Nothing in any Loan Document shall affect any right that (a) any party hereto may otherwise have to bring any proceeding relating to any Loan Document against any other party hereto or their respective properties in the courts of any jurisdiction (i) for purposes of enforcing a judgment or (ii) in connection with any pending bankruptcy, insolvency or similar proceeding in such jurisdiction or (b) the Administrative Agent, the Collateral Agent, any L/C Issuer or any Lender may otherwise have to bring any proceeding relating to any Loan Document against any Loan Party or their respective properties in the courts of any jurisdiction in connection with exercising remedies against any Collateral in a jurisdiction in which such Collateral is located. THE BORROWER, THE ADMINISTRATIVE AGENT, THE L/C ISSUERS AND THE LENDERS HEREBY IRREVOCABLY WAIVE ANY AND ALL RIGHT TO TRIAL BY JURY IN ANY LEGAL PROCEEDING ARISING OUT OF OR RELATING TO ANY LOAN DOCUMENT OR THE TRANSACTIONS CONTEMPLATED THEREBY.</w:t>
      </w:r>
    </w:p>
    <w:p>
      <w:pPr>
        <w:spacing w:after="0" w:line="172"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10.23 </w:t>
      </w:r>
      <w:r>
        <w:rPr>
          <w:rFonts w:ascii="Times New Roman" w:cs="Times New Roman" w:eastAsia="Times New Roman" w:hAnsi="Times New Roman"/>
          <w:sz w:val="22"/>
          <w:szCs w:val="22"/>
          <w:i w:val="1"/>
          <w:iCs w:val="1"/>
          <w:color w:val="auto"/>
        </w:rPr>
        <w:t>Treatment of Certain Information; Confidentiality</w:t>
      </w:r>
      <w:r>
        <w:rPr>
          <w:rFonts w:ascii="Times New Roman" w:cs="Times New Roman" w:eastAsia="Times New Roman" w:hAnsi="Times New Roman"/>
          <w:sz w:val="18"/>
          <w:szCs w:val="18"/>
          <w:color w:val="auto"/>
        </w:rPr>
        <w:t>. Each of the Administrative Agent, the Lenders and the L/C Issuers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 xml:space="preserve">agrees to maintain the confidentiality of the Information (as defined below), except that the Information may be disclosed (a) to its Affiliates and to its and its Affiliates’ respective directors, officers, employees, agents, advisors, insurers, insurance brokers, settlement service providers and other representatives on a “need to know basis” (it being understood that the Persons to whom such disclosure is made will be informed of the confidential nature of such Information and instructed to keep such Information confidential) solely in connection with the transactions contemplated or permitted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the Lenders or the L/C Issuers, as the case may be, shall be responsible for their respective Affiliates’ compliance with this clause, (b) to the extent requested by any regulatory authority having jurisdiction over such Person (including any self-regulatory authority, such as the National Association of Insurance Commissioners or any similar organization) or any nationally recognized rating agency that requires access to information about a Lender’s</w:t>
      </w:r>
    </w:p>
    <w:p>
      <w:pPr>
        <w:sectPr>
          <w:pgSz w:w="11900" w:h="16838" w:orient="portrait"/>
          <w:cols w:equalWidth="0" w:num="1">
            <w:col w:w="11360"/>
          </w:cols>
          <w:pgMar w:left="240" w:top="621" w:right="299" w:bottom="1440" w:gutter="0" w:footer="0" w:header="0"/>
        </w:sectPr>
      </w:pPr>
    </w:p>
    <w:bookmarkStart w:id="326" w:name="page327"/>
    <w:bookmarkEnd w:id="326"/>
    <w:p>
      <w:pPr>
        <w:spacing w:after="0" w:line="251" w:lineRule="auto"/>
        <w:rPr>
          <w:sz w:val="20"/>
          <w:szCs w:val="20"/>
          <w:color w:val="auto"/>
        </w:rPr>
      </w:pPr>
      <w:r>
        <w:rPr>
          <w:rFonts w:ascii="Times New Roman" w:cs="Times New Roman" w:eastAsia="Times New Roman" w:hAnsi="Times New Roman"/>
          <w:sz w:val="18"/>
          <w:szCs w:val="18"/>
          <w:color w:val="auto"/>
        </w:rPr>
        <w:t>investment portfolio in connection with ratings issued with respect to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any such disclosure, such rating agency shall undertake in writing to preserve the confidentiality of any confidential Information relating to the Loan Parties), (c) to the extent required by Applicable Laws or regulations or by any subpoena or similar legal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specifically prohibited by Applicable Law or court order, each Lender and the Administrative Agent shall promptly notify the Borrower in advance of any such disclosure,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not less restrictive than those of this Section 10.23, to (i) any assignee of or Participant in, or any prospective assignee of or Participant in, any of its rights or obligations under this Agreement (provided that, for the avoidance of doubt, to the extent that the list of Prohibited Lenders is made available to all Lenders, the “Information” for purposes of this clause (f)(i) shall include the list of Prohibited Lenders) or (ii) any actual or prospective counterparty (or its advisors) to any Hedge Agreement relating to the Borrower and its obligations, (g) with the consent of the Borrower, (h) (x) to any rating agency in connection with rating the Borrower or its Subsidiaries or the facilities evidenced by this Agreement or (y) the CUSIP Service Bureau or any similar agency in connection with the issuance and monitoring of CUSIP numbers with respect to the facilities evidenced by this Agreement, (i) to the extent such Information (x) becomes publicly available other than as a result of a breach of this Section 10.23 or (y) becomes available to the Administrative Agent, any Lender or any of their respective Affiliates on a nonconfidential basis from a source other than the Borrower, (j) for purposes of establishing a “due diligence” defense, (k) to the extent that such information is independently developed, so long as not based on information obtained in a manner that would otherwise violate this Section 10.23. In addition, the Agents and the Lenders may disclose the existence of this Agreement and customary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is advised of and agrees to be bound by the provisions of this Section 10.23. For purposes of this Section 10.23,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means all information received by the Administrative Agent, any Lender or any L/C Issuer, as the case may be, from the Borrower or any of its Subsidiaries relating to the Borrower or any of its Subsidiaries or any of their respective businesses (including any target company and its Subsidiaries in connection with contemplated or consummated Acquisition or other investment), other than any such information that is available to the Administrative Agent or any Lender on a nonconfidential basis prior to disclosure by the Borrower or any of its Subsidiaries. Any Person required to maintain the confidentiality of Information as provided in this Section 10.23 shall be considered to have complied with its obligation to do so if such Person has exercised the same degree of care to maintain the confidentiality of such Information as such Person would accord to its own confidential information. Notwithstanding the foregoing, the Administrative Agent and the Lenders agree not to disclose any Information to a Prohibited Lender.</w:t>
      </w:r>
    </w:p>
    <w:p>
      <w:pPr>
        <w:spacing w:after="0" w:line="209"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10.24 </w:t>
      </w:r>
      <w:r>
        <w:rPr>
          <w:rFonts w:ascii="Times New Roman" w:cs="Times New Roman" w:eastAsia="Times New Roman" w:hAnsi="Times New Roman"/>
          <w:sz w:val="22"/>
          <w:szCs w:val="22"/>
          <w:i w:val="1"/>
          <w:iCs w:val="1"/>
          <w:color w:val="auto"/>
        </w:rPr>
        <w:t>No Fiduciary Relationship</w:t>
      </w:r>
      <w:r>
        <w:rPr>
          <w:rFonts w:ascii="Times New Roman" w:cs="Times New Roman" w:eastAsia="Times New Roman" w:hAnsi="Times New Roman"/>
          <w:sz w:val="18"/>
          <w:szCs w:val="18"/>
          <w:color w:val="auto"/>
        </w:rPr>
        <w:t>. The Borrower acknowledges and agrees that the transactions contemplated by this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and the other Loan Documents (including the exercise of rights and remedies hereunder and thereunder) are arm’s length commercial transactions between the Agents and the Lenders, on the one hand, and the Loan Parties, on the other, and in connection therewith and with the process leading thereto, (i) the Agents and the Lenders have not assumed an advisory or fiduciary responsibility in favor of the Loan Parties, the Loan Parties’ equity holders or the Loan Parties’ Affiliates with respect to the transactions contemplated hereby (or the exercise of rights or remedies with respect thereto) or the process leading thereto (irrespective of whether such Agent and/or Lender has advised, is currently advising or will advise the Loan Parties, the Loan Parties’ equity holders or the Loan Parties’ Affiliates on other matters) or any other obligation to the Loan Parties except the obligations expressly set forth in this Agreement and the other Loan Documents and (ii) such Agent and/or Lender is acting solely as a principal and not as a fiduciary of the Loan Parties, the Loan Parties’ management, equity holders, Affiliates, creditors or any other Person or their respective Affiliates. Each Agent, each Lender and their Affiliates may have economic interests that conflict with the economic interests of the Borrower or any of its Subsidiaries, their stockholders and/or their Affiliates.</w:t>
      </w:r>
    </w:p>
    <w:p>
      <w:pPr>
        <w:sectPr>
          <w:pgSz w:w="11900" w:h="16838" w:orient="portrait"/>
          <w:cols w:equalWidth="0" w:num="1">
            <w:col w:w="11420"/>
          </w:cols>
          <w:pgMar w:left="240" w:top="619" w:right="239" w:bottom="1440" w:gutter="0" w:footer="0" w:header="0"/>
        </w:sectPr>
      </w:pPr>
    </w:p>
    <w:bookmarkStart w:id="327" w:name="page328"/>
    <w:bookmarkEnd w:id="327"/>
    <w:p>
      <w:pPr>
        <w:ind w:left="4"/>
        <w:spacing w:after="0"/>
        <w:tabs>
          <w:tab w:leader="none" w:pos="1343" w:val="left"/>
        </w:tabs>
        <w:rPr>
          <w:sz w:val="20"/>
          <w:szCs w:val="20"/>
          <w:color w:val="auto"/>
        </w:rPr>
      </w:pPr>
      <w:r>
        <w:rPr>
          <w:rFonts w:ascii="Times New Roman" w:cs="Times New Roman" w:eastAsia="Times New Roman" w:hAnsi="Times New Roman"/>
          <w:sz w:val="22"/>
          <w:szCs w:val="22"/>
          <w:color w:val="auto"/>
        </w:rPr>
        <w:t>Section 10.25</w:t>
      </w:r>
      <w:r>
        <w:rPr>
          <w:sz w:val="20"/>
          <w:szCs w:val="20"/>
          <w:color w:val="auto"/>
        </w:rPr>
        <w:tab/>
      </w:r>
      <w:r>
        <w:rPr>
          <w:rFonts w:ascii="Times New Roman" w:cs="Times New Roman" w:eastAsia="Times New Roman" w:hAnsi="Times New Roman"/>
          <w:sz w:val="21"/>
          <w:szCs w:val="21"/>
          <w:i w:val="1"/>
          <w:iCs w:val="1"/>
          <w:color w:val="auto"/>
        </w:rPr>
        <w:t>Platform; Borrower Materials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656" w:right="80" w:firstLine="656"/>
        <w:spacing w:after="0" w:line="245" w:lineRule="auto"/>
        <w:tabs>
          <w:tab w:leader="none" w:pos="41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acknowledges that (a) the Administrative Agent and/or the Joint Lead Arrangers will make available to the Lenders and the L/C Issuers materials and/or information provided by or on behalf of the Borrower hereunder (collectively, “</w:t>
      </w:r>
      <w:r>
        <w:rPr>
          <w:rFonts w:ascii="Times New Roman" w:cs="Times New Roman" w:eastAsia="Times New Roman" w:hAnsi="Times New Roman"/>
          <w:sz w:val="22"/>
          <w:szCs w:val="22"/>
          <w:i w:val="1"/>
          <w:iCs w:val="1"/>
          <w:color w:val="auto"/>
        </w:rPr>
        <w:t>Borrower Materials</w:t>
      </w:r>
      <w:r>
        <w:rPr>
          <w:rFonts w:ascii="Times New Roman" w:cs="Times New Roman" w:eastAsia="Times New Roman" w:hAnsi="Times New Roman"/>
          <w:sz w:val="22"/>
          <w:szCs w:val="22"/>
          <w:color w:val="auto"/>
        </w:rPr>
        <w:t>”) by posting the Borrower Materials on Intralinks or another similar electronic system (the “</w:t>
      </w:r>
      <w:r>
        <w:rPr>
          <w:rFonts w:ascii="Times New Roman" w:cs="Times New Roman" w:eastAsia="Times New Roman" w:hAnsi="Times New Roman"/>
          <w:sz w:val="22"/>
          <w:szCs w:val="22"/>
          <w:i w:val="1"/>
          <w:iCs w:val="1"/>
          <w:color w:val="auto"/>
        </w:rPr>
        <w:t>Platform</w:t>
      </w:r>
      <w:r>
        <w:rPr>
          <w:rFonts w:ascii="Times New Roman" w:cs="Times New Roman" w:eastAsia="Times New Roman" w:hAnsi="Times New Roman"/>
          <w:sz w:val="22"/>
          <w:szCs w:val="22"/>
          <w:color w:val="auto"/>
        </w:rPr>
        <w:t>”), and (b) certain of the Lenders may be “public-side” Lenders (i.e., Lenders that do not wish to receive material non-public information (within the meaning of the United States federal and state securities laws) with respect to the Borrower or their respective Subsidiaries or any of their respective securities) (each, a “</w:t>
      </w:r>
      <w:r>
        <w:rPr>
          <w:rFonts w:ascii="Times New Roman" w:cs="Times New Roman" w:eastAsia="Times New Roman" w:hAnsi="Times New Roman"/>
          <w:sz w:val="22"/>
          <w:szCs w:val="22"/>
          <w:i w:val="1"/>
          <w:iCs w:val="1"/>
          <w:color w:val="auto"/>
        </w:rPr>
        <w:t>Public Lender</w:t>
      </w:r>
      <w:r>
        <w:rPr>
          <w:rFonts w:ascii="Times New Roman" w:cs="Times New Roman" w:eastAsia="Times New Roman" w:hAnsi="Times New Roman"/>
          <w:sz w:val="22"/>
          <w:szCs w:val="22"/>
          <w:color w:val="auto"/>
        </w:rPr>
        <w:t>”). The Borrower hereby agrees that it will identify that portion of the Borrower Materials that may be distributed to the Public Lenders and that (i) all such Borrower Materials shall be clearly and conspicuously marked “PUBLIC” which, at a minimum, shall mean that the word “PUBLIC” shall appear prominently on the first page thereof, (ii) all Borrower Materials marked “PUBLIC” are permitted to be made available through a portion of the Platform designated “Public Investor” and (iii) the Administrative Agent and the Joint Lead Arrangers shall be entitled to treat any Borrower Materials that are not marked “PUBLIC” as being suitable only for posting on a portion of the Platform not designated “Public Investor.” THE PLATFORM IS PROVIDED “AS IS” AND “AS AVAILABLE”. THE ADMINISTRATIVE AGENT, ITS RELATED PARTIES AND THE JOINT LEAD ARRANGERS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OR ITS RELATED PARTIES OR ANY JOINT LEAD ARRANGER IN CONNECTION WITH THE BORROWER MATERIALS OR THE PLATFORM.</w:t>
      </w:r>
    </w:p>
    <w:p>
      <w:pPr>
        <w:spacing w:after="0" w:line="196" w:lineRule="exact"/>
        <w:rPr>
          <w:rFonts w:ascii="Times New Roman" w:cs="Times New Roman" w:eastAsia="Times New Roman" w:hAnsi="Times New Roman"/>
          <w:sz w:val="22"/>
          <w:szCs w:val="22"/>
          <w:color w:val="auto"/>
        </w:rPr>
      </w:pPr>
    </w:p>
    <w:p>
      <w:pPr>
        <w:ind w:left="-656" w:firstLine="656"/>
        <w:spacing w:after="0" w:line="249" w:lineRule="auto"/>
        <w:tabs>
          <w:tab w:leader="none" w:pos="424"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acknowledges that all information, including requests for waivers and amendments, furnished by the Borrower or the Administrative Agent pursuant to or in connection with, or in the course of administering, this Agreement will be syndicate-level information, which may contain material non-public information. Each Lender represents to the Borrower and the Administrative Agent that (i) it has developed compliance procedures regarding the use of material non-public information and that it will handle material non-public information in accordance with such procedures and applicable law, including Federal, state and foreign securities laws, and (ii) it has identified in its Administrative Questionnaire a credit contact who may receive information that may contain material non-public information in accordance with its compliance procedures and applicable law, including Federal, state and foreign securities laws.</w:t>
      </w:r>
    </w:p>
    <w:p>
      <w:pPr>
        <w:sectPr>
          <w:pgSz w:w="11900" w:h="16838" w:orient="portrait"/>
          <w:cols w:equalWidth="0" w:num="1">
            <w:col w:w="10724"/>
          </w:cols>
          <w:pgMar w:left="896" w:top="621" w:right="279" w:bottom="1440" w:gutter="0" w:footer="0" w:header="0"/>
        </w:sectPr>
      </w:pPr>
    </w:p>
    <w:bookmarkStart w:id="328" w:name="page329"/>
    <w:bookmarkEnd w:id="328"/>
    <w:p>
      <w:pPr>
        <w:ind w:right="220"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10.26 </w:t>
      </w:r>
      <w:r>
        <w:rPr>
          <w:rFonts w:ascii="Times New Roman" w:cs="Times New Roman" w:eastAsia="Times New Roman" w:hAnsi="Times New Roman"/>
          <w:sz w:val="22"/>
          <w:szCs w:val="22"/>
          <w:i w:val="1"/>
          <w:iCs w:val="1"/>
          <w:color w:val="auto"/>
        </w:rPr>
        <w:t>Acknowledgement and Consent to Bail-In of EEA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the parties hereto,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8" w:lineRule="exact"/>
        <w:rPr>
          <w:sz w:val="20"/>
          <w:szCs w:val="20"/>
          <w:color w:val="auto"/>
        </w:rPr>
      </w:pPr>
    </w:p>
    <w:p>
      <w:pPr>
        <w:ind w:right="360" w:firstLine="656"/>
        <w:spacing w:after="0" w:line="284" w:lineRule="auto"/>
        <w:tabs>
          <w:tab w:leader="none" w:pos="1068"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33" w:lineRule="exact"/>
        <w:rPr>
          <w:rFonts w:ascii="Times New Roman" w:cs="Times New Roman" w:eastAsia="Times New Roman" w:hAnsi="Times New Roman"/>
          <w:sz w:val="22"/>
          <w:szCs w:val="22"/>
          <w:color w:val="auto"/>
        </w:rPr>
      </w:pPr>
    </w:p>
    <w:p>
      <w:pPr>
        <w:ind w:left="1940" w:hanging="392"/>
        <w:spacing w:after="0"/>
        <w:tabs>
          <w:tab w:leader="none" w:pos="194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33" w:lineRule="exact"/>
        <w:rPr>
          <w:rFonts w:ascii="Times New Roman" w:cs="Times New Roman" w:eastAsia="Times New Roman" w:hAnsi="Times New Roman"/>
          <w:sz w:val="22"/>
          <w:szCs w:val="22"/>
          <w:color w:val="auto"/>
        </w:rPr>
      </w:pPr>
    </w:p>
    <w:p>
      <w:pPr>
        <w:ind w:left="660" w:right="60" w:firstLine="888"/>
        <w:spacing w:after="0" w:line="257" w:lineRule="auto"/>
        <w:tabs>
          <w:tab w:leader="none" w:pos="1995"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2" w:lineRule="exact"/>
        <w:rPr>
          <w:rFonts w:ascii="Times New Roman" w:cs="Times New Roman" w:eastAsia="Times New Roman" w:hAnsi="Times New Roman"/>
          <w:sz w:val="22"/>
          <w:szCs w:val="22"/>
          <w:color w:val="auto"/>
        </w:rPr>
      </w:pPr>
    </w:p>
    <w:p>
      <w:pPr>
        <w:ind w:left="660" w:firstLine="888"/>
        <w:spacing w:after="0" w:line="284" w:lineRule="auto"/>
        <w:tabs>
          <w:tab w:leader="none" w:pos="2055"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EEA Resolution Authority.</w:t>
      </w:r>
    </w:p>
    <w:p>
      <w:pPr>
        <w:spacing w:after="0" w:line="140"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10.27 </w:t>
      </w:r>
      <w:r>
        <w:rPr>
          <w:rFonts w:ascii="Times New Roman" w:cs="Times New Roman" w:eastAsia="Times New Roman" w:hAnsi="Times New Roman"/>
          <w:sz w:val="21"/>
          <w:szCs w:val="21"/>
          <w:i w:val="1"/>
          <w:iCs w:val="1"/>
          <w:color w:val="auto"/>
        </w:rPr>
        <w:t>Collateral and Guarantee Suspension</w:t>
      </w:r>
      <w:r>
        <w:rPr>
          <w:rFonts w:ascii="Times New Roman" w:cs="Times New Roman" w:eastAsia="Times New Roman" w:hAnsi="Times New Roman"/>
          <w:sz w:val="21"/>
          <w:szCs w:val="21"/>
          <w:color w:val="auto"/>
        </w:rPr>
        <w:t>. Notwithstanding anything to the contrary in this Agreement or any other Loan Document, on and after the Amendment No. 7 Effective Date, each Term A-1 Lender, Additional Term A-1 Lender, Incremental Term A-1 Lender and Revolving Lender agrees (which agreement shall be binding upon each of its successors and assigns (and in connection with any assignment of the Loans or Revolving Credit Commitments of such Lender, by signing the Assignment and Assumption the assignee of the Loans or Revolving Credit Commitments shall be deemed to have signed Amendment No. 7 with respect to the Collateral and Guarantee Release Amendments (as defined in Amendment No. 7))) that the Collateral and Guarantee Release Amendments shall become effective once the conditions precedent set forth in Section 10 of Amendment No. 7 are satisfied, the occurrence of which shall be notified to the Administrative Agent (and the Administrative Agent shall promptly notify the Lenders) by the Borrower and such notification shall be conclusive and binding.</w:t>
      </w:r>
    </w:p>
    <w:p>
      <w:pPr>
        <w:sectPr>
          <w:pgSz w:w="11900" w:h="16838" w:orient="portrait"/>
          <w:cols w:equalWidth="0" w:num="1">
            <w:col w:w="11340"/>
          </w:cols>
          <w:pgMar w:left="240" w:top="621" w:right="31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D. Milligan, certify that:</w:t>
      </w:r>
    </w:p>
    <w:p>
      <w:pPr>
        <w:spacing w:after="0" w:line="90" w:lineRule="exact"/>
        <w:rPr>
          <w:sz w:val="20"/>
          <w:szCs w:val="20"/>
          <w:color w:val="auto"/>
        </w:rPr>
      </w:pPr>
    </w:p>
    <w:p>
      <w:pPr>
        <w:ind w:left="520" w:hanging="188"/>
        <w:spacing w:after="0"/>
        <w:tabs>
          <w:tab w:leader="none" w:pos="52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right="140" w:firstLine="332"/>
        <w:spacing w:after="0" w:line="266" w:lineRule="auto"/>
        <w:tabs>
          <w:tab w:leader="none" w:pos="50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right="380" w:firstLine="656"/>
        <w:spacing w:after="0" w:line="266" w:lineRule="auto"/>
        <w:tabs>
          <w:tab w:leader="none" w:pos="81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right="20" w:firstLine="656"/>
        <w:spacing w:after="0" w:line="266" w:lineRule="auto"/>
        <w:tabs>
          <w:tab w:leader="none" w:pos="82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right="880" w:firstLine="656"/>
        <w:spacing w:after="0" w:line="282" w:lineRule="auto"/>
        <w:tabs>
          <w:tab w:leader="none" w:pos="81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right="140" w:firstLine="332"/>
        <w:spacing w:after="0" w:line="282" w:lineRule="auto"/>
        <w:tabs>
          <w:tab w:leader="none" w:pos="50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280" w:firstLine="656"/>
        <w:spacing w:after="0" w:line="282" w:lineRule="auto"/>
        <w:tabs>
          <w:tab w:leader="none" w:pos="81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240" w:firstLine="656"/>
        <w:spacing w:after="0" w:line="282" w:lineRule="auto"/>
        <w:tabs>
          <w:tab w:leader="none" w:pos="82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Stephen D. Milligan</w:t>
      </w:r>
    </w:p>
    <w:p>
      <w:pPr>
        <w:spacing w:after="0" w:line="6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2019</w:t>
      </w:r>
    </w:p>
    <w:p>
      <w:pPr>
        <w:sectPr>
          <w:pgSz w:w="11900" w:h="16838" w:orient="portrait"/>
          <w:cols w:equalWidth="0" w:num="1">
            <w:col w:w="11420"/>
          </w:cols>
          <w:pgMar w:left="240" w:top="576" w:right="2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Long, certify that:</w:t>
      </w:r>
    </w:p>
    <w:p>
      <w:pPr>
        <w:spacing w:after="0" w:line="90" w:lineRule="exact"/>
        <w:rPr>
          <w:sz w:val="20"/>
          <w:szCs w:val="20"/>
          <w:color w:val="auto"/>
        </w:rPr>
      </w:pPr>
    </w:p>
    <w:p>
      <w:pPr>
        <w:ind w:left="520" w:hanging="188"/>
        <w:spacing w:after="0"/>
        <w:tabs>
          <w:tab w:leader="none" w:pos="52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right="140" w:firstLine="332"/>
        <w:spacing w:after="0" w:line="266" w:lineRule="auto"/>
        <w:tabs>
          <w:tab w:leader="none" w:pos="50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right="380" w:firstLine="656"/>
        <w:spacing w:after="0" w:line="266" w:lineRule="auto"/>
        <w:tabs>
          <w:tab w:leader="none" w:pos="81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right="20" w:firstLine="656"/>
        <w:spacing w:after="0" w:line="266" w:lineRule="auto"/>
        <w:tabs>
          <w:tab w:leader="none" w:pos="82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right="880" w:firstLine="656"/>
        <w:spacing w:after="0" w:line="282" w:lineRule="auto"/>
        <w:tabs>
          <w:tab w:leader="none" w:pos="81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right="140" w:firstLine="332"/>
        <w:spacing w:after="0" w:line="282" w:lineRule="auto"/>
        <w:tabs>
          <w:tab w:leader="none" w:pos="50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280" w:firstLine="656"/>
        <w:spacing w:after="0" w:line="282" w:lineRule="auto"/>
        <w:tabs>
          <w:tab w:leader="none" w:pos="81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240" w:firstLine="656"/>
        <w:spacing w:after="0" w:line="282" w:lineRule="auto"/>
        <w:tabs>
          <w:tab w:leader="none" w:pos="82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Mark P. Long</w:t>
      </w:r>
    </w:p>
    <w:p>
      <w:pPr>
        <w:spacing w:after="0" w:line="6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President WD Capital, Chief Strategy Officer and Chief Financial</w:t>
      </w:r>
    </w:p>
    <w:p>
      <w:pPr>
        <w:spacing w:after="0" w:line="2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2019</w:t>
      </w:r>
    </w:p>
    <w:p>
      <w:pPr>
        <w:sectPr>
          <w:pgSz w:w="11900" w:h="16838" w:orient="portrait"/>
          <w:cols w:equalWidth="0" w:num="1">
            <w:col w:w="11420"/>
          </w:cols>
          <w:pgMar w:left="240" w:top="576" w:right="239" w:bottom="1440" w:gutter="0" w:footer="0" w:header="0"/>
        </w:sectPr>
      </w:pPr>
    </w:p>
    <w:bookmarkStart w:id="331" w:name="page332"/>
    <w:bookmarkEnd w:id="331"/>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72" w:lineRule="exact"/>
        <w:rPr>
          <w:sz w:val="20"/>
          <w:szCs w:val="20"/>
          <w:color w:val="auto"/>
        </w:rPr>
      </w:pPr>
    </w:p>
    <w:p>
      <w:pPr>
        <w:ind w:right="540" w:firstLine="332"/>
        <w:spacing w:after="0" w:line="282" w:lineRule="auto"/>
        <w:tabs>
          <w:tab w:leader="none" w:pos="53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March 29, 2019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Stephen D. Milligan</w:t>
      </w:r>
    </w:p>
    <w:p>
      <w:pPr>
        <w:spacing w:after="0" w:line="6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2019</w:t>
      </w:r>
    </w:p>
    <w:p>
      <w:pPr>
        <w:sectPr>
          <w:pgSz w:w="11900" w:h="16838" w:orient="portrait"/>
          <w:cols w:equalWidth="0" w:num="1">
            <w:col w:w="11420"/>
          </w:cols>
          <w:pgMar w:left="240" w:top="576" w:right="239" w:bottom="1440" w:gutter="0" w:footer="0" w:header="0"/>
        </w:sectPr>
      </w:pPr>
    </w:p>
    <w:bookmarkStart w:id="332" w:name="page333"/>
    <w:bookmarkEnd w:id="332"/>
    <w:p>
      <w:pPr>
        <w:ind w:left="104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72" w:lineRule="exact"/>
        <w:rPr>
          <w:sz w:val="20"/>
          <w:szCs w:val="20"/>
          <w:color w:val="auto"/>
        </w:rPr>
      </w:pPr>
    </w:p>
    <w:p>
      <w:pPr>
        <w:ind w:right="540" w:firstLine="332"/>
        <w:spacing w:after="0" w:line="282" w:lineRule="auto"/>
        <w:tabs>
          <w:tab w:leader="none" w:pos="53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March 29, 2019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Mark P. Long</w:t>
      </w:r>
    </w:p>
    <w:p>
      <w:pPr>
        <w:spacing w:after="0" w:line="6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President WD Capital, Chief Strategy Officer and Chief Financial</w:t>
      </w:r>
    </w:p>
    <w:p>
      <w:pPr>
        <w:spacing w:after="0" w:line="2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E99DD7"/>
    <w:multiLevelType w:val="hybridMultilevel"/>
    <w:lvl w:ilvl="0">
      <w:lvlJc w:val="left"/>
      <w:lvlText w:val="☒"/>
      <w:numFmt w:val="bullet"/>
      <w:start w:val="1"/>
    </w:lvl>
  </w:abstractNum>
  <w:abstractNum w:abstractNumId="1">
    <w:nsid w:val="2A31B62D"/>
    <w:multiLevelType w:val="hybridMultilevel"/>
    <w:lvl w:ilvl="0">
      <w:lvlJc w:val="left"/>
      <w:lvlText w:val="o"/>
      <w:numFmt w:val="bullet"/>
      <w:start w:val="1"/>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1)"/>
      <w:numFmt w:val="decimal"/>
      <w:start w:val="1"/>
    </w:lvl>
  </w:abstractNum>
  <w:abstractNum w:abstractNumId="4">
    <w:nsid w:val="754342"/>
    <w:multiLevelType w:val="hybridMultilevel"/>
    <w:lvl w:ilvl="0">
      <w:lvlJc w:val="left"/>
      <w:lvlText w:val="(%1)"/>
      <w:numFmt w:val="decimal"/>
      <w:start w:val="1"/>
    </w:lvl>
  </w:abstractNum>
  <w:abstractNum w:abstractNumId="5">
    <w:nsid w:val="69E7F3E5"/>
    <w:multiLevelType w:val="hybridMultilevel"/>
    <w:lvl w:ilvl="0">
      <w:lvlJc w:val="left"/>
      <w:lvlText w:val="(%1)"/>
      <w:numFmt w:val="decimal"/>
      <w:start w:val="1"/>
    </w:lvl>
  </w:abstractNum>
  <w:abstractNum w:abstractNumId="6">
    <w:nsid w:val="2A6DE806"/>
    <w:multiLevelType w:val="hybridMultilevel"/>
    <w:lvl w:ilvl="0">
      <w:lvlJc w:val="left"/>
      <w:lvlText w:val="(%1)"/>
      <w:numFmt w:val="decimal"/>
      <w:start w:val="1"/>
    </w:lvl>
  </w:abstractNum>
  <w:abstractNum w:abstractNumId="7">
    <w:nsid w:val="1816F8C4"/>
    <w:multiLevelType w:val="hybridMultilevel"/>
    <w:lvl w:ilvl="0">
      <w:lvlJc w:val="left"/>
      <w:lvlText w:val="(%1)"/>
      <w:numFmt w:val="decimal"/>
      <w:start w:val="1"/>
    </w:lvl>
  </w:abstractNum>
  <w:abstractNum w:abstractNumId="8">
    <w:nsid w:val="37DF2233"/>
    <w:multiLevelType w:val="hybridMultilevel"/>
    <w:lvl w:ilvl="0">
      <w:lvlJc w:val="left"/>
      <w:lvlText w:val="(%1)"/>
      <w:numFmt w:val="decimal"/>
      <w:start w:val="1"/>
    </w:lvl>
  </w:abstractNum>
  <w:abstractNum w:abstractNumId="9">
    <w:nsid w:val="7AB49DAF"/>
    <w:multiLevelType w:val="hybridMultilevel"/>
    <w:lvl w:ilvl="0">
      <w:lvlJc w:val="left"/>
      <w:lvlText w:val="(%1)"/>
      <w:numFmt w:val="decimal"/>
      <w:start w:val="1"/>
    </w:lvl>
  </w:abstractNum>
  <w:abstractNum w:abstractNumId="10">
    <w:nsid w:val="759F82CD"/>
    <w:multiLevelType w:val="hybridMultilevel"/>
    <w:lvl w:ilvl="0">
      <w:lvlJc w:val="left"/>
      <w:lvlText w:val="•"/>
      <w:numFmt w:val="bullet"/>
      <w:start w:val="1"/>
    </w:lvl>
  </w:abstractNum>
  <w:abstractNum w:abstractNumId="11">
    <w:nsid w:val="61E74EA3"/>
    <w:multiLevelType w:val="hybridMultilevel"/>
    <w:lvl w:ilvl="0">
      <w:lvlJc w:val="left"/>
      <w:lvlText w:val="•"/>
      <w:numFmt w:val="bullet"/>
      <w:start w:val="1"/>
    </w:lvl>
  </w:abstractNum>
  <w:abstractNum w:abstractNumId="12">
    <w:nsid w:val="597B4D84"/>
    <w:multiLevelType w:val="hybridMultilevel"/>
    <w:lvl w:ilvl="0">
      <w:lvlJc w:val="left"/>
      <w:lvlText w:val="•"/>
      <w:numFmt w:val="bullet"/>
      <w:start w:val="1"/>
    </w:lvl>
  </w:abstractNum>
  <w:abstractNum w:abstractNumId="13">
    <w:nsid w:val="F819E7F"/>
    <w:multiLevelType w:val="hybridMultilevel"/>
    <w:lvl w:ilvl="0">
      <w:lvlJc w:val="left"/>
      <w:lvlText w:val="•"/>
      <w:numFmt w:val="bullet"/>
      <w:start w:val="1"/>
    </w:lvl>
  </w:abstractNum>
  <w:abstractNum w:abstractNumId="14">
    <w:nsid w:val="57C7D42D"/>
    <w:multiLevelType w:val="hybridMultilevel"/>
    <w:lvl w:ilvl="0">
      <w:lvlJc w:val="left"/>
      <w:lvlText w:val="•"/>
      <w:numFmt w:val="bullet"/>
      <w:start w:val="1"/>
    </w:lvl>
  </w:abstractNum>
  <w:abstractNum w:abstractNumId="15">
    <w:nsid w:val="312167AD"/>
    <w:multiLevelType w:val="hybridMultilevel"/>
    <w:lvl w:ilvl="0">
      <w:lvlJc w:val="left"/>
      <w:lvlText w:val="•"/>
      <w:numFmt w:val="bullet"/>
      <w:start w:val="1"/>
    </w:lvl>
  </w:abstractNum>
  <w:abstractNum w:abstractNumId="16">
    <w:nsid w:val="631B64D4"/>
    <w:multiLevelType w:val="hybridMultilevel"/>
    <w:lvl w:ilvl="0">
      <w:lvlJc w:val="left"/>
      <w:lvlText w:val="•"/>
      <w:numFmt w:val="bullet"/>
      <w:start w:val="1"/>
    </w:lvl>
  </w:abstractNum>
  <w:abstractNum w:abstractNumId="17">
    <w:nsid w:val="78B5E776"/>
    <w:multiLevelType w:val="hybridMultilevel"/>
    <w:lvl w:ilvl="0">
      <w:lvlJc w:val="left"/>
      <w:lvlText w:val="•"/>
      <w:numFmt w:val="bullet"/>
      <w:start w:val="1"/>
    </w:lvl>
  </w:abstractNum>
  <w:abstractNum w:abstractNumId="18">
    <w:nsid w:val="75486E47"/>
    <w:multiLevelType w:val="hybridMultilevel"/>
    <w:lvl w:ilvl="0">
      <w:lvlJc w:val="left"/>
      <w:lvlText w:val="•"/>
      <w:numFmt w:val="bullet"/>
      <w:start w:val="1"/>
    </w:lvl>
  </w:abstractNum>
  <w:abstractNum w:abstractNumId="19">
    <w:nsid w:val="6E534CDE"/>
    <w:multiLevelType w:val="hybridMultilevel"/>
    <w:lvl w:ilvl="0">
      <w:lvlJc w:val="left"/>
      <w:lvlText w:val="•"/>
      <w:numFmt w:val="bullet"/>
      <w:start w:val="1"/>
    </w:lvl>
  </w:abstractNum>
  <w:abstractNum w:abstractNumId="20">
    <w:nsid w:val="1A0DDE32"/>
    <w:multiLevelType w:val="hybridMultilevel"/>
    <w:lvl w:ilvl="0">
      <w:lvlJc w:val="left"/>
      <w:lvlText w:val="•"/>
      <w:numFmt w:val="bullet"/>
      <w:start w:val="1"/>
    </w:lvl>
  </w:abstractNum>
  <w:abstractNum w:abstractNumId="21">
    <w:nsid w:val="65968C1C"/>
    <w:multiLevelType w:val="hybridMultilevel"/>
    <w:lvl w:ilvl="0">
      <w:lvlJc w:val="left"/>
      <w:lvlText w:val="•"/>
      <w:numFmt w:val="bullet"/>
      <w:start w:val="1"/>
    </w:lvl>
  </w:abstractNum>
  <w:abstractNum w:abstractNumId="22">
    <w:nsid w:val="46263DEC"/>
    <w:multiLevelType w:val="hybridMultilevel"/>
    <w:lvl w:ilvl="0">
      <w:lvlJc w:val="left"/>
      <w:lvlText w:val="(%1)"/>
      <w:numFmt w:val="lowerRoman"/>
      <w:start w:val="2"/>
    </w:lvl>
  </w:abstractNum>
  <w:abstractNum w:abstractNumId="23">
    <w:nsid w:val="260D8C4A"/>
    <w:multiLevelType w:val="hybridMultilevel"/>
    <w:lvl w:ilvl="0">
      <w:lvlJc w:val="left"/>
      <w:lvlText w:val="(%1)"/>
      <w:numFmt w:val="lowerRoman"/>
      <w:start w:val="4"/>
    </w:lvl>
  </w:abstractNum>
  <w:abstractNum w:abstractNumId="24">
    <w:nsid w:val="73D4D3C4"/>
    <w:multiLevelType w:val="hybridMultilevel"/>
    <w:lvl w:ilvl="0">
      <w:lvlJc w:val="left"/>
      <w:lvlText w:val="†"/>
      <w:numFmt w:val="bullet"/>
      <w:start w:val="1"/>
    </w:lvl>
  </w:abstractNum>
  <w:abstractNum w:abstractNumId="25">
    <w:nsid w:val="746F2E30"/>
    <w:multiLevelType w:val="hybridMultilevel"/>
    <w:lvl w:ilvl="0">
      <w:lvlJc w:val="left"/>
      <w:lvlText w:val="*"/>
      <w:numFmt w:val="bullet"/>
      <w:start w:val="1"/>
    </w:lvl>
  </w:abstractNum>
  <w:abstractNum w:abstractNumId="26">
    <w:nsid w:val="6FDE8AF6"/>
    <w:multiLevelType w:val="hybridMultilevel"/>
    <w:lvl w:ilvl="0">
      <w:lvlJc w:val="left"/>
      <w:lvlText w:val="(%1)"/>
      <w:numFmt w:val="lowerLetter"/>
      <w:start w:val="1"/>
    </w:lvl>
  </w:abstractNum>
  <w:abstractNum w:abstractNumId="27">
    <w:nsid w:val="3FC32E20"/>
    <w:multiLevelType w:val="hybridMultilevel"/>
    <w:lvl w:ilvl="0">
      <w:lvlJc w:val="left"/>
      <w:lvlText w:val="(%1)"/>
      <w:numFmt w:val="lowerLetter"/>
      <w:start w:val="2"/>
    </w:lvl>
  </w:abstractNum>
  <w:abstractNum w:abstractNumId="28">
    <w:nsid w:val="49C0E823"/>
    <w:multiLevelType w:val="hybridMultilevel"/>
    <w:lvl w:ilvl="0">
      <w:lvlJc w:val="left"/>
      <w:lvlText w:val="(%1)"/>
      <w:numFmt w:val="lowerLetter"/>
      <w:start w:val="1"/>
    </w:lvl>
  </w:abstractNum>
  <w:abstractNum w:abstractNumId="29">
    <w:nsid w:val="14D53685"/>
    <w:multiLevelType w:val="hybridMultilevel"/>
    <w:lvl w:ilvl="0">
      <w:lvlJc w:val="left"/>
      <w:lvlText w:val="(%1)"/>
      <w:numFmt w:val="lowerRoman"/>
      <w:start w:val="1"/>
    </w:lvl>
  </w:abstractNum>
  <w:abstractNum w:abstractNumId="30">
    <w:nsid w:val="230F856C"/>
    <w:multiLevelType w:val="hybridMultilevel"/>
    <w:lvl w:ilvl="0">
      <w:lvlJc w:val="left"/>
      <w:lvlText w:val="(%1)"/>
      <w:numFmt w:val="lowerLetter"/>
      <w:start w:val="1"/>
    </w:lvl>
  </w:abstractNum>
  <w:abstractNum w:abstractNumId="31">
    <w:nsid w:val="6EAA85FB"/>
    <w:multiLevelType w:val="hybridMultilevel"/>
    <w:lvl w:ilvl="0">
      <w:lvlJc w:val="left"/>
      <w:lvlText w:val="(%1)"/>
      <w:numFmt w:val="lowerRoman"/>
      <w:start w:val="2"/>
    </w:lvl>
  </w:abstractNum>
  <w:abstractNum w:abstractNumId="32">
    <w:nsid w:val="3F06ECB2"/>
    <w:multiLevelType w:val="hybridMultilevel"/>
    <w:lvl w:ilvl="0">
      <w:lvlJc w:val="left"/>
      <w:lvlText w:val="(%1)"/>
      <w:numFmt w:val="lowerLetter"/>
      <w:start w:val="2"/>
    </w:lvl>
  </w:abstractNum>
  <w:abstractNum w:abstractNumId="33">
    <w:nsid w:val="3B594807"/>
    <w:multiLevelType w:val="hybridMultilevel"/>
    <w:lvl w:ilvl="0">
      <w:lvlJc w:val="left"/>
      <w:lvlText w:val="(%1)"/>
      <w:numFmt w:val="lowerLetter"/>
      <w:start w:val="1"/>
    </w:lvl>
  </w:abstractNum>
  <w:abstractNum w:abstractNumId="34">
    <w:nsid w:val="6CAA2304"/>
    <w:multiLevelType w:val="hybridMultilevel"/>
    <w:lvl w:ilvl="0">
      <w:lvlJc w:val="left"/>
      <w:lvlText w:val="(%1)"/>
      <w:numFmt w:val="lowerLetter"/>
      <w:start w:val="1"/>
    </w:lvl>
    <w:lvl w:ilvl="1">
      <w:lvlJc w:val="left"/>
      <w:lvlText w:val="(%2)"/>
      <w:numFmt w:val="lowerRoman"/>
      <w:start w:val="1"/>
    </w:lvl>
  </w:abstractNum>
  <w:abstractNum w:abstractNumId="35">
    <w:nsid w:val="3F7C2FF4"/>
    <w:multiLevelType w:val="hybridMultilevel"/>
    <w:lvl w:ilvl="0">
      <w:lvlJc w:val="left"/>
      <w:lvlText w:val="%1"/>
      <w:numFmt w:val="lowerLetter"/>
      <w:start w:val="1"/>
    </w:lvl>
    <w:lvl w:ilvl="1">
      <w:lvlJc w:val="left"/>
      <w:lvlText w:val="(%2)"/>
      <w:numFmt w:val="lowerRoman"/>
      <w:start w:val="5"/>
    </w:lvl>
  </w:abstractNum>
  <w:abstractNum w:abstractNumId="36">
    <w:nsid w:val="25413BEC"/>
    <w:multiLevelType w:val="hybridMultilevel"/>
    <w:lvl w:ilvl="0">
      <w:lvlJc w:val="left"/>
      <w:lvlText w:val="(%1)"/>
      <w:numFmt w:val="lowerLetter"/>
      <w:start w:val="2"/>
    </w:lvl>
    <w:lvl w:ilvl="1">
      <w:lvlJc w:val="left"/>
      <w:lvlText w:val="(%2)"/>
      <w:numFmt w:val="lowerRoman"/>
      <w:start w:val="1"/>
    </w:lvl>
  </w:abstractNum>
  <w:abstractNum w:abstractNumId="37">
    <w:nsid w:val="17180B0B"/>
    <w:multiLevelType w:val="hybridMultilevel"/>
    <w:lvl w:ilvl="0">
      <w:lvlJc w:val="left"/>
      <w:lvlText w:val="(%1)"/>
      <w:numFmt w:val="lowerRoman"/>
      <w:start w:val="2"/>
    </w:lvl>
  </w:abstractNum>
  <w:abstractNum w:abstractNumId="38">
    <w:nsid w:val="579328B9"/>
    <w:multiLevelType w:val="hybridMultilevel"/>
    <w:lvl w:ilvl="0">
      <w:lvlJc w:val="left"/>
      <w:lvlText w:val="(%1)"/>
      <w:numFmt w:val="lowerLetter"/>
      <w:start w:val="2"/>
    </w:lvl>
  </w:abstractNum>
  <w:abstractNum w:abstractNumId="39">
    <w:nsid w:val="5D205E20"/>
    <w:multiLevelType w:val="hybridMultilevel"/>
    <w:lvl w:ilvl="0">
      <w:lvlJc w:val="left"/>
      <w:lvlText w:val="(%1)"/>
      <w:numFmt w:val="lowerLetter"/>
      <w:start w:val="1"/>
    </w:lvl>
    <w:lvl w:ilvl="1">
      <w:lvlJc w:val="left"/>
      <w:lvlText w:val="(%2)"/>
      <w:numFmt w:val="lowerLetter"/>
      <w:start w:val="9"/>
    </w:lvl>
  </w:abstractNum>
  <w:abstractNum w:abstractNumId="40">
    <w:nsid w:val="11CCA8BA"/>
    <w:multiLevelType w:val="hybridMultilevel"/>
    <w:lvl w:ilvl="0">
      <w:lvlJc w:val="left"/>
      <w:lvlText w:val="%1"/>
      <w:numFmt w:val="upperLetter"/>
      <w:start w:val="1"/>
    </w:lvl>
    <w:lvl w:ilvl="1">
      <w:lvlJc w:val="left"/>
      <w:lvlText w:val="(%2)"/>
      <w:numFmt w:val="lowerRoman"/>
      <w:start w:val="2"/>
    </w:lvl>
  </w:abstractNum>
  <w:abstractNum w:abstractNumId="41">
    <w:nsid w:val="4D32AB86"/>
    <w:multiLevelType w:val="hybridMultilevel"/>
    <w:lvl w:ilvl="0">
      <w:lvlJc w:val="left"/>
      <w:lvlText w:val="(%1)"/>
      <w:numFmt w:val="upperLetter"/>
      <w:start w:val="2"/>
    </w:lvl>
    <w:lvl w:ilvl="1">
      <w:lvlJc w:val="left"/>
      <w:lvlText w:val="(%2)"/>
      <w:numFmt w:val="lowerRoman"/>
      <w:start w:val="9"/>
    </w:lvl>
  </w:abstractNum>
  <w:abstractNum w:abstractNumId="42">
    <w:nsid w:val="3F07ACC3"/>
    <w:multiLevelType w:val="hybridMultilevel"/>
    <w:lvl w:ilvl="0">
      <w:lvlJc w:val="left"/>
      <w:lvlText w:val="%1"/>
      <w:numFmt w:val="decimal"/>
      <w:start w:val="1"/>
    </w:lvl>
    <w:lvl w:ilvl="1">
      <w:lvlJc w:val="left"/>
      <w:lvlText w:val="(%2)"/>
      <w:numFmt w:val="lowerRoman"/>
      <w:start w:val="12"/>
    </w:lvl>
  </w:abstractNum>
  <w:abstractNum w:abstractNumId="43">
    <w:nsid w:val="6B47F63E"/>
    <w:multiLevelType w:val="hybridMultilevel"/>
    <w:lvl w:ilvl="0">
      <w:lvlJc w:val="left"/>
      <w:lvlText w:val="(%1)"/>
      <w:numFmt w:val="decimal"/>
      <w:start w:val="4"/>
    </w:lvl>
    <w:lvl w:ilvl="1">
      <w:lvlJc w:val="left"/>
      <w:lvlText w:val="%2"/>
      <w:numFmt w:val="lowerRoman"/>
      <w:start w:val="1"/>
    </w:lvl>
  </w:abstractNum>
  <w:abstractNum w:abstractNumId="44">
    <w:nsid w:val="5CB44A05"/>
    <w:multiLevelType w:val="hybridMultilevel"/>
    <w:lvl w:ilvl="0">
      <w:lvlJc w:val="left"/>
      <w:lvlText w:val="(%1)"/>
      <w:numFmt w:val="lowerLetter"/>
      <w:start w:val="2"/>
    </w:lvl>
    <w:lvl w:ilvl="1">
      <w:lvlJc w:val="left"/>
      <w:lvlText w:val="(%2)"/>
      <w:numFmt w:val="lowerRoman"/>
      <w:start w:val="1"/>
    </w:lvl>
  </w:abstractNum>
  <w:abstractNum w:abstractNumId="45">
    <w:nsid w:val="16CF80F1"/>
    <w:multiLevelType w:val="hybridMultilevel"/>
    <w:lvl w:ilvl="0">
      <w:lvlJc w:val="left"/>
      <w:lvlText w:val="(%1)"/>
      <w:numFmt w:val="lowerRoman"/>
      <w:start w:val="2"/>
    </w:lvl>
  </w:abstractNum>
  <w:abstractNum w:abstractNumId="46">
    <w:nsid w:val="1C695DEC"/>
    <w:multiLevelType w:val="hybridMultilevel"/>
    <w:lvl w:ilvl="0">
      <w:lvlJc w:val="left"/>
      <w:lvlText w:val="(%1)"/>
      <w:numFmt w:val="lowerRoman"/>
      <w:start w:val="3"/>
    </w:lvl>
  </w:abstractNum>
  <w:abstractNum w:abstractNumId="47">
    <w:nsid w:val="3FCFAED9"/>
    <w:multiLevelType w:val="hybridMultilevel"/>
    <w:lvl w:ilvl="0">
      <w:lvlJc w:val="left"/>
      <w:lvlText w:val="(%1)"/>
      <w:numFmt w:val="lowerRoman"/>
      <w:start w:val="1"/>
    </w:lvl>
  </w:abstractNum>
  <w:abstractNum w:abstractNumId="48">
    <w:nsid w:val="F856867"/>
    <w:multiLevelType w:val="hybridMultilevel"/>
    <w:lvl w:ilvl="0">
      <w:lvlJc w:val="left"/>
      <w:lvlText w:val="(%1)"/>
      <w:numFmt w:val="lowerLetter"/>
      <w:start w:val="1"/>
    </w:lvl>
  </w:abstractNum>
  <w:abstractNum w:abstractNumId="49">
    <w:nsid w:val="11B1CC33"/>
    <w:multiLevelType w:val="hybridMultilevel"/>
    <w:lvl w:ilvl="0">
      <w:lvlJc w:val="left"/>
      <w:lvlText w:val="(%1)"/>
      <w:numFmt w:val="lowerLetter"/>
      <w:start w:val="4"/>
    </w:lvl>
  </w:abstractNum>
  <w:abstractNum w:abstractNumId="50">
    <w:nsid w:val="2E22FBB7"/>
    <w:multiLevelType w:val="hybridMultilevel"/>
    <w:lvl w:ilvl="0">
      <w:lvlJc w:val="left"/>
      <w:lvlText w:val="(%1)"/>
      <w:numFmt w:val="lowerLetter"/>
      <w:start w:val="25"/>
    </w:lvl>
  </w:abstractNum>
  <w:abstractNum w:abstractNumId="51">
    <w:nsid w:val="29934699"/>
    <w:multiLevelType w:val="hybridMultilevel"/>
    <w:lvl w:ilvl="0">
      <w:lvlJc w:val="left"/>
      <w:lvlText w:val="%1"/>
      <w:numFmt w:val="lowerRoman"/>
      <w:start w:val="1"/>
    </w:lvl>
    <w:lvl w:ilvl="1">
      <w:lvlJc w:val="left"/>
      <w:lvlText w:val="(%2)"/>
      <w:numFmt w:val="upperLetter"/>
      <w:start w:val="1"/>
    </w:lvl>
  </w:abstractNum>
  <w:abstractNum w:abstractNumId="52">
    <w:nsid w:val="77485850"/>
    <w:multiLevelType w:val="hybridMultilevel"/>
    <w:lvl w:ilvl="0">
      <w:lvlJc w:val="left"/>
      <w:lvlText w:val="(%1)"/>
      <w:numFmt w:val="lowerRoman"/>
      <w:start w:val="2"/>
    </w:lvl>
    <w:lvl w:ilvl="1">
      <w:lvlJc w:val="left"/>
      <w:lvlText w:val="(%2)"/>
      <w:numFmt w:val="upperLetter"/>
      <w:start w:val="3"/>
    </w:lvl>
  </w:abstractNum>
  <w:abstractNum w:abstractNumId="53">
    <w:nsid w:val="744939A3"/>
    <w:multiLevelType w:val="hybridMultilevel"/>
    <w:lvl w:ilvl="0">
      <w:lvlJc w:val="left"/>
      <w:lvlText w:val="(%1)"/>
      <w:numFmt w:val="upperLetter"/>
      <w:start w:val="5"/>
    </w:lvl>
  </w:abstractNum>
  <w:abstractNum w:abstractNumId="54">
    <w:nsid w:val="4FA0D2E3"/>
    <w:multiLevelType w:val="hybridMultilevel"/>
    <w:lvl w:ilvl="0">
      <w:lvlJc w:val="left"/>
      <w:lvlText w:val="(%1)"/>
      <w:numFmt w:val="lowerLetter"/>
      <w:start w:val="1"/>
    </w:lvl>
  </w:abstractNum>
  <w:abstractNum w:abstractNumId="55">
    <w:nsid w:val="6B1D2C14"/>
    <w:multiLevelType w:val="hybridMultilevel"/>
    <w:lvl w:ilvl="0">
      <w:lvlJc w:val="left"/>
      <w:lvlText w:val="(%1)"/>
      <w:numFmt w:val="lowerLetter"/>
      <w:start w:val="5"/>
    </w:lvl>
  </w:abstractNum>
  <w:abstractNum w:abstractNumId="56">
    <w:nsid w:val="68B867D3"/>
    <w:multiLevelType w:val="hybridMultilevel"/>
    <w:lvl w:ilvl="0">
      <w:lvlJc w:val="left"/>
      <w:lvlText w:val="(%1)"/>
      <w:numFmt w:val="lowerRoman"/>
      <w:start w:val="1"/>
    </w:lvl>
  </w:abstractNum>
  <w:abstractNum w:abstractNumId="57">
    <w:nsid w:val="3F7F5DD9"/>
    <w:multiLevelType w:val="hybridMultilevel"/>
    <w:lvl w:ilvl="0">
      <w:lvlJc w:val="left"/>
      <w:lvlText w:val="(%1)"/>
      <w:numFmt w:val="lowerLetter"/>
      <w:start w:val="2"/>
    </w:lvl>
  </w:abstractNum>
  <w:abstractNum w:abstractNumId="58">
    <w:nsid w:val="2AE05A34"/>
    <w:multiLevelType w:val="hybridMultilevel"/>
    <w:lvl w:ilvl="0">
      <w:lvlJc w:val="left"/>
      <w:lvlText w:val="(%1)"/>
      <w:numFmt w:val="decimal"/>
      <w:start w:val="4"/>
    </w:lvl>
  </w:abstractNum>
  <w:abstractNum w:abstractNumId="59">
    <w:nsid w:val="32794FF7"/>
    <w:multiLevelType w:val="hybridMultilevel"/>
    <w:lvl w:ilvl="0">
      <w:lvlJc w:val="left"/>
      <w:lvlText w:val="(%1)"/>
      <w:numFmt w:val="decimal"/>
      <w:start w:val="4"/>
    </w:lvl>
  </w:abstractNum>
  <w:abstractNum w:abstractNumId="60">
    <w:nsid w:val="5454945E"/>
    <w:multiLevelType w:val="hybridMultilevel"/>
    <w:lvl w:ilvl="0">
      <w:lvlJc w:val="left"/>
      <w:lvlText w:val="%1"/>
      <w:numFmt w:val="lowerRoman"/>
      <w:start w:val="1"/>
    </w:lvl>
    <w:lvl w:ilvl="1">
      <w:lvlJc w:val="left"/>
      <w:lvlText w:val="(%2)"/>
      <w:numFmt w:val="lowerRoman"/>
      <w:start w:val="1"/>
    </w:lvl>
  </w:abstractNum>
  <w:abstractNum w:abstractNumId="61">
    <w:nsid w:val="4DEFDFA0"/>
    <w:multiLevelType w:val="hybridMultilevel"/>
    <w:lvl w:ilvl="0">
      <w:lvlJc w:val="left"/>
      <w:lvlText w:val="(%1)"/>
      <w:numFmt w:val="lowerRoman"/>
      <w:start w:val="3"/>
    </w:lvl>
    <w:lvl w:ilvl="1">
      <w:lvlJc w:val="left"/>
      <w:lvlText w:val="%2"/>
      <w:numFmt w:val="lowerRoman"/>
      <w:start w:val="1"/>
    </w:lvl>
  </w:abstractNum>
  <w:abstractNum w:abstractNumId="62">
    <w:nsid w:val="2123D5F2"/>
    <w:multiLevelType w:val="hybridMultilevel"/>
    <w:lvl w:ilvl="0">
      <w:lvlJc w:val="left"/>
      <w:lvlText w:val="%1"/>
      <w:numFmt w:val="lowerLetter"/>
      <w:start w:val="1"/>
    </w:lvl>
    <w:lvl w:ilvl="1">
      <w:lvlJc w:val="left"/>
      <w:lvlText w:val="(%2)"/>
      <w:numFmt w:val="lowerLetter"/>
      <w:start w:val="1"/>
    </w:lvl>
  </w:abstractNum>
  <w:abstractNum w:abstractNumId="63">
    <w:nsid w:val="135B8110"/>
    <w:multiLevelType w:val="hybridMultilevel"/>
    <w:lvl w:ilvl="0">
      <w:lvlJc w:val="left"/>
      <w:lvlText w:val="(%1)"/>
      <w:numFmt w:val="lowerLetter"/>
      <w:start w:val="9"/>
    </w:lvl>
    <w:lvl w:ilvl="1">
      <w:lvlJc w:val="left"/>
      <w:lvlText w:val="%2"/>
      <w:numFmt w:val="lowerLetter"/>
      <w:start w:val="1"/>
    </w:lvl>
  </w:abstractNum>
  <w:abstractNum w:abstractNumId="64">
    <w:nsid w:val="94927A8"/>
    <w:multiLevelType w:val="hybridMultilevel"/>
    <w:lvl w:ilvl="0">
      <w:lvlJc w:val="left"/>
      <w:lvlText w:val="(%1)"/>
      <w:numFmt w:val="lowerLetter"/>
      <w:start w:val="3"/>
    </w:lvl>
  </w:abstractNum>
  <w:abstractNum w:abstractNumId="65">
    <w:nsid w:val="DCDF8F6"/>
    <w:multiLevelType w:val="hybridMultilevel"/>
    <w:lvl w:ilvl="0">
      <w:lvlJc w:val="left"/>
      <w:lvlText w:val="(%1)"/>
      <w:numFmt w:val="upperLetter"/>
      <w:start w:val="1"/>
    </w:lvl>
  </w:abstractNum>
  <w:abstractNum w:abstractNumId="66">
    <w:nsid w:val="52D7B105"/>
    <w:multiLevelType w:val="hybridMultilevel"/>
    <w:lvl w:ilvl="0">
      <w:lvlJc w:val="left"/>
      <w:lvlText w:val="(%1)"/>
      <w:numFmt w:val="lowerLetter"/>
      <w:start w:val="5"/>
    </w:lvl>
  </w:abstractNum>
  <w:abstractNum w:abstractNumId="67">
    <w:nsid w:val="2E8A6394"/>
    <w:multiLevelType w:val="hybridMultilevel"/>
    <w:lvl w:ilvl="0">
      <w:lvlJc w:val="left"/>
      <w:lvlText w:val="(%1)"/>
      <w:numFmt w:val="lowerLetter"/>
      <w:start w:val="1"/>
    </w:lvl>
  </w:abstractNum>
  <w:abstractNum w:abstractNumId="68">
    <w:nsid w:val="24E60401"/>
    <w:multiLevelType w:val="hybridMultilevel"/>
    <w:lvl w:ilvl="0">
      <w:lvlJc w:val="left"/>
      <w:lvlText w:val="(%1)"/>
      <w:numFmt w:val="lowerLetter"/>
      <w:start w:val="1"/>
    </w:lvl>
  </w:abstractNum>
  <w:abstractNum w:abstractNumId="69">
    <w:nsid w:val="2A6AD9BE"/>
    <w:multiLevelType w:val="hybridMultilevel"/>
    <w:lvl w:ilvl="0">
      <w:lvlJc w:val="left"/>
      <w:lvlText w:val="(%1)"/>
      <w:numFmt w:val="lowerLetter"/>
      <w:start w:val="2"/>
    </w:lvl>
  </w:abstractNum>
  <w:abstractNum w:abstractNumId="70">
    <w:nsid w:val="BAAC1B4"/>
    <w:multiLevelType w:val="hybridMultilevel"/>
    <w:lvl w:ilvl="0">
      <w:lvlJc w:val="left"/>
      <w:lvlText w:val="(%1)"/>
      <w:numFmt w:val="lowerLetter"/>
      <w:start w:val="1"/>
    </w:lvl>
  </w:abstractNum>
  <w:abstractNum w:abstractNumId="71">
    <w:nsid w:val="36B2ACBC"/>
    <w:multiLevelType w:val="hybridMultilevel"/>
    <w:lvl w:ilvl="0">
      <w:lvlJc w:val="left"/>
      <w:lvlText w:val="(%1)"/>
      <w:numFmt w:val="lowerLetter"/>
      <w:start w:val="2"/>
    </w:lvl>
  </w:abstractNum>
  <w:abstractNum w:abstractNumId="72">
    <w:nsid w:val="779D8544"/>
    <w:multiLevelType w:val="hybridMultilevel"/>
    <w:lvl w:ilvl="0">
      <w:lvlJc w:val="left"/>
      <w:lvlText w:val="(%1)"/>
      <w:numFmt w:val="lowerLetter"/>
      <w:start w:val="1"/>
    </w:lvl>
  </w:abstractNum>
  <w:abstractNum w:abstractNumId="73">
    <w:nsid w:val="4AB26E78"/>
    <w:multiLevelType w:val="hybridMultilevel"/>
    <w:lvl w:ilvl="0">
      <w:lvlJc w:val="left"/>
      <w:lvlText w:val="(%1)"/>
      <w:numFmt w:val="lowerLetter"/>
      <w:start w:val="1"/>
    </w:lvl>
  </w:abstractNum>
  <w:abstractNum w:abstractNumId="74">
    <w:nsid w:val="21FAA2FA"/>
    <w:multiLevelType w:val="hybridMultilevel"/>
    <w:lvl w:ilvl="0">
      <w:lvlJc w:val="left"/>
      <w:lvlText w:val="(%1)"/>
      <w:numFmt w:val="lowerLetter"/>
      <w:start w:val="2"/>
    </w:lvl>
  </w:abstractNum>
  <w:abstractNum w:abstractNumId="75">
    <w:nsid w:val="5451CF49"/>
    <w:multiLevelType w:val="hybridMultilevel"/>
    <w:lvl w:ilvl="0">
      <w:lvlJc w:val="left"/>
      <w:lvlText w:val="(%1)"/>
      <w:numFmt w:val="lowerLetter"/>
      <w:start w:val="7"/>
    </w:lvl>
  </w:abstractNum>
  <w:abstractNum w:abstractNumId="76">
    <w:nsid w:val="6181EF69"/>
    <w:multiLevelType w:val="hybridMultilevel"/>
    <w:lvl w:ilvl="0">
      <w:lvlJc w:val="left"/>
      <w:lvlText w:val="(%1)"/>
      <w:numFmt w:val="lowerLetter"/>
      <w:start w:val="10"/>
    </w:lvl>
  </w:abstractNum>
  <w:abstractNum w:abstractNumId="77">
    <w:nsid w:val="3E6400E6"/>
    <w:multiLevelType w:val="hybridMultilevel"/>
    <w:lvl w:ilvl="0">
      <w:lvlJc w:val="left"/>
      <w:lvlText w:val="(%1)"/>
      <w:numFmt w:val="lowerLetter"/>
      <w:start w:val="1"/>
    </w:lvl>
  </w:abstractNum>
  <w:abstractNum w:abstractNumId="78">
    <w:nsid w:val="14217E23"/>
    <w:multiLevelType w:val="hybridMultilevel"/>
    <w:lvl w:ilvl="0">
      <w:lvlJc w:val="left"/>
      <w:lvlText w:val="%1"/>
      <w:numFmt w:val="lowerLetter"/>
      <w:start w:val="1"/>
    </w:lvl>
    <w:lvl w:ilvl="1">
      <w:lvlJc w:val="left"/>
      <w:lvlText w:val="(%2)"/>
      <w:numFmt w:val="lowerLetter"/>
      <w:start w:val="2"/>
    </w:lvl>
  </w:abstractNum>
  <w:abstractNum w:abstractNumId="79">
    <w:nsid w:val="710757D0"/>
    <w:multiLevelType w:val="hybridMultilevel"/>
    <w:lvl w:ilvl="0">
      <w:lvlJc w:val="left"/>
      <w:lvlText w:val="(%1)"/>
      <w:numFmt w:val="lowerLetter"/>
      <w:start w:val="25"/>
    </w:lvl>
    <w:lvl w:ilvl="1">
      <w:lvlJc w:val="left"/>
      <w:lvlText w:val="%2"/>
      <w:numFmt w:val="lowerLetter"/>
      <w:start w:val="1"/>
    </w:lvl>
  </w:abstractNum>
  <w:abstractNum w:abstractNumId="80">
    <w:nsid w:val="5015CD1A"/>
    <w:multiLevelType w:val="hybridMultilevel"/>
    <w:lvl w:ilvl="0">
      <w:lvlJc w:val="left"/>
      <w:lvlText w:val="(%1)"/>
      <w:numFmt w:val="lowerLetter"/>
      <w:start w:val="4"/>
    </w:lvl>
  </w:abstractNum>
  <w:abstractNum w:abstractNumId="81">
    <w:nsid w:val="424479DA"/>
    <w:multiLevelType w:val="hybridMultilevel"/>
    <w:lvl w:ilvl="0">
      <w:lvlJc w:val="left"/>
      <w:lvlText w:val="(%1)"/>
      <w:numFmt w:val="lowerLetter"/>
      <w:start w:val="5"/>
    </w:lvl>
  </w:abstractNum>
  <w:abstractNum w:abstractNumId="82">
    <w:nsid w:val="1A9A9E69"/>
    <w:multiLevelType w:val="hybridMultilevel"/>
    <w:lvl w:ilvl="0">
      <w:lvlJc w:val="left"/>
      <w:lvlText w:val="(%1)"/>
      <w:numFmt w:val="lowerLetter"/>
      <w:start w:val="7"/>
    </w:lvl>
  </w:abstractNum>
  <w:abstractNum w:abstractNumId="83">
    <w:nsid w:val="475E256A"/>
    <w:multiLevelType w:val="hybridMultilevel"/>
    <w:lvl w:ilvl="0">
      <w:lvlJc w:val="left"/>
      <w:lvlText w:val="(%1)"/>
      <w:numFmt w:val="lowerLetter"/>
      <w:start w:val="12"/>
    </w:lvl>
  </w:abstractNum>
  <w:abstractNum w:abstractNumId="84">
    <w:nsid w:val="368DB37E"/>
    <w:multiLevelType w:val="hybridMultilevel"/>
    <w:lvl w:ilvl="0">
      <w:lvlJc w:val="left"/>
      <w:lvlText w:val="(%1)"/>
      <w:numFmt w:val="lowerLetter"/>
      <w:start w:val="1"/>
    </w:lvl>
  </w:abstractNum>
  <w:abstractNum w:abstractNumId="85">
    <w:nsid w:val="6A3B714C"/>
    <w:multiLevelType w:val="hybridMultilevel"/>
    <w:lvl w:ilvl="0">
      <w:lvlJc w:val="left"/>
      <w:lvlText w:val="(%1)"/>
      <w:numFmt w:val="lowerLetter"/>
      <w:start w:val="5"/>
    </w:lvl>
  </w:abstractNum>
  <w:abstractNum w:abstractNumId="86">
    <w:nsid w:val="327B517E"/>
    <w:multiLevelType w:val="hybridMultilevel"/>
    <w:lvl w:ilvl="0">
      <w:lvlJc w:val="left"/>
      <w:lvlText w:val="(%1)"/>
      <w:numFmt w:val="decimal"/>
      <w:start w:val="2"/>
    </w:lvl>
  </w:abstractNum>
  <w:abstractNum w:abstractNumId="87">
    <w:nsid w:val="1F461B51"/>
    <w:multiLevelType w:val="hybridMultilevel"/>
    <w:lvl w:ilvl="0">
      <w:lvlJc w:val="left"/>
      <w:lvlText w:val="(%1)"/>
      <w:numFmt w:val="lowerLetter"/>
      <w:start w:val="2"/>
    </w:lvl>
  </w:abstractNum>
  <w:abstractNum w:abstractNumId="88">
    <w:nsid w:val="29BACF25"/>
    <w:multiLevelType w:val="hybridMultilevel"/>
    <w:lvl w:ilvl="0">
      <w:lvlJc w:val="left"/>
      <w:lvlText w:val="(%1)"/>
      <w:numFmt w:val="lowerLetter"/>
      <w:start w:val="4"/>
    </w:lvl>
  </w:abstractNum>
  <w:abstractNum w:abstractNumId="89">
    <w:nsid w:val="5D5BABB3"/>
    <w:multiLevelType w:val="hybridMultilevel"/>
    <w:lvl w:ilvl="0">
      <w:lvlJc w:val="left"/>
      <w:lvlText w:val="(%1)"/>
      <w:numFmt w:val="lowerLetter"/>
      <w:start w:val="1"/>
    </w:lvl>
  </w:abstractNum>
  <w:abstractNum w:abstractNumId="90">
    <w:nsid w:val="51BF6B48"/>
    <w:multiLevelType w:val="hybridMultilevel"/>
    <w:lvl w:ilvl="0">
      <w:lvlJc w:val="left"/>
      <w:lvlText w:val="(%1)"/>
      <w:numFmt w:val="lowerLetter"/>
      <w:start w:val="1"/>
    </w:lvl>
  </w:abstractNum>
  <w:abstractNum w:abstractNumId="91">
    <w:nsid w:val="7E0F6384"/>
    <w:multiLevelType w:val="hybridMultilevel"/>
    <w:lvl w:ilvl="0">
      <w:lvlJc w:val="left"/>
      <w:lvlText w:val="(%1)"/>
      <w:numFmt w:val="lowerRoman"/>
      <w:start w:val="1"/>
    </w:lvl>
  </w:abstractNum>
  <w:abstractNum w:abstractNumId="92">
    <w:nsid w:val="2B4B8B53"/>
    <w:multiLevelType w:val="hybridMultilevel"/>
    <w:lvl w:ilvl="0">
      <w:lvlJc w:val="left"/>
      <w:lvlText w:val="(%1)"/>
      <w:numFmt w:val="lowerRoman"/>
      <w:start w:val="2"/>
    </w:lvl>
  </w:abstractNum>
  <w:abstractNum w:abstractNumId="93">
    <w:nsid w:val="72E3413A"/>
    <w:multiLevelType w:val="hybridMultilevel"/>
    <w:lvl w:ilvl="0">
      <w:lvlJc w:val="left"/>
      <w:lvlText w:val="(%1)"/>
      <w:numFmt w:val="lowerLetter"/>
      <w:start w:val="2"/>
    </w:lvl>
  </w:abstractNum>
  <w:abstractNum w:abstractNumId="94">
    <w:nsid w:val="116AE494"/>
    <w:multiLevelType w:val="hybridMultilevel"/>
    <w:lvl w:ilvl="0">
      <w:lvlJc w:val="left"/>
      <w:lvlText w:val="(%1)"/>
      <w:numFmt w:val="lowerLetter"/>
      <w:start w:val="3"/>
    </w:lvl>
  </w:abstractNum>
  <w:abstractNum w:abstractNumId="95">
    <w:nsid w:val="3494B2FB"/>
    <w:multiLevelType w:val="hybridMultilevel"/>
    <w:lvl w:ilvl="0">
      <w:lvlJc w:val="left"/>
      <w:lvlText w:val="%1"/>
      <w:numFmt w:val="decimal"/>
      <w:start w:val="1"/>
    </w:lvl>
    <w:lvl w:ilvl="1">
      <w:lvlJc w:val="left"/>
      <w:lvlText w:val="(%2)"/>
      <w:numFmt w:val="lowerRoman"/>
      <w:start w:val="1"/>
    </w:lvl>
  </w:abstractNum>
  <w:abstractNum w:abstractNumId="96">
    <w:nsid w:val="B13A31"/>
    <w:multiLevelType w:val="hybridMultilevel"/>
    <w:lvl w:ilvl="0">
      <w:lvlJc w:val="left"/>
      <w:lvlText w:val="(%1)"/>
      <w:numFmt w:val="decimal"/>
      <w:start w:val="5"/>
    </w:lvl>
    <w:lvl w:ilvl="1">
      <w:lvlJc w:val="left"/>
      <w:lvlText w:val="%2"/>
      <w:numFmt w:val="lowerRoman"/>
      <w:start w:val="1"/>
    </w:lvl>
  </w:abstractNum>
  <w:abstractNum w:abstractNumId="97">
    <w:nsid w:val="64429599"/>
    <w:multiLevelType w:val="hybridMultilevel"/>
    <w:lvl w:ilvl="0">
      <w:lvlJc w:val="left"/>
      <w:lvlText w:val="(%1)"/>
      <w:numFmt w:val="lowerRoman"/>
      <w:start w:val="2"/>
    </w:lvl>
  </w:abstractNum>
  <w:abstractNum w:abstractNumId="98">
    <w:nsid w:val="631F1690"/>
    <w:multiLevelType w:val="hybridMultilevel"/>
    <w:lvl w:ilvl="0">
      <w:lvlJc w:val="left"/>
      <w:lvlText w:val="(%1)"/>
      <w:numFmt w:val="lowerRoman"/>
      <w:start w:val="4"/>
    </w:lvl>
  </w:abstractNum>
  <w:abstractNum w:abstractNumId="99">
    <w:nsid w:val="25973E32"/>
    <w:multiLevelType w:val="hybridMultilevel"/>
    <w:lvl w:ilvl="0">
      <w:lvlJc w:val="left"/>
      <w:lvlText w:val="(%1)"/>
      <w:numFmt w:val="lowerRoman"/>
      <w:start w:val="6"/>
    </w:lvl>
    <w:lvl w:ilvl="1">
      <w:lvlJc w:val="left"/>
      <w:lvlText w:val="(%2)"/>
      <w:numFmt w:val="upperLetter"/>
      <w:start w:val="35"/>
    </w:lvl>
  </w:abstractNum>
  <w:abstractNum w:abstractNumId="100">
    <w:nsid w:val="EAD6F57"/>
    <w:multiLevelType w:val="hybridMultilevel"/>
    <w:lvl w:ilvl="0">
      <w:lvlJc w:val="left"/>
      <w:lvlText w:val="(%1)"/>
      <w:numFmt w:val="lowerRoman"/>
      <w:start w:val="7"/>
    </w:lvl>
  </w:abstractNum>
  <w:abstractNum w:abstractNumId="101">
    <w:nsid w:val="6EC9D844"/>
    <w:multiLevelType w:val="hybridMultilevel"/>
    <w:lvl w:ilvl="0">
      <w:lvlJc w:val="left"/>
      <w:lvlText w:val="(%1)"/>
      <w:numFmt w:val="lowerLetter"/>
      <w:start w:val="4"/>
    </w:lvl>
  </w:abstractNum>
  <w:abstractNum w:abstractNumId="102">
    <w:nsid w:val="5C49EAEE"/>
    <w:multiLevelType w:val="hybridMultilevel"/>
    <w:lvl w:ilvl="0">
      <w:lvlJc w:val="left"/>
      <w:lvlText w:val="(%1)"/>
      <w:numFmt w:val="lowerLetter"/>
      <w:start w:val="1"/>
    </w:lvl>
  </w:abstractNum>
  <w:abstractNum w:abstractNumId="103">
    <w:nsid w:val="64AF49B"/>
    <w:multiLevelType w:val="hybridMultilevel"/>
    <w:lvl w:ilvl="0">
      <w:lvlJc w:val="left"/>
      <w:lvlText w:val="(%1)"/>
      <w:numFmt w:val="lowerLetter"/>
      <w:start w:val="1"/>
    </w:lvl>
  </w:abstractNum>
  <w:abstractNum w:abstractNumId="104">
    <w:nsid w:val="397C46BC"/>
    <w:multiLevelType w:val="hybridMultilevel"/>
    <w:lvl w:ilvl="0">
      <w:lvlJc w:val="left"/>
      <w:lvlText w:val="(%1)"/>
      <w:numFmt w:val="lowerLetter"/>
      <w:start w:val="4"/>
    </w:lvl>
  </w:abstractNum>
  <w:abstractNum w:abstractNumId="105">
    <w:nsid w:val="7E448DE9"/>
    <w:multiLevelType w:val="hybridMultilevel"/>
    <w:lvl w:ilvl="0">
      <w:lvlJc w:val="left"/>
      <w:lvlText w:val="(%1)"/>
      <w:numFmt w:val="lowerLetter"/>
      <w:start w:val="1"/>
    </w:lvl>
  </w:abstractNum>
  <w:abstractNum w:abstractNumId="106">
    <w:nsid w:val="5A9CC3E5"/>
    <w:multiLevelType w:val="hybridMultilevel"/>
    <w:lvl w:ilvl="0">
      <w:lvlJc w:val="left"/>
      <w:lvlText w:val="(%1)"/>
      <w:numFmt w:val="lowerLetter"/>
      <w:start w:val="3"/>
    </w:lvl>
  </w:abstractNum>
  <w:abstractNum w:abstractNumId="107">
    <w:nsid w:val="1AFE3625"/>
    <w:multiLevelType w:val="hybridMultilevel"/>
    <w:lvl w:ilvl="0">
      <w:lvlJc w:val="left"/>
      <w:lvlText w:val="(%1)"/>
      <w:numFmt w:val="lowerLetter"/>
      <w:start w:val="1"/>
    </w:lvl>
  </w:abstractNum>
  <w:abstractNum w:abstractNumId="108">
    <w:nsid w:val="3CA88ECF"/>
    <w:multiLevelType w:val="hybridMultilevel"/>
    <w:lvl w:ilvl="0">
      <w:lvlJc w:val="left"/>
      <w:lvlText w:val="(%1)"/>
      <w:numFmt w:val="upperLetter"/>
      <w:start w:val="1"/>
    </w:lvl>
  </w:abstractNum>
  <w:abstractNum w:abstractNumId="109">
    <w:nsid w:val="6EBE4208"/>
    <w:multiLevelType w:val="hybridMultilevel"/>
    <w:lvl w:ilvl="0">
      <w:lvlJc w:val="left"/>
      <w:lvlText w:val="(%1)"/>
      <w:numFmt w:val="upperLetter"/>
      <w:start w:val="2"/>
    </w:lvl>
  </w:abstractNum>
  <w:abstractNum w:abstractNumId="110">
    <w:nsid w:val="C058DF5"/>
    <w:multiLevelType w:val="hybridMultilevel"/>
    <w:lvl w:ilvl="0">
      <w:lvlJc w:val="left"/>
      <w:lvlText w:val="(%1)"/>
      <w:numFmt w:val="upperLetter"/>
      <w:start w:val="7"/>
    </w:lvl>
  </w:abstractNum>
  <w:abstractNum w:abstractNumId="111">
    <w:nsid w:val="CBE5BE9"/>
    <w:multiLevelType w:val="hybridMultilevel"/>
    <w:lvl w:ilvl="0">
      <w:lvlJc w:val="left"/>
      <w:lvlText w:val="%1"/>
      <w:numFmt w:val="lowerLetter"/>
      <w:start w:val="1"/>
    </w:lvl>
    <w:lvl w:ilvl="1">
      <w:lvlJc w:val="left"/>
      <w:lvlText w:val="(%2)"/>
      <w:numFmt w:val="upperLetter"/>
      <w:start w:val="10"/>
    </w:lvl>
  </w:abstractNum>
  <w:abstractNum w:abstractNumId="112">
    <w:nsid w:val="3102BBE2"/>
    <w:multiLevelType w:val="hybridMultilevel"/>
    <w:lvl w:ilvl="0">
      <w:lvlJc w:val="left"/>
      <w:lvlText w:val="(%1)"/>
      <w:numFmt w:val="lowerLetter"/>
      <w:start w:val="2"/>
    </w:lvl>
    <w:lvl w:ilvl="1">
      <w:lvlJc w:val="left"/>
      <w:lvlText w:val="%2"/>
      <w:numFmt w:val="upperLetter"/>
      <w:start w:val="1"/>
    </w:lvl>
  </w:abstractNum>
  <w:abstractNum w:abstractNumId="113">
    <w:nsid w:val="26A02C5E"/>
    <w:multiLevelType w:val="hybridMultilevel"/>
    <w:lvl w:ilvl="0">
      <w:lvlJc w:val="left"/>
      <w:lvlText w:val="(%1)"/>
      <w:numFmt w:val="lowerLetter"/>
      <w:start w:val="3"/>
    </w:lvl>
    <w:lvl w:ilvl="1">
      <w:lvlJc w:val="left"/>
      <w:lvlText w:val="(%2)"/>
      <w:numFmt w:val="lowerRoman"/>
      <w:start w:val="1"/>
    </w:lvl>
  </w:abstractNum>
  <w:abstractNum w:abstractNumId="114">
    <w:nsid w:val="541C8153"/>
    <w:multiLevelType w:val="hybridMultilevel"/>
    <w:lvl w:ilvl="0">
      <w:lvlJc w:val="left"/>
      <w:lvlText w:val="(%1)"/>
      <w:numFmt w:val="lowerLetter"/>
      <w:start w:val="5"/>
    </w:lvl>
  </w:abstractNum>
  <w:abstractNum w:abstractNumId="115">
    <w:nsid w:val="67906F60"/>
    <w:multiLevelType w:val="hybridMultilevel"/>
    <w:lvl w:ilvl="0">
      <w:lvlJc w:val="left"/>
      <w:lvlText w:val="(%1)"/>
      <w:numFmt w:val="lowerLetter"/>
      <w:start w:val="1"/>
    </w:lvl>
  </w:abstractNum>
  <w:abstractNum w:abstractNumId="116">
    <w:nsid w:val="10DB9DAA"/>
    <w:multiLevelType w:val="hybridMultilevel"/>
    <w:lvl w:ilvl="0">
      <w:lvlJc w:val="left"/>
      <w:lvlText w:val="(%1)"/>
      <w:numFmt w:val="lowerRoman"/>
      <w:start w:val="1"/>
    </w:lvl>
  </w:abstractNum>
  <w:abstractNum w:abstractNumId="117">
    <w:nsid w:val="697D2D2"/>
    <w:multiLevelType w:val="hybridMultilevel"/>
    <w:lvl w:ilvl="0">
      <w:lvlJc w:val="left"/>
      <w:lvlText w:val="%1"/>
      <w:numFmt w:val="lowerLetter"/>
      <w:start w:val="1"/>
    </w:lvl>
    <w:lvl w:ilvl="1">
      <w:lvlJc w:val="left"/>
      <w:lvlText w:val="(%2)"/>
      <w:numFmt w:val="lowerRoman"/>
      <w:start w:val="5"/>
    </w:lvl>
  </w:abstractNum>
  <w:abstractNum w:abstractNumId="118">
    <w:nsid w:val="6D68AB2"/>
    <w:multiLevelType w:val="hybridMultilevel"/>
    <w:lvl w:ilvl="0">
      <w:lvlJc w:val="left"/>
      <w:lvlText w:val="(%1)"/>
      <w:numFmt w:val="lowerLetter"/>
      <w:start w:val="2"/>
    </w:lvl>
    <w:lvl w:ilvl="1">
      <w:lvlJc w:val="left"/>
      <w:lvlText w:val="%2"/>
      <w:numFmt w:val="lowerRoman"/>
      <w:start w:val="1"/>
    </w:lvl>
  </w:abstractNum>
  <w:abstractNum w:abstractNumId="119">
    <w:nsid w:val="3A966CD0"/>
    <w:multiLevelType w:val="hybridMultilevel"/>
    <w:lvl w:ilvl="0">
      <w:lvlJc w:val="left"/>
      <w:lvlText w:val="(%1)"/>
      <w:numFmt w:val="lowerLetter"/>
      <w:start w:val="3"/>
    </w:lvl>
  </w:abstractNum>
  <w:abstractNum w:abstractNumId="120">
    <w:nsid w:val="63F37E85"/>
    <w:multiLevelType w:val="hybridMultilevel"/>
    <w:lvl w:ilvl="0">
      <w:lvlJc w:val="left"/>
      <w:lvlText w:val="(%1)"/>
      <w:numFmt w:val="lowerLetter"/>
      <w:start w:val="1"/>
    </w:lvl>
    <w:lvl w:ilvl="1">
      <w:lvlJc w:val="left"/>
      <w:lvlText w:val="(%2)"/>
      <w:numFmt w:val="lowerRoman"/>
      <w:start w:val="1"/>
    </w:lvl>
  </w:abstractNum>
  <w:abstractNum w:abstractNumId="121">
    <w:nsid w:val="5895F5FA"/>
    <w:multiLevelType w:val="hybridMultilevel"/>
    <w:lvl w:ilvl="0">
      <w:lvlJc w:val="left"/>
      <w:lvlText w:val="%1"/>
      <w:numFmt w:val="lowerLetter"/>
      <w:start w:val="1"/>
    </w:lvl>
    <w:lvl w:ilvl="1">
      <w:lvlJc w:val="left"/>
      <w:lvlText w:val="(%2)"/>
      <w:numFmt w:val="lowerRoman"/>
      <w:start w:val="6"/>
    </w:lvl>
  </w:abstractNum>
  <w:abstractNum w:abstractNumId="122">
    <w:nsid w:val="38A5D054"/>
    <w:multiLevelType w:val="hybridMultilevel"/>
    <w:lvl w:ilvl="0">
      <w:lvlJc w:val="left"/>
      <w:lvlText w:val="(%1)"/>
      <w:numFmt w:val="lowerLetter"/>
      <w:start w:val="2"/>
    </w:lvl>
    <w:lvl w:ilvl="1">
      <w:lvlJc w:val="left"/>
      <w:lvlText w:val="%2"/>
      <w:numFmt w:val="lowerRoman"/>
      <w:start w:val="1"/>
    </w:lvl>
  </w:abstractNum>
  <w:abstractNum w:abstractNumId="123">
    <w:nsid w:val="F3F09D8"/>
    <w:multiLevelType w:val="hybridMultilevel"/>
    <w:lvl w:ilvl="0">
      <w:lvlJc w:val="left"/>
      <w:lvlText w:val="(%1)"/>
      <w:numFmt w:val="lowerRoman"/>
      <w:start w:val="1"/>
    </w:lvl>
  </w:abstractNum>
  <w:abstractNum w:abstractNumId="124">
    <w:nsid w:val="4B793735"/>
    <w:multiLevelType w:val="hybridMultilevel"/>
    <w:lvl w:ilvl="0">
      <w:lvlJc w:val="left"/>
      <w:lvlText w:val="%1"/>
      <w:numFmt w:val="lowerLetter"/>
      <w:start w:val="1"/>
    </w:lvl>
    <w:lvl w:ilvl="1">
      <w:lvlJc w:val="left"/>
      <w:lvlText w:val="(%2)"/>
      <w:numFmt w:val="lowerRoman"/>
      <w:start w:val="5"/>
    </w:lvl>
  </w:abstractNum>
  <w:abstractNum w:abstractNumId="125">
    <w:nsid w:val="4A10B4E8"/>
    <w:multiLevelType w:val="hybridMultilevel"/>
    <w:lvl w:ilvl="0">
      <w:lvlJc w:val="left"/>
      <w:lvlText w:val="(%1)"/>
      <w:numFmt w:val="lowerLetter"/>
      <w:start w:val="4"/>
    </w:lvl>
    <w:lvl w:ilvl="1">
      <w:lvlJc w:val="left"/>
      <w:lvlText w:val="%2"/>
      <w:numFmt w:val="lowerRoman"/>
      <w:start w:val="1"/>
    </w:lvl>
  </w:abstractNum>
  <w:abstractNum w:abstractNumId="126">
    <w:nsid w:val="43D3BCD4"/>
    <w:multiLevelType w:val="hybridMultilevel"/>
    <w:lvl w:ilvl="0">
      <w:lvlJc w:val="left"/>
      <w:lvlText w:val="(%1)"/>
      <w:numFmt w:val="lowerLetter"/>
      <w:start w:val="5"/>
    </w:lvl>
  </w:abstractNum>
  <w:abstractNum w:abstractNumId="127">
    <w:nsid w:val="4C2A7166"/>
    <w:multiLevelType w:val="hybridMultilevel"/>
    <w:lvl w:ilvl="0">
      <w:lvlJc w:val="left"/>
      <w:lvlText w:val="(%1)"/>
      <w:numFmt w:val="lowerLetter"/>
      <w:start w:val="1"/>
    </w:lvl>
  </w:abstractNum>
  <w:abstractNum w:abstractNumId="128">
    <w:nsid w:val="2E534A82"/>
    <w:multiLevelType w:val="hybridMultilevel"/>
    <w:lvl w:ilvl="0">
      <w:lvlJc w:val="left"/>
      <w:lvlText w:val="(%1)"/>
      <w:numFmt w:val="lowerLetter"/>
      <w:start w:val="1"/>
    </w:lvl>
    <w:lvl w:ilvl="1">
      <w:lvlJc w:val="left"/>
      <w:lvlText w:val="(%2)"/>
      <w:numFmt w:val="lowerLetter"/>
      <w:start w:val="9"/>
    </w:lvl>
  </w:abstractNum>
  <w:abstractNum w:abstractNumId="129">
    <w:nsid w:val="26F2D364"/>
    <w:multiLevelType w:val="hybridMultilevel"/>
    <w:lvl w:ilvl="0">
      <w:lvlJc w:val="left"/>
      <w:lvlText w:val="%1"/>
      <w:numFmt w:val="lowerRoman"/>
      <w:start w:val="1"/>
    </w:lvl>
    <w:lvl w:ilvl="1">
      <w:lvlJc w:val="left"/>
      <w:lvlText w:val="(%2)"/>
      <w:numFmt w:val="lowerRoman"/>
      <w:start w:val="2"/>
    </w:lvl>
  </w:abstractNum>
  <w:abstractNum w:abstractNumId="130">
    <w:nsid w:val="71C1AF98"/>
    <w:multiLevelType w:val="hybridMultilevel"/>
    <w:lvl w:ilvl="0">
      <w:lvlJc w:val="left"/>
      <w:lvlText w:val="(%1)"/>
      <w:numFmt w:val="lowerRoman"/>
      <w:start w:val="2"/>
    </w:lvl>
    <w:lvl w:ilvl="1">
      <w:lvlJc w:val="left"/>
      <w:lvlText w:val="(%2)"/>
      <w:numFmt w:val="lowerRoman"/>
      <w:start w:val="4"/>
    </w:lvl>
  </w:abstractNum>
  <w:abstractNum w:abstractNumId="131">
    <w:nsid w:val="3D00B9D9"/>
    <w:multiLevelType w:val="hybridMultilevel"/>
    <w:lvl w:ilvl="0">
      <w:lvlJc w:val="left"/>
      <w:lvlText w:val="(%1)"/>
      <w:numFmt w:val="lowerLetter"/>
      <w:start w:val="4"/>
    </w:lvl>
  </w:abstractNum>
  <w:abstractNum w:abstractNumId="132">
    <w:nsid w:val="15BCABA8"/>
    <w:multiLevelType w:val="hybridMultilevel"/>
    <w:lvl w:ilvl="0">
      <w:lvlJc w:val="left"/>
      <w:lvlText w:val="(%1)"/>
      <w:numFmt w:val="lowerLetter"/>
      <w:start w:val="1"/>
    </w:lvl>
  </w:abstractNum>
  <w:abstractNum w:abstractNumId="133">
    <w:nsid w:val="4E0B9A87"/>
    <w:multiLevelType w:val="hybridMultilevel"/>
    <w:lvl w:ilvl="0">
      <w:lvlJc w:val="left"/>
      <w:lvlText w:val="(%1)"/>
      <w:numFmt w:val="lowerLetter"/>
      <w:start w:val="1"/>
    </w:lvl>
    <w:lvl w:ilvl="1">
      <w:lvlJc w:val="left"/>
      <w:lvlText w:val="(%2)"/>
      <w:numFmt w:val="lowerRoman"/>
      <w:start w:val="1"/>
    </w:lvl>
  </w:abstractNum>
  <w:abstractNum w:abstractNumId="134">
    <w:nsid w:val="434BAE7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35">
    <w:nsid w:val="4F38F26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36">
    <w:nsid w:val="4C502870"/>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37">
    <w:nsid w:val="1DE8725A"/>
    <w:multiLevelType w:val="hybridMultilevel"/>
    <w:lvl w:ilvl="0">
      <w:lvlJc w:val="left"/>
      <w:lvlText w:val="(%1)"/>
      <w:numFmt w:val="lowerLetter"/>
      <w:start w:val="5"/>
    </w:lvl>
  </w:abstractNum>
  <w:abstractNum w:abstractNumId="138">
    <w:nsid w:val="6A37288A"/>
    <w:multiLevelType w:val="hybridMultilevel"/>
    <w:lvl w:ilvl="0">
      <w:lvlJc w:val="left"/>
      <w:lvlText w:val="(%1)"/>
      <w:numFmt w:val="lowerLetter"/>
      <w:start w:val="1"/>
    </w:lvl>
  </w:abstractNum>
  <w:abstractNum w:abstractNumId="139">
    <w:nsid w:val="8F8B73F"/>
    <w:multiLevelType w:val="hybridMultilevel"/>
    <w:lvl w:ilvl="0">
      <w:lvlJc w:val="left"/>
      <w:lvlText w:val="(%1)"/>
      <w:numFmt w:val="lowerRoman"/>
      <w:start w:val="1"/>
    </w:lvl>
  </w:abstractNum>
  <w:abstractNum w:abstractNumId="140">
    <w:nsid w:val="CA6B462"/>
    <w:multiLevelType w:val="hybridMultilevel"/>
    <w:lvl w:ilvl="0">
      <w:lvlJc w:val="left"/>
      <w:lvlText w:val="(%1)"/>
      <w:numFmt w:val="lowerRoman"/>
      <w:start w:val="7"/>
    </w:lvl>
  </w:abstractNum>
  <w:abstractNum w:abstractNumId="141">
    <w:nsid w:val="763CB680"/>
    <w:multiLevelType w:val="hybridMultilevel"/>
    <w:lvl w:ilvl="0">
      <w:lvlJc w:val="left"/>
      <w:lvlText w:val="(%1)"/>
      <w:numFmt w:val="upperLetter"/>
      <w:start w:val="1"/>
    </w:lvl>
  </w:abstractNum>
  <w:abstractNum w:abstractNumId="142">
    <w:nsid w:val="15B71329"/>
    <w:multiLevelType w:val="hybridMultilevel"/>
    <w:lvl w:ilvl="0">
      <w:lvlJc w:val="left"/>
      <w:lvlText w:val="%1"/>
      <w:numFmt w:val="lowerLetter"/>
      <w:start w:val="1"/>
    </w:lvl>
    <w:lvl w:ilvl="1">
      <w:lvlJc w:val="left"/>
      <w:lvlText w:val="(%2)"/>
      <w:numFmt w:val="lowerRoman"/>
      <w:start w:val="9"/>
    </w:lvl>
  </w:abstractNum>
  <w:abstractNum w:abstractNumId="143">
    <w:nsid w:val="3DA97044"/>
    <w:multiLevelType w:val="hybridMultilevel"/>
    <w:lvl w:ilvl="0">
      <w:lvlJc w:val="left"/>
      <w:lvlText w:val="(%1)"/>
      <w:numFmt w:val="lowerLetter"/>
      <w:start w:val="2"/>
    </w:lvl>
    <w:lvl w:ilvl="1">
      <w:lvlJc w:val="left"/>
      <w:lvlText w:val="%2"/>
      <w:numFmt w:val="lowerRoman"/>
      <w:start w:val="1"/>
    </w:lvl>
  </w:abstractNum>
  <w:abstractNum w:abstractNumId="144">
    <w:nsid w:val="1CDCE2DE"/>
    <w:multiLevelType w:val="hybridMultilevel"/>
    <w:lvl w:ilvl="0">
      <w:lvlJc w:val="left"/>
      <w:lvlText w:val="(%1)"/>
      <w:numFmt w:val="lowerLetter"/>
      <w:start w:val="3"/>
    </w:lvl>
  </w:abstractNum>
  <w:abstractNum w:abstractNumId="145">
    <w:nsid w:val="69D3947C"/>
    <w:multiLevelType w:val="hybridMultilevel"/>
    <w:lvl w:ilvl="0">
      <w:lvlJc w:val="left"/>
      <w:lvlText w:val="%1"/>
      <w:numFmt w:val="lowerLetter"/>
      <w:start w:val="1"/>
    </w:lvl>
    <w:lvl w:ilvl="1">
      <w:lvlJc w:val="left"/>
      <w:lvlText w:val="(%2)"/>
      <w:numFmt w:val="lowerLetter"/>
      <w:start w:val="8"/>
    </w:lvl>
  </w:abstractNum>
  <w:abstractNum w:abstractNumId="146">
    <w:nsid w:val="2539DFA5"/>
    <w:multiLevelType w:val="hybridMultilevel"/>
    <w:lvl w:ilvl="0">
      <w:lvlJc w:val="left"/>
      <w:lvlText w:val="(%1)"/>
      <w:numFmt w:val="lowerLetter"/>
      <w:start w:val="1"/>
    </w:lvl>
    <w:lvl w:ilvl="1">
      <w:lvlJc w:val="left"/>
      <w:lvlText w:val="(%2)"/>
      <w:numFmt w:val="lowerLetter"/>
      <w:start w:val="9"/>
    </w:lvl>
  </w:abstractNum>
  <w:abstractNum w:abstractNumId="147">
    <w:nsid w:val="2DB88089"/>
    <w:multiLevelType w:val="hybridMultilevel"/>
    <w:lvl w:ilvl="0">
      <w:lvlJc w:val="left"/>
      <w:lvlText w:val="(%1)"/>
      <w:numFmt w:val="lowerLetter"/>
      <w:start w:val="1"/>
    </w:lvl>
  </w:abstractNum>
  <w:abstractNum w:abstractNumId="148">
    <w:nsid w:val="706B674E"/>
    <w:multiLevelType w:val="hybridMultilevel"/>
    <w:lvl w:ilvl="0">
      <w:lvlJc w:val="left"/>
      <w:lvlText w:val="(%1)"/>
      <w:numFmt w:val="lowerLetter"/>
      <w:start w:val="3"/>
    </w:lvl>
  </w:abstractNum>
  <w:abstractNum w:abstractNumId="149">
    <w:nsid w:val="2C106A57"/>
    <w:multiLevelType w:val="hybridMultilevel"/>
    <w:lvl w:ilvl="0">
      <w:lvlJc w:val="left"/>
      <w:lvlText w:val="(%1)"/>
      <w:numFmt w:val="lowerLetter"/>
      <w:start w:val="1"/>
    </w:lvl>
  </w:abstractNum>
  <w:abstractNum w:abstractNumId="150">
    <w:nsid w:val="684EED59"/>
    <w:multiLevelType w:val="hybridMultilevel"/>
    <w:lvl w:ilvl="0">
      <w:lvlJc w:val="left"/>
      <w:lvlText w:val="(%1)"/>
      <w:numFmt w:val="lowerLetter"/>
      <w:start w:val="2"/>
    </w:lvl>
  </w:abstractNum>
  <w:abstractNum w:abstractNumId="151">
    <w:nsid w:val="545EE5D3"/>
    <w:multiLevelType w:val="hybridMultilevel"/>
    <w:lvl w:ilvl="0">
      <w:lvlJc w:val="left"/>
      <w:lvlText w:val="(%1)"/>
      <w:numFmt w:val="lowerLetter"/>
      <w:start w:val="1"/>
    </w:lvl>
  </w:abstractNum>
  <w:abstractNum w:abstractNumId="152">
    <w:nsid w:val="4A66051"/>
    <w:multiLevelType w:val="hybridMultilevel"/>
    <w:lvl w:ilvl="0">
      <w:lvlJc w:val="left"/>
      <w:lvlText w:val="(%1)"/>
      <w:numFmt w:val="lowerLetter"/>
      <w:start w:val="1"/>
    </w:lvl>
  </w:abstractNum>
  <w:abstractNum w:abstractNumId="153">
    <w:nsid w:val="20F4BDAD"/>
    <w:multiLevelType w:val="hybridMultilevel"/>
    <w:lvl w:ilvl="0">
      <w:lvlJc w:val="left"/>
      <w:lvlText w:val="(%1)"/>
      <w:numFmt w:val="lowerLetter"/>
      <w:start w:val="1"/>
    </w:lvl>
  </w:abstractNum>
  <w:abstractNum w:abstractNumId="154">
    <w:nsid w:val="639DEFAC"/>
    <w:multiLevelType w:val="hybridMultilevel"/>
    <w:lvl w:ilvl="0">
      <w:lvlJc w:val="left"/>
      <w:lvlText w:val="(%1)"/>
      <w:numFmt w:val="lowerLetter"/>
      <w:start w:val="2"/>
    </w:lvl>
  </w:abstractNum>
  <w:abstractNum w:abstractNumId="155">
    <w:nsid w:val="501F9786"/>
    <w:multiLevelType w:val="hybridMultilevel"/>
    <w:lvl w:ilvl="0">
      <w:lvlJc w:val="left"/>
      <w:lvlText w:val="(%1)"/>
      <w:numFmt w:val="lowerLetter"/>
      <w:start w:val="5"/>
    </w:lvl>
  </w:abstractNum>
  <w:abstractNum w:abstractNumId="156">
    <w:nsid w:val="6B057295"/>
    <w:multiLevelType w:val="hybridMultilevel"/>
    <w:lvl w:ilvl="0">
      <w:lvlJc w:val="left"/>
      <w:lvlText w:val="(%1)"/>
      <w:numFmt w:val="lowerLetter"/>
      <w:start w:val="9"/>
    </w:lvl>
  </w:abstractNum>
  <w:abstractNum w:abstractNumId="157">
    <w:nsid w:val="2771AC80"/>
    <w:multiLevelType w:val="hybridMultilevel"/>
    <w:lvl w:ilvl="0">
      <w:lvlJc w:val="left"/>
      <w:lvlText w:val="%1"/>
      <w:numFmt w:val="lowerLetter"/>
      <w:start w:val="1"/>
    </w:lvl>
    <w:lvl w:ilvl="1">
      <w:lvlJc w:val="left"/>
      <w:lvlText w:val="(%2)"/>
      <w:numFmt w:val="lowerLetter"/>
      <w:start w:val="1"/>
    </w:lvl>
  </w:abstractNum>
  <w:abstractNum w:abstractNumId="158">
    <w:nsid w:val="1C4A08EC"/>
    <w:multiLevelType w:val="hybridMultilevel"/>
    <w:lvl w:ilvl="0">
      <w:lvlJc w:val="left"/>
      <w:lvlText w:val="(%1)"/>
      <w:numFmt w:val="lowerLetter"/>
      <w:start w:val="61"/>
    </w:lvl>
    <w:lvl w:ilvl="1">
      <w:lvlJc w:val="left"/>
      <w:lvlText w:val="%2"/>
      <w:numFmt w:val="lowerLetter"/>
      <w:start w:val="1"/>
    </w:lvl>
  </w:abstractNum>
  <w:abstractNum w:abstractNumId="159">
    <w:nsid w:val="1958BD17"/>
    <w:multiLevelType w:val="hybridMultilevel"/>
    <w:lvl w:ilvl="0">
      <w:lvlJc w:val="left"/>
      <w:lvlText w:val="(%1)"/>
      <w:numFmt w:val="lowerLetter"/>
      <w:start w:val="2"/>
    </w:lvl>
  </w:abstractNum>
  <w:abstractNum w:abstractNumId="160">
    <w:nsid w:val="4E647FE4"/>
    <w:multiLevelType w:val="hybridMultilevel"/>
    <w:lvl w:ilvl="0">
      <w:lvlJc w:val="left"/>
      <w:lvlText w:val="(%1)"/>
      <w:numFmt w:val="lowerLetter"/>
      <w:start w:val="1"/>
    </w:lvl>
  </w:abstractNum>
  <w:abstractNum w:abstractNumId="161">
    <w:nsid w:val="E0BB885"/>
    <w:multiLevelType w:val="hybridMultilevel"/>
    <w:lvl w:ilvl="0">
      <w:lvlJc w:val="left"/>
      <w:lvlText w:val="(%1)"/>
      <w:numFmt w:val="lowerLetter"/>
      <w:start w:val="5"/>
    </w:lvl>
  </w:abstractNum>
  <w:abstractNum w:abstractNumId="162">
    <w:nsid w:val="565976F1"/>
    <w:multiLevelType w:val="hybridMultilevel"/>
    <w:lvl w:ilvl="0">
      <w:lvlJc w:val="left"/>
      <w:lvlText w:val="(%1)"/>
      <w:numFmt w:val="lowerLetter"/>
      <w:start w:val="13"/>
    </w:lvl>
  </w:abstractNum>
  <w:abstractNum w:abstractNumId="163">
    <w:nsid w:val="64212B8C"/>
    <w:multiLevelType w:val="hybridMultilevel"/>
    <w:lvl w:ilvl="0">
      <w:lvlJc w:val="left"/>
      <w:lvlText w:val="(%1)"/>
      <w:numFmt w:val="lowerLetter"/>
      <w:start w:val="1"/>
    </w:lvl>
  </w:abstractNum>
  <w:abstractNum w:abstractNumId="164">
    <w:nsid w:val="5C17530C"/>
    <w:multiLevelType w:val="hybridMultilevel"/>
    <w:lvl w:ilvl="0">
      <w:lvlJc w:val="left"/>
      <w:lvlText w:val="(%1)"/>
      <w:numFmt w:val="lowerLetter"/>
      <w:start w:val="4"/>
    </w:lvl>
  </w:abstractNum>
  <w:abstractNum w:abstractNumId="165">
    <w:nsid w:val="19A52566"/>
    <w:multiLevelType w:val="hybridMultilevel"/>
    <w:lvl w:ilvl="0">
      <w:lvlJc w:val="left"/>
      <w:lvlText w:val="(%1)"/>
      <w:numFmt w:val="lowerLetter"/>
      <w:start w:val="6"/>
    </w:lvl>
  </w:abstractNum>
  <w:abstractNum w:abstractNumId="166">
    <w:nsid w:val="335A1DF1"/>
    <w:multiLevelType w:val="hybridMultilevel"/>
    <w:lvl w:ilvl="0">
      <w:lvlJc w:val="left"/>
      <w:lvlText w:val="(%1)"/>
      <w:numFmt w:val="lowerLetter"/>
      <w:start w:val="9"/>
    </w:lvl>
  </w:abstractNum>
  <w:abstractNum w:abstractNumId="167">
    <w:nsid w:val="28677B7C"/>
    <w:multiLevelType w:val="hybridMultilevel"/>
    <w:lvl w:ilvl="0">
      <w:lvlJc w:val="left"/>
      <w:lvlText w:val="%1"/>
      <w:numFmt w:val="lowerLetter"/>
      <w:start w:val="1"/>
    </w:lvl>
    <w:lvl w:ilvl="1">
      <w:lvlJc w:val="left"/>
      <w:lvlText w:val="(%2)"/>
      <w:numFmt w:val="lowerLetter"/>
      <w:start w:val="16"/>
    </w:lvl>
    <w:lvl w:ilvl="2">
      <w:lvlJc w:val="left"/>
      <w:lvlText w:val="%3"/>
      <w:numFmt w:val="upperLetter"/>
      <w:start w:val="1"/>
    </w:lvl>
  </w:abstractNum>
  <w:abstractNum w:abstractNumId="168">
    <w:nsid w:val="378D97C0"/>
    <w:multiLevelType w:val="hybridMultilevel"/>
    <w:lvl w:ilvl="0">
      <w:lvlJc w:val="left"/>
      <w:lvlText w:val="(%1)"/>
      <w:numFmt w:val="lowerLetter"/>
      <w:start w:val="25"/>
    </w:lvl>
    <w:lvl w:ilvl="1">
      <w:lvlJc w:val="left"/>
      <w:lvlText w:val="(%2)"/>
      <w:numFmt w:val="lowerLetter"/>
      <w:start w:val="18"/>
    </w:lvl>
    <w:lvl w:ilvl="2">
      <w:lvlJc w:val="left"/>
      <w:lvlText w:val="(%3)"/>
      <w:numFmt w:val="upperLetter"/>
      <w:start w:val="1"/>
    </w:lvl>
  </w:abstractNum>
  <w:abstractNum w:abstractNumId="169">
    <w:nsid w:val="1D91467C"/>
    <w:multiLevelType w:val="hybridMultilevel"/>
    <w:lvl w:ilvl="0">
      <w:lvlJc w:val="left"/>
      <w:lvlText w:val="%1"/>
      <w:numFmt w:val="lowerLetter"/>
      <w:start w:val="1"/>
    </w:lvl>
    <w:lvl w:ilvl="1">
      <w:lvlJc w:val="left"/>
      <w:lvlText w:val="(%2)"/>
      <w:numFmt w:val="upperLetter"/>
      <w:start w:val="4"/>
    </w:lvl>
  </w:abstractNum>
  <w:abstractNum w:abstractNumId="170">
    <w:nsid w:val="316032BB"/>
    <w:multiLevelType w:val="hybridMultilevel"/>
    <w:lvl w:ilvl="0">
      <w:lvlJc w:val="left"/>
      <w:lvlText w:val="(%1)"/>
      <w:numFmt w:val="lowerLetter"/>
      <w:start w:val="20"/>
    </w:lvl>
    <w:lvl w:ilvl="1">
      <w:lvlJc w:val="left"/>
      <w:lvlText w:val="%2"/>
      <w:numFmt w:val="upperLetter"/>
      <w:start w:val="1"/>
    </w:lvl>
  </w:abstractNum>
  <w:abstractNum w:abstractNumId="171">
    <w:nsid w:val="44344C22"/>
    <w:multiLevelType w:val="hybridMultilevel"/>
    <w:lvl w:ilvl="0">
      <w:lvlJc w:val="left"/>
      <w:lvlText w:val="(%1)"/>
      <w:numFmt w:val="lowerRoman"/>
      <w:start w:val="5"/>
    </w:lvl>
  </w:abstractNum>
  <w:abstractNum w:abstractNumId="172">
    <w:nsid w:val="13CDFCFC"/>
    <w:multiLevelType w:val="hybridMultilevel"/>
    <w:lvl w:ilvl="0">
      <w:lvlJc w:val="left"/>
      <w:lvlText w:val="(%1)"/>
      <w:numFmt w:val="lowerLetter"/>
      <w:start w:val="23"/>
    </w:lvl>
  </w:abstractNum>
  <w:abstractNum w:abstractNumId="173">
    <w:nsid w:val="471745E4"/>
    <w:multiLevelType w:val="hybridMultilevel"/>
    <w:lvl w:ilvl="0">
      <w:lvlJc w:val="left"/>
      <w:lvlText w:val="(%1)"/>
      <w:numFmt w:val="lowerLetter"/>
      <w:start w:val="25"/>
    </w:lvl>
  </w:abstractNum>
  <w:abstractNum w:abstractNumId="174">
    <w:nsid w:val="1DDBC66"/>
    <w:multiLevelType w:val="hybridMultilevel"/>
    <w:lvl w:ilvl="0">
      <w:lvlJc w:val="left"/>
      <w:lvlText w:val="(%1)"/>
      <w:numFmt w:val="lowerLetter"/>
      <w:start w:val="27"/>
    </w:lvl>
  </w:abstractNum>
  <w:abstractNum w:abstractNumId="175">
    <w:nsid w:val="30AADFDA"/>
    <w:multiLevelType w:val="hybridMultilevel"/>
    <w:lvl w:ilvl="0">
      <w:lvlJc w:val="left"/>
      <w:lvlText w:val="(%1)"/>
      <w:numFmt w:val="lowerLetter"/>
      <w:start w:val="34"/>
    </w:lvl>
  </w:abstractNum>
  <w:abstractNum w:abstractNumId="176">
    <w:nsid w:val="30EADA61"/>
    <w:multiLevelType w:val="hybridMultilevel"/>
    <w:lvl w:ilvl="0">
      <w:lvlJc w:val="left"/>
      <w:lvlText w:val="%1"/>
      <w:numFmt w:val="lowerLetter"/>
      <w:start w:val="1"/>
    </w:lvl>
    <w:lvl w:ilvl="1">
      <w:lvlJc w:val="left"/>
      <w:lvlText w:val="(%2)"/>
      <w:numFmt w:val="upperLetter"/>
      <w:start w:val="35"/>
    </w:lvl>
  </w:abstractNum>
  <w:abstractNum w:abstractNumId="177">
    <w:nsid w:val="27179C0B"/>
    <w:multiLevelType w:val="hybridMultilevel"/>
    <w:lvl w:ilvl="0">
      <w:lvlJc w:val="left"/>
      <w:lvlText w:val="(%1)"/>
      <w:numFmt w:val="lowerLetter"/>
      <w:start w:val="1"/>
    </w:lvl>
    <w:lvl w:ilvl="1">
      <w:lvlJc w:val="left"/>
      <w:lvlText w:val="%2"/>
      <w:numFmt w:val="upperLetter"/>
      <w:start w:val="1"/>
    </w:lvl>
  </w:abstractNum>
  <w:abstractNum w:abstractNumId="178">
    <w:nsid w:val="5E636063"/>
    <w:multiLevelType w:val="hybridMultilevel"/>
    <w:lvl w:ilvl="0">
      <w:lvlJc w:val="left"/>
      <w:lvlText w:val="(%1)"/>
      <w:numFmt w:val="lowerLetter"/>
      <w:start w:val="2"/>
    </w:lvl>
  </w:abstractNum>
  <w:abstractNum w:abstractNumId="179">
    <w:nsid w:val="215641AF"/>
    <w:multiLevelType w:val="hybridMultilevel"/>
    <w:lvl w:ilvl="0">
      <w:lvlJc w:val="left"/>
      <w:lvlText w:val="(%1)"/>
      <w:numFmt w:val="lowerLetter"/>
      <w:start w:val="5"/>
    </w:lvl>
  </w:abstractNum>
  <w:abstractNum w:abstractNumId="180">
    <w:nsid w:val="53280662"/>
    <w:multiLevelType w:val="hybridMultilevel"/>
    <w:lvl w:ilvl="0">
      <w:lvlJc w:val="left"/>
      <w:lvlText w:val="(%1)"/>
      <w:numFmt w:val="lowerLetter"/>
      <w:start w:val="10"/>
    </w:lvl>
  </w:abstractNum>
  <w:abstractNum w:abstractNumId="181">
    <w:nsid w:val="46B24DBC"/>
    <w:multiLevelType w:val="hybridMultilevel"/>
    <w:lvl w:ilvl="0">
      <w:lvlJc w:val="left"/>
      <w:lvlText w:val="(%1)"/>
      <w:numFmt w:val="lowerLetter"/>
      <w:start w:val="18"/>
    </w:lvl>
  </w:abstractNum>
  <w:abstractNum w:abstractNumId="182">
    <w:nsid w:val="75B52783"/>
    <w:multiLevelType w:val="hybridMultilevel"/>
    <w:lvl w:ilvl="0">
      <w:lvlJc w:val="left"/>
      <w:lvlText w:val="(%1)"/>
      <w:numFmt w:val="lowerLetter"/>
      <w:start w:val="27"/>
    </w:lvl>
  </w:abstractNum>
  <w:abstractNum w:abstractNumId="183">
    <w:nsid w:val="57CE66B4"/>
    <w:multiLevelType w:val="hybridMultilevel"/>
    <w:lvl w:ilvl="0">
      <w:lvlJc w:val="left"/>
      <w:lvlText w:val="(%1)"/>
      <w:numFmt w:val="lowerLetter"/>
      <w:start w:val="29"/>
    </w:lvl>
  </w:abstractNum>
  <w:abstractNum w:abstractNumId="184">
    <w:nsid w:val="67A70B69"/>
    <w:multiLevelType w:val="hybridMultilevel"/>
    <w:lvl w:ilvl="0">
      <w:lvlJc w:val="left"/>
      <w:lvlText w:val="(%1)"/>
      <w:numFmt w:val="lowerLetter"/>
      <w:start w:val="1"/>
    </w:lvl>
  </w:abstractNum>
  <w:abstractNum w:abstractNumId="185">
    <w:nsid w:val="5953172F"/>
    <w:multiLevelType w:val="hybridMultilevel"/>
    <w:lvl w:ilvl="0">
      <w:lvlJc w:val="left"/>
      <w:lvlText w:val="%1"/>
      <w:numFmt w:val="lowerLetter"/>
      <w:start w:val="1"/>
    </w:lvl>
    <w:lvl w:ilvl="1">
      <w:lvlJc w:val="left"/>
      <w:lvlText w:val="(%2)"/>
      <w:numFmt w:val="lowerLetter"/>
      <w:start w:val="3"/>
    </w:lvl>
  </w:abstractNum>
  <w:abstractNum w:abstractNumId="186">
    <w:nsid w:val="27EDFE3A"/>
    <w:multiLevelType w:val="hybridMultilevel"/>
    <w:lvl w:ilvl="0">
      <w:lvlJc w:val="left"/>
      <w:lvlText w:val="(%1)"/>
      <w:numFmt w:val="lowerLetter"/>
      <w:start w:val="9"/>
    </w:lvl>
    <w:lvl w:ilvl="1">
      <w:lvlJc w:val="left"/>
      <w:lvlText w:val="%2"/>
      <w:numFmt w:val="lowerLetter"/>
      <w:start w:val="1"/>
    </w:lvl>
  </w:abstractNum>
  <w:abstractNum w:abstractNumId="187">
    <w:nsid w:val="52AC7DFF"/>
    <w:multiLevelType w:val="hybridMultilevel"/>
    <w:lvl w:ilvl="0">
      <w:lvlJc w:val="left"/>
      <w:lvlText w:val="(%1)"/>
      <w:numFmt w:val="lowerLetter"/>
      <w:start w:val="13"/>
    </w:lvl>
  </w:abstractNum>
  <w:abstractNum w:abstractNumId="188">
    <w:nsid w:val="C4C3AF"/>
    <w:multiLevelType w:val="hybridMultilevel"/>
    <w:lvl w:ilvl="0">
      <w:lvlJc w:val="left"/>
      <w:lvlText w:val="(%1)"/>
      <w:numFmt w:val="lowerLetter"/>
      <w:start w:val="21"/>
    </w:lvl>
  </w:abstractNum>
  <w:abstractNum w:abstractNumId="189">
    <w:nsid w:val="44380727"/>
    <w:multiLevelType w:val="hybridMultilevel"/>
    <w:lvl w:ilvl="0">
      <w:lvlJc w:val="left"/>
      <w:lvlText w:val="%1"/>
      <w:numFmt w:val="lowerLetter"/>
      <w:start w:val="1"/>
    </w:lvl>
    <w:lvl w:ilvl="1">
      <w:lvlJc w:val="left"/>
      <w:lvlText w:val="(%2)"/>
      <w:numFmt w:val="lowerLetter"/>
      <w:start w:val="26"/>
    </w:lvl>
  </w:abstractNum>
  <w:abstractNum w:abstractNumId="190">
    <w:nsid w:val="6C053B16"/>
    <w:multiLevelType w:val="hybridMultilevel"/>
    <w:lvl w:ilvl="0">
      <w:lvlJc w:val="left"/>
      <w:lvlText w:val="(%1)"/>
      <w:numFmt w:val="lowerLetter"/>
      <w:start w:val="23"/>
    </w:lvl>
    <w:lvl w:ilvl="1">
      <w:lvlJc w:val="left"/>
      <w:lvlText w:val="(%2)"/>
      <w:numFmt w:val="lowerLetter"/>
      <w:start w:val="27"/>
    </w:lvl>
  </w:abstractNum>
  <w:abstractNum w:abstractNumId="191">
    <w:nsid w:val="4F29439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92">
    <w:nsid w:val="5243BFAC"/>
    <w:multiLevelType w:val="hybridMultilevel"/>
    <w:lvl w:ilvl="0">
      <w:lvlJc w:val="left"/>
      <w:lvlText w:val="(%1)"/>
      <w:numFmt w:val="upperLetter"/>
      <w:start w:val="35"/>
    </w:lvl>
    <w:lvl w:ilvl="1">
      <w:lvlJc w:val="left"/>
      <w:lvlText w:val="(%2)"/>
      <w:numFmt w:val="lowerLetter"/>
      <w:start w:val="1"/>
    </w:lvl>
    <w:lvl w:ilvl="2">
      <w:lvlJc w:val="left"/>
      <w:lvlText w:val="%3"/>
      <w:numFmt w:val="lowerLetter"/>
      <w:start w:val="1"/>
    </w:lvl>
  </w:abstractNum>
  <w:abstractNum w:abstractNumId="193">
    <w:nsid w:val="425EB207"/>
    <w:multiLevelType w:val="hybridMultilevel"/>
    <w:lvl w:ilvl="0">
      <w:lvlJc w:val="left"/>
      <w:lvlText w:val="(%1)"/>
      <w:numFmt w:val="lowerLetter"/>
      <w:start w:val="7"/>
    </w:lvl>
  </w:abstractNum>
  <w:abstractNum w:abstractNumId="194">
    <w:nsid w:val="334A6F1F"/>
    <w:multiLevelType w:val="hybridMultilevel"/>
    <w:lvl w:ilvl="0">
      <w:lvlJc w:val="left"/>
      <w:lvlText w:val="%1"/>
      <w:numFmt w:val="lowerRoman"/>
      <w:start w:val="1"/>
    </w:lvl>
    <w:lvl w:ilvl="1">
      <w:lvlJc w:val="left"/>
      <w:lvlText w:val="(%2)"/>
      <w:numFmt w:val="lowerLetter"/>
      <w:start w:val="16"/>
    </w:lvl>
  </w:abstractNum>
  <w:abstractNum w:abstractNumId="195">
    <w:nsid w:val="2E5B12B8"/>
    <w:multiLevelType w:val="hybridMultilevel"/>
    <w:lvl w:ilvl="0">
      <w:lvlJc w:val="left"/>
      <w:lvlText w:val="(%1)"/>
      <w:numFmt w:val="lowerRoman"/>
      <w:start w:val="4"/>
    </w:lvl>
    <w:lvl w:ilvl="1">
      <w:lvlJc w:val="left"/>
      <w:lvlText w:val="(%2)"/>
      <w:numFmt w:val="lowerLetter"/>
      <w:start w:val="18"/>
    </w:lvl>
  </w:abstractNum>
  <w:abstractNum w:abstractNumId="196">
    <w:nsid w:val="5C03D76D"/>
    <w:multiLevelType w:val="hybridMultilevel"/>
    <w:lvl w:ilvl="0">
      <w:lvlJc w:val="left"/>
      <w:lvlText w:val="(%1)"/>
      <w:numFmt w:val="lowerLetter"/>
      <w:start w:val="25"/>
    </w:lvl>
  </w:abstractNum>
  <w:abstractNum w:abstractNumId="197">
    <w:nsid w:val="66A48D11"/>
    <w:multiLevelType w:val="hybridMultilevel"/>
    <w:lvl w:ilvl="0">
      <w:lvlJc w:val="left"/>
      <w:lvlText w:val="(%1)"/>
      <w:numFmt w:val="lowerLetter"/>
      <w:start w:val="27"/>
    </w:lvl>
  </w:abstractNum>
  <w:abstractNum w:abstractNumId="198">
    <w:nsid w:val="56C28E34"/>
    <w:multiLevelType w:val="hybridMultilevel"/>
    <w:lvl w:ilvl="0">
      <w:lvlJc w:val="left"/>
      <w:lvlText w:val="(%1)"/>
      <w:numFmt w:val="lowerLetter"/>
      <w:start w:val="35"/>
    </w:lvl>
  </w:abstractNum>
  <w:abstractNum w:abstractNumId="199">
    <w:nsid w:val="13916F2D"/>
    <w:multiLevelType w:val="hybridMultilevel"/>
    <w:lvl w:ilvl="0">
      <w:lvlJc w:val="left"/>
      <w:lvlText w:val="(%1)"/>
      <w:numFmt w:val="lowerLetter"/>
      <w:start w:val="1"/>
    </w:lvl>
  </w:abstractNum>
  <w:abstractNum w:abstractNumId="200">
    <w:nsid w:val="435D38D"/>
    <w:multiLevelType w:val="hybridMultilevel"/>
    <w:lvl w:ilvl="0">
      <w:lvlJc w:val="left"/>
      <w:lvlText w:val="(%1)"/>
      <w:numFmt w:val="lowerLetter"/>
      <w:start w:val="4"/>
    </w:lvl>
  </w:abstractNum>
  <w:abstractNum w:abstractNumId="201">
    <w:nsid w:val="822C0EF"/>
    <w:multiLevelType w:val="hybridMultilevel"/>
    <w:lvl w:ilvl="0">
      <w:lvlJc w:val="left"/>
      <w:lvlText w:val="%1"/>
      <w:numFmt w:val="lowerLetter"/>
      <w:start w:val="1"/>
    </w:lvl>
    <w:lvl w:ilvl="1">
      <w:lvlJc w:val="left"/>
      <w:lvlText w:val="(%2)"/>
      <w:numFmt w:val="lowerLetter"/>
      <w:start w:val="10"/>
    </w:lvl>
  </w:abstractNum>
  <w:abstractNum w:abstractNumId="202">
    <w:nsid w:val="57C5BB4F"/>
    <w:multiLevelType w:val="hybridMultilevel"/>
    <w:lvl w:ilvl="0">
      <w:lvlJc w:val="left"/>
      <w:lvlText w:val="(%1)"/>
      <w:numFmt w:val="lowerLetter"/>
      <w:start w:val="24"/>
    </w:lvl>
    <w:lvl w:ilvl="1">
      <w:lvlJc w:val="left"/>
      <w:lvlText w:val="%2"/>
      <w:numFmt w:val="lowerLetter"/>
      <w:start w:val="1"/>
    </w:lvl>
  </w:abstractNum>
  <w:abstractNum w:abstractNumId="203">
    <w:nsid w:val="1803D089"/>
    <w:multiLevelType w:val="hybridMultilevel"/>
    <w:lvl w:ilvl="0">
      <w:lvlJc w:val="left"/>
      <w:lvlText w:val="(%1)"/>
      <w:numFmt w:val="lowerLetter"/>
      <w:start w:val="17"/>
    </w:lvl>
  </w:abstractNum>
  <w:abstractNum w:abstractNumId="204">
    <w:nsid w:val="4F3A06D4"/>
    <w:multiLevelType w:val="hybridMultilevel"/>
    <w:lvl w:ilvl="0">
      <w:lvlJc w:val="left"/>
      <w:lvlText w:val="(%1)"/>
      <w:numFmt w:val="lowerLetter"/>
      <w:start w:val="1"/>
    </w:lvl>
  </w:abstractNum>
  <w:abstractNum w:abstractNumId="205">
    <w:nsid w:val="59A377B6"/>
    <w:multiLevelType w:val="hybridMultilevel"/>
    <w:lvl w:ilvl="0">
      <w:lvlJc w:val="left"/>
      <w:lvlText w:val="(%1)"/>
      <w:numFmt w:val="lowerLetter"/>
      <w:start w:val="6"/>
    </w:lvl>
  </w:abstractNum>
  <w:abstractNum w:abstractNumId="206">
    <w:nsid w:val="48AEB063"/>
    <w:multiLevelType w:val="hybridMultilevel"/>
    <w:lvl w:ilvl="0">
      <w:lvlJc w:val="left"/>
      <w:lvlText w:val="(%1)"/>
      <w:numFmt w:val="lowerLetter"/>
      <w:start w:val="11"/>
    </w:lvl>
  </w:abstractNum>
  <w:abstractNum w:abstractNumId="207">
    <w:nsid w:val="24E135"/>
    <w:multiLevelType w:val="hybridMultilevel"/>
    <w:lvl w:ilvl="0">
      <w:lvlJc w:val="left"/>
      <w:lvlText w:val="(%1)"/>
      <w:numFmt w:val="lowerLetter"/>
      <w:start w:val="19"/>
    </w:lvl>
  </w:abstractNum>
  <w:abstractNum w:abstractNumId="208">
    <w:nsid w:val="BB13C1"/>
    <w:multiLevelType w:val="hybridMultilevel"/>
    <w:lvl w:ilvl="0">
      <w:lvlJc w:val="left"/>
      <w:lvlText w:val="(%1)"/>
      <w:numFmt w:val="lowerLetter"/>
      <w:start w:val="27"/>
    </w:lvl>
  </w:abstractNum>
  <w:abstractNum w:abstractNumId="209">
    <w:nsid w:val="271210C7"/>
    <w:multiLevelType w:val="hybridMultilevel"/>
    <w:lvl w:ilvl="0">
      <w:lvlJc w:val="left"/>
      <w:lvlText w:val="(%1)"/>
      <w:numFmt w:val="lowerLetter"/>
      <w:start w:val="1"/>
    </w:lvl>
  </w:abstractNum>
  <w:abstractNum w:abstractNumId="210">
    <w:nsid w:val="217B22E4"/>
    <w:multiLevelType w:val="hybridMultilevel"/>
    <w:lvl w:ilvl="0">
      <w:lvlJc w:val="left"/>
      <w:lvlText w:val="%1"/>
      <w:numFmt w:val="lowerLetter"/>
      <w:start w:val="1"/>
    </w:lvl>
    <w:lvl w:ilvl="1">
      <w:lvlJc w:val="left"/>
      <w:lvlText w:val="(%2)"/>
      <w:numFmt w:val="lowerLetter"/>
      <w:start w:val="6"/>
    </w:lvl>
  </w:abstractNum>
  <w:abstractNum w:abstractNumId="211">
    <w:nsid w:val="53E31A24"/>
    <w:multiLevelType w:val="hybridMultilevel"/>
    <w:lvl w:ilvl="0">
      <w:lvlJc w:val="left"/>
      <w:lvlText w:val="(%1)"/>
      <w:numFmt w:val="lowerLetter"/>
      <w:start w:val="61"/>
    </w:lvl>
    <w:lvl w:ilvl="1">
      <w:lvlJc w:val="left"/>
      <w:lvlText w:val="(%2)"/>
      <w:numFmt w:val="lowerLetter"/>
      <w:start w:val="7"/>
    </w:lvl>
  </w:abstractNum>
  <w:abstractNum w:abstractNumId="212">
    <w:nsid w:val="6DC45E83"/>
    <w:multiLevelType w:val="hybridMultilevel"/>
    <w:lvl w:ilvl="0">
      <w:lvlJc w:val="left"/>
      <w:lvlText w:val="(%1)"/>
      <w:numFmt w:val="lowerLetter"/>
      <w:start w:val="12"/>
    </w:lvl>
  </w:abstractNum>
  <w:abstractNum w:abstractNumId="213">
    <w:nsid w:val="17304A67"/>
    <w:multiLevelType w:val="hybridMultilevel"/>
    <w:lvl w:ilvl="0">
      <w:lvlJc w:val="left"/>
      <w:lvlText w:val="(%1)"/>
      <w:numFmt w:val="lowerLetter"/>
      <w:start w:val="1"/>
    </w:lvl>
  </w:abstractNum>
  <w:abstractNum w:abstractNumId="214">
    <w:nsid w:val="2BB180D8"/>
    <w:multiLevelType w:val="hybridMultilevel"/>
    <w:lvl w:ilvl="0">
      <w:lvlJc w:val="left"/>
      <w:lvlText w:val="(%1)"/>
      <w:numFmt w:val="lowerLetter"/>
      <w:start w:val="5"/>
    </w:lvl>
  </w:abstractNum>
  <w:abstractNum w:abstractNumId="215">
    <w:nsid w:val="556B69ED"/>
    <w:multiLevelType w:val="hybridMultilevel"/>
    <w:lvl w:ilvl="0">
      <w:lvlJc w:val="left"/>
      <w:lvlText w:val="(%1)"/>
      <w:numFmt w:val="lowerLetter"/>
      <w:start w:val="12"/>
    </w:lvl>
  </w:abstractNum>
  <w:abstractNum w:abstractNumId="216">
    <w:nsid w:val="70836196"/>
    <w:multiLevelType w:val="hybridMultilevel"/>
    <w:lvl w:ilvl="0">
      <w:lvlJc w:val="left"/>
      <w:lvlText w:val="%1"/>
      <w:numFmt w:val="lowerLetter"/>
      <w:start w:val="1"/>
    </w:lvl>
    <w:lvl w:ilvl="1">
      <w:lvlJc w:val="left"/>
      <w:lvlText w:val="(%2)"/>
      <w:numFmt w:val="lowerLetter"/>
      <w:start w:val="1"/>
    </w:lvl>
  </w:abstractNum>
  <w:abstractNum w:abstractNumId="217">
    <w:nsid w:val="539F7F12"/>
    <w:multiLevelType w:val="hybridMultilevel"/>
    <w:lvl w:ilvl="0">
      <w:lvlJc w:val="left"/>
      <w:lvlText w:val="(%1)"/>
      <w:numFmt w:val="lowerLetter"/>
      <w:start w:val="24"/>
    </w:lvl>
    <w:lvl w:ilvl="1">
      <w:lvlJc w:val="left"/>
      <w:lvlText w:val="%2"/>
      <w:numFmt w:val="lowerLetter"/>
      <w:start w:val="1"/>
    </w:lvl>
  </w:abstractNum>
  <w:abstractNum w:abstractNumId="218">
    <w:nsid w:val="2817E7EC"/>
    <w:multiLevelType w:val="hybridMultilevel"/>
    <w:lvl w:ilvl="0">
      <w:lvlJc w:val="left"/>
      <w:lvlText w:val="%1"/>
      <w:numFmt w:val="lowerLetter"/>
      <w:start w:val="1"/>
    </w:lvl>
    <w:lvl w:ilvl="1">
      <w:lvlJc w:val="left"/>
      <w:lvlText w:val="(%2)"/>
      <w:numFmt w:val="lowerLetter"/>
      <w:start w:val="2"/>
    </w:lvl>
  </w:abstractNum>
  <w:abstractNum w:abstractNumId="219">
    <w:nsid w:val="71482545"/>
    <w:multiLevelType w:val="hybridMultilevel"/>
    <w:lvl w:ilvl="0">
      <w:lvlJc w:val="left"/>
      <w:lvlText w:val="(%1)"/>
      <w:numFmt w:val="lowerLetter"/>
      <w:start w:val="35"/>
    </w:lvl>
    <w:lvl w:ilvl="1">
      <w:lvlJc w:val="left"/>
      <w:lvlText w:val="%2"/>
      <w:numFmt w:val="lowerLetter"/>
      <w:start w:val="1"/>
    </w:lvl>
  </w:abstractNum>
  <w:abstractNum w:abstractNumId="220">
    <w:nsid w:val="17D78639"/>
    <w:multiLevelType w:val="hybridMultilevel"/>
    <w:lvl w:ilvl="0">
      <w:lvlJc w:val="left"/>
      <w:lvlText w:val="(%1)"/>
      <w:numFmt w:val="lowerLetter"/>
      <w:start w:val="24"/>
    </w:lvl>
    <w:lvl w:ilvl="1">
      <w:lvlJc w:val="left"/>
      <w:lvlText w:val="%2"/>
      <w:numFmt w:val="lowerLetter"/>
      <w:start w:val="1"/>
    </w:lvl>
  </w:abstractNum>
  <w:abstractNum w:abstractNumId="221">
    <w:nsid w:val="141D2302"/>
    <w:multiLevelType w:val="hybridMultilevel"/>
    <w:lvl w:ilvl="0">
      <w:lvlJc w:val="left"/>
      <w:lvlText w:val="(%1)"/>
      <w:numFmt w:val="lowerLetter"/>
      <w:start w:val="1"/>
    </w:lvl>
  </w:abstractNum>
  <w:abstractNum w:abstractNumId="222">
    <w:nsid w:val="407168D8"/>
    <w:multiLevelType w:val="hybridMultilevel"/>
    <w:lvl w:ilvl="0">
      <w:lvlJc w:val="left"/>
      <w:lvlText w:val=";"/>
      <w:numFmt w:val="bullet"/>
      <w:start w:val="1"/>
    </w:lvl>
    <w:lvl w:ilvl="1">
      <w:lvlJc w:val="left"/>
      <w:lvlText w:val="(%2)"/>
      <w:numFmt w:val="lowerLetter"/>
      <w:start w:val="2"/>
    </w:lvl>
  </w:abstractNum>
  <w:abstractNum w:abstractNumId="223">
    <w:nsid w:val="6A1B45E5"/>
    <w:multiLevelType w:val="hybridMultilevel"/>
    <w:lvl w:ilvl="0">
      <w:lvlJc w:val="left"/>
      <w:lvlText w:val="(%1)"/>
      <w:numFmt w:val="lowerLetter"/>
      <w:start w:val="3"/>
    </w:lvl>
  </w:abstractNum>
  <w:abstractNum w:abstractNumId="224">
    <w:nsid w:val="567BD50A"/>
    <w:multiLevelType w:val="hybridMultilevel"/>
    <w:lvl w:ilvl="0">
      <w:lvlJc w:val="left"/>
      <w:lvlText w:val="(%1)"/>
      <w:numFmt w:val="lowerLetter"/>
      <w:start w:val="1"/>
    </w:lvl>
  </w:abstractNum>
  <w:abstractNum w:abstractNumId="225">
    <w:nsid w:val="73BBD7F8"/>
    <w:multiLevelType w:val="hybridMultilevel"/>
    <w:lvl w:ilvl="0">
      <w:lvlJc w:val="left"/>
      <w:lvlText w:val="(%1)"/>
      <w:numFmt w:val="lowerLetter"/>
      <w:start w:val="3"/>
    </w:lvl>
  </w:abstractNum>
  <w:abstractNum w:abstractNumId="226">
    <w:nsid w:val="1876589D"/>
    <w:multiLevelType w:val="hybridMultilevel"/>
    <w:lvl w:ilvl="0">
      <w:lvlJc w:val="left"/>
      <w:lvlText w:val="(%1)"/>
      <w:numFmt w:val="lowerLetter"/>
      <w:start w:val="8"/>
    </w:lvl>
  </w:abstractNum>
  <w:abstractNum w:abstractNumId="227">
    <w:nsid w:val="327FAC77"/>
    <w:multiLevelType w:val="hybridMultilevel"/>
    <w:lvl w:ilvl="0">
      <w:lvlJc w:val="left"/>
      <w:lvlText w:val="(%1)"/>
      <w:numFmt w:val="lowerLetter"/>
      <w:start w:val="1"/>
    </w:lvl>
  </w:abstractNum>
  <w:abstractNum w:abstractNumId="228">
    <w:nsid w:val="5A606509"/>
    <w:multiLevelType w:val="hybridMultilevel"/>
    <w:lvl w:ilvl="0">
      <w:lvlJc w:val="left"/>
      <w:lvlText w:val="(%1)"/>
      <w:numFmt w:val="lowerLetter"/>
      <w:start w:val="1"/>
    </w:lvl>
  </w:abstractNum>
  <w:abstractNum w:abstractNumId="229">
    <w:nsid w:val="6F38E6D1"/>
    <w:multiLevelType w:val="hybridMultilevel"/>
    <w:lvl w:ilvl="0">
      <w:lvlJc w:val="left"/>
      <w:lvlText w:val="(%1)"/>
      <w:numFmt w:val="lowerLetter"/>
      <w:start w:val="5"/>
    </w:lvl>
  </w:abstractNum>
  <w:abstractNum w:abstractNumId="230">
    <w:nsid w:val="46111BA5"/>
    <w:multiLevelType w:val="hybridMultilevel"/>
    <w:lvl w:ilvl="0">
      <w:lvlJc w:val="left"/>
      <w:lvlText w:val="(%1)"/>
      <w:numFmt w:val="lowerLetter"/>
      <w:start w:val="1"/>
    </w:lvl>
    <w:lvl w:ilvl="1">
      <w:lvlJc w:val="left"/>
      <w:lvlText w:val="(%2)"/>
      <w:numFmt w:val="lowerRoman"/>
      <w:start w:val="1"/>
    </w:lvl>
  </w:abstractNum>
  <w:abstractNum w:abstractNumId="231">
    <w:nsid w:val="5E963896"/>
    <w:multiLevelType w:val="hybridMultilevel"/>
    <w:lvl w:ilvl="0">
      <w:lvlJc w:val="left"/>
      <w:lvlText w:val="(%1)"/>
      <w:numFmt w:val="lowerLetter"/>
      <w:start w:val="9"/>
    </w:lvl>
    <w:lvl w:ilvl="1">
      <w:lvlJc w:val="left"/>
      <w:lvlText w:val="(%2)"/>
      <w:numFmt w:val="lowerLetter"/>
      <w:start w:val="2"/>
    </w:lvl>
  </w:abstractNum>
  <w:abstractNum w:abstractNumId="232">
    <w:nsid w:val="775BA7C1"/>
    <w:multiLevelType w:val="hybridMultilevel"/>
    <w:lvl w:ilvl="0">
      <w:lvlJc w:val="left"/>
      <w:lvlText w:val="(%1)"/>
      <w:numFmt w:val="lowerLetter"/>
      <w:start w:val="3"/>
    </w:lvl>
  </w:abstractNum>
  <w:abstractNum w:abstractNumId="233">
    <w:nsid w:val="1DD6D6F4"/>
    <w:multiLevelType w:val="hybridMultilevel"/>
    <w:lvl w:ilvl="0">
      <w:lvlJc w:val="left"/>
      <w:lvlText w:val="(%1)"/>
      <w:numFmt w:val="lowerLetter"/>
      <w:start w:val="1"/>
    </w:lvl>
  </w:abstractNum>
  <w:abstractNum w:abstractNumId="234">
    <w:nsid w:val="769A091F"/>
    <w:multiLevelType w:val="hybridMultilevel"/>
    <w:lvl w:ilvl="0">
      <w:lvlJc w:val="left"/>
      <w:lvlText w:val="(%1)"/>
      <w:numFmt w:val="lowerRoman"/>
      <w:start w:val="1"/>
    </w:lvl>
  </w:abstractNum>
  <w:abstractNum w:abstractNumId="235">
    <w:nsid w:val="4695AE95"/>
    <w:multiLevelType w:val="hybridMultilevel"/>
    <w:lvl w:ilvl="0">
      <w:lvlJc w:val="left"/>
      <w:lvlText w:val="(%1)"/>
      <w:numFmt w:val="lowerLetter"/>
      <w:start w:val="2"/>
    </w:lvl>
  </w:abstractNum>
  <w:abstractNum w:abstractNumId="236">
    <w:nsid w:val="777A4EAA"/>
    <w:multiLevelType w:val="hybridMultilevel"/>
    <w:lvl w:ilvl="0">
      <w:lvlJc w:val="left"/>
      <w:lvlText w:val="(%1)"/>
      <w:numFmt w:val="lowerLetter"/>
      <w:start w:val="3"/>
    </w:lvl>
  </w:abstractNum>
  <w:abstractNum w:abstractNumId="237">
    <w:nsid w:val="3F48B982"/>
    <w:multiLevelType w:val="hybridMultilevel"/>
    <w:lvl w:ilvl="0">
      <w:lvlJc w:val="left"/>
      <w:lvlText w:val="(%1)"/>
      <w:numFmt w:val="lowerLetter"/>
      <w:start w:val="1"/>
    </w:lvl>
  </w:abstractNum>
  <w:abstractNum w:abstractNumId="238">
    <w:nsid w:val="46BA8FCA"/>
    <w:multiLevelType w:val="hybridMultilevel"/>
    <w:lvl w:ilvl="0">
      <w:lvlJc w:val="left"/>
      <w:lvlText w:val="(%1)"/>
      <w:numFmt w:val="lowerLetter"/>
      <w:start w:val="2"/>
    </w:lvl>
  </w:abstractNum>
  <w:abstractNum w:abstractNumId="239">
    <w:nsid w:val="7835626C"/>
    <w:multiLevelType w:val="hybridMultilevel"/>
    <w:lvl w:ilvl="0">
      <w:lvlJc w:val="left"/>
      <w:lvlText w:val="(%1)"/>
      <w:numFmt w:val="lowerRoman"/>
      <w:start w:val="1"/>
    </w:lvl>
  </w:abstractNum>
  <w:abstractNum w:abstractNumId="240">
    <w:nsid w:val="665ACA49"/>
    <w:multiLevelType w:val="hybridMultilevel"/>
    <w:lvl w:ilvl="0">
      <w:lvlJc w:val="left"/>
      <w:lvlText w:val="(%1)"/>
      <w:numFmt w:val="lowerRoman"/>
      <w:start w:val="5"/>
    </w:lvl>
  </w:abstractNum>
  <w:abstractNum w:abstractNumId="241">
    <w:nsid w:val="6835B2AE"/>
    <w:multiLevelType w:val="hybridMultilevel"/>
    <w:lvl w:ilvl="0">
      <w:lvlJc w:val="left"/>
      <w:lvlText w:val="(%1)"/>
      <w:numFmt w:val="lowerRoman"/>
      <w:start w:val="2"/>
    </w:lvl>
  </w:abstractNum>
  <w:abstractNum w:abstractNumId="242">
    <w:nsid w:val="4C187C90"/>
    <w:multiLevelType w:val="hybridMultilevel"/>
    <w:lvl w:ilvl="0">
      <w:lvlJc w:val="left"/>
      <w:lvlText w:val="(%1)"/>
      <w:numFmt w:val="lowerRoman"/>
      <w:start w:val="6"/>
    </w:lvl>
  </w:abstractNum>
  <w:abstractNum w:abstractNumId="243">
    <w:nsid w:val="541F28CD"/>
    <w:multiLevelType w:val="hybridMultilevel"/>
    <w:lvl w:ilvl="0">
      <w:lvlJc w:val="left"/>
      <w:lvlText w:val="(%1)"/>
      <w:numFmt w:val="lowerLetter"/>
      <w:start w:val="1"/>
    </w:lvl>
    <w:lvl w:ilvl="1">
      <w:lvlJc w:val="left"/>
      <w:lvlText w:val="(%2)"/>
      <w:numFmt w:val="lowerLetter"/>
      <w:start w:val="9"/>
    </w:lvl>
  </w:abstractNum>
  <w:abstractNum w:abstractNumId="244">
    <w:nsid w:val="7F65FD16"/>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1"/>
    </w:lvl>
  </w:abstractNum>
  <w:abstractNum w:abstractNumId="245">
    <w:nsid w:val="77C9FD68"/>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246">
    <w:nsid w:val="298A92B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lowerRoman"/>
      <w:start w:val="5"/>
    </w:lvl>
  </w:abstractNum>
  <w:abstractNum w:abstractNumId="247">
    <w:nsid w:val="6FE95EAC"/>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3"/>
    </w:lvl>
    <w:lvl w:ilvl="3">
      <w:lvlJc w:val="left"/>
      <w:lvlText w:val="%4"/>
      <w:numFmt w:val="lowerRoman"/>
      <w:start w:val="1"/>
    </w:lvl>
  </w:abstractNum>
  <w:abstractNum w:abstractNumId="248">
    <w:nsid w:val="4B697C7A"/>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lvl w:ilvl="3">
      <w:lvlJc w:val="left"/>
      <w:lvlText w:val="%4"/>
      <w:numFmt w:val="lowerRoman"/>
      <w:start w:val="1"/>
    </w:lvl>
  </w:abstractNum>
  <w:abstractNum w:abstractNumId="249">
    <w:nsid w:val="51A27AA6"/>
    <w:multiLevelType w:val="hybridMultilevel"/>
    <w:lvl w:ilvl="0">
      <w:lvlJc w:val="left"/>
      <w:lvlText w:val="(%1)"/>
      <w:numFmt w:val="lowerLetter"/>
      <w:start w:val="5"/>
    </w:lvl>
  </w:abstractNum>
  <w:abstractNum w:abstractNumId="250">
    <w:nsid w:val="613183F2"/>
    <w:multiLevelType w:val="hybridMultilevel"/>
    <w:lvl w:ilvl="0">
      <w:lvlJc w:val="left"/>
      <w:lvlText w:val="(%1)"/>
      <w:numFmt w:val="lowerLetter"/>
      <w:start w:val="1"/>
    </w:lvl>
  </w:abstractNum>
  <w:abstractNum w:abstractNumId="251">
    <w:nsid w:val="634102B4"/>
    <w:multiLevelType w:val="hybridMultilevel"/>
    <w:lvl w:ilvl="0">
      <w:lvlJc w:val="left"/>
      <w:lvlText w:val="(%1)"/>
      <w:numFmt w:val="lowerLetter"/>
      <w:start w:val="2"/>
    </w:lvl>
  </w:abstractNum>
  <w:abstractNum w:abstractNumId="252">
    <w:nsid w:val="65BF9DA8"/>
    <w:multiLevelType w:val="hybridMultilevel"/>
    <w:lvl w:ilvl="0">
      <w:lvlJc w:val="left"/>
      <w:lvlText w:val="(%1)"/>
      <w:numFmt w:val="lowerRoman"/>
      <w:start w:val="1"/>
    </w:lvl>
    <w:lvl w:ilvl="1">
      <w:lvlJc w:val="left"/>
      <w:lvlText w:val="(%2)"/>
      <w:numFmt w:val="upperLetter"/>
      <w:start w:val="1"/>
    </w:lvl>
  </w:abstractNum>
  <w:abstractNum w:abstractNumId="253">
    <w:nsid w:val="21A2ECCA"/>
    <w:multiLevelType w:val="hybridMultilevel"/>
    <w:lvl w:ilvl="0">
      <w:lvlJc w:val="left"/>
      <w:lvlText w:val="(%1)"/>
      <w:numFmt w:val="upperLetter"/>
      <w:start w:val="4"/>
    </w:lvl>
  </w:abstractNum>
  <w:abstractNum w:abstractNumId="254">
    <w:nsid w:val="4D5C4899"/>
    <w:multiLevelType w:val="hybridMultilevel"/>
    <w:lvl w:ilvl="0">
      <w:lvlJc w:val="left"/>
      <w:lvlText w:val="(%1)"/>
      <w:numFmt w:val="lowerLetter"/>
      <w:start w:val="3"/>
    </w:lvl>
  </w:abstractNum>
  <w:abstractNum w:abstractNumId="255">
    <w:nsid w:val="3C3B72B2"/>
    <w:multiLevelType w:val="hybridMultilevel"/>
    <w:lvl w:ilvl="0">
      <w:lvlJc w:val="left"/>
      <w:lvlText w:val="(%1)"/>
      <w:numFmt w:val="lowerRoman"/>
      <w:start w:val="1"/>
    </w:lvl>
  </w:abstractNum>
  <w:abstractNum w:abstractNumId="256">
    <w:nsid w:val="155EC4C2"/>
    <w:multiLevelType w:val="hybridMultilevel"/>
    <w:lvl w:ilvl="0">
      <w:lvlJc w:val="left"/>
      <w:lvlText w:val="(%1)"/>
      <w:numFmt w:val="lowerLetter"/>
      <w:start w:val="4"/>
    </w:lvl>
  </w:abstractNum>
  <w:abstractNum w:abstractNumId="257">
    <w:nsid w:val="65D2A137"/>
    <w:multiLevelType w:val="hybridMultilevel"/>
    <w:lvl w:ilvl="0">
      <w:lvlJc w:val="left"/>
      <w:lvlText w:val="(%1)"/>
      <w:numFmt w:val="lowerLetter"/>
      <w:start w:val="5"/>
    </w:lvl>
  </w:abstractNum>
  <w:abstractNum w:abstractNumId="258">
    <w:nsid w:val="6EBB1F2A"/>
    <w:multiLevelType w:val="hybridMultilevel"/>
    <w:lvl w:ilvl="0">
      <w:lvlJc w:val="left"/>
      <w:lvlText w:val="(%1)"/>
      <w:numFmt w:val="lowerLetter"/>
      <w:start w:val="6"/>
    </w:lvl>
  </w:abstractNum>
  <w:abstractNum w:abstractNumId="259">
    <w:nsid w:val="6FBF29CB"/>
    <w:multiLevelType w:val="hybridMultilevel"/>
    <w:lvl w:ilvl="0">
      <w:lvlJc w:val="left"/>
      <w:lvlText w:val="(%1)"/>
      <w:numFmt w:val="lowerLetter"/>
      <w:start w:val="1"/>
    </w:lvl>
    <w:lvl w:ilvl="1">
      <w:lvlJc w:val="left"/>
      <w:lvlText w:val="(%2)"/>
      <w:numFmt w:val="lowerRoman"/>
      <w:start w:val="1"/>
    </w:lvl>
  </w:abstractNum>
  <w:abstractNum w:abstractNumId="260">
    <w:nsid w:val="550B8808"/>
    <w:multiLevelType w:val="hybridMultilevel"/>
    <w:lvl w:ilvl="0">
      <w:lvlJc w:val="left"/>
      <w:lvlText w:val="(%1)"/>
      <w:numFmt w:val="lowerLetter"/>
      <w:start w:val="25"/>
    </w:lvl>
    <w:lvl w:ilvl="1">
      <w:lvlJc w:val="left"/>
      <w:lvlText w:val="(%2)"/>
      <w:numFmt w:val="lowerLetter"/>
      <w:start w:val="3"/>
    </w:lvl>
  </w:abstractNum>
  <w:abstractNum w:abstractNumId="261">
    <w:nsid w:val="34CC3ACF"/>
    <w:multiLevelType w:val="hybridMultilevel"/>
    <w:lvl w:ilvl="0">
      <w:lvlJc w:val="left"/>
      <w:lvlText w:val="(%1)"/>
      <w:numFmt w:val="lowerLetter"/>
      <w:start w:val="9"/>
    </w:lvl>
    <w:lvl w:ilvl="1">
      <w:lvlJc w:val="left"/>
      <w:lvlText w:val="%2"/>
      <w:numFmt w:val="lowerLetter"/>
      <w:start w:val="1"/>
    </w:lvl>
  </w:abstractNum>
  <w:abstractNum w:abstractNumId="262">
    <w:nsid w:val="4E556261"/>
    <w:multiLevelType w:val="hybridMultilevel"/>
    <w:lvl w:ilvl="0">
      <w:lvlJc w:val="left"/>
      <w:lvlText w:val="(%1)"/>
      <w:numFmt w:val="lowerLetter"/>
      <w:start w:val="35"/>
    </w:lvl>
    <w:lvl w:ilvl="1">
      <w:lvlJc w:val="left"/>
      <w:lvlText w:val="%2"/>
      <w:numFmt w:val="lowerLetter"/>
      <w:start w:val="1"/>
    </w:lvl>
  </w:abstractNum>
  <w:abstractNum w:abstractNumId="263">
    <w:nsid w:val="4C672FC9"/>
    <w:multiLevelType w:val="hybridMultilevel"/>
    <w:lvl w:ilvl="0">
      <w:lvlJc w:val="left"/>
      <w:lvlText w:val="(%1)"/>
      <w:numFmt w:val="lowerLetter"/>
      <w:start w:val="1"/>
    </w:lvl>
    <w:lvl w:ilvl="1">
      <w:lvlJc w:val="left"/>
      <w:lvlText w:val="(%2)"/>
      <w:numFmt w:val="upperLetter"/>
      <w:start w:val="1"/>
    </w:lvl>
  </w:abstractNum>
  <w:abstractNum w:abstractNumId="264">
    <w:nsid w:val="52A311C3"/>
    <w:multiLevelType w:val="hybridMultilevel"/>
    <w:lvl w:ilvl="0">
      <w:lvlJc w:val="left"/>
      <w:lvlText w:val="(%1)"/>
      <w:numFmt w:val="upperLetter"/>
      <w:start w:val="3"/>
    </w:lvl>
  </w:abstractNum>
  <w:abstractNum w:abstractNumId="265">
    <w:nsid w:val="44EF6B80"/>
    <w:multiLevelType w:val="hybridMultilevel"/>
    <w:lvl w:ilvl="0">
      <w:lvlJc w:val="left"/>
      <w:lvlText w:val="(%1)"/>
      <w:numFmt w:val="lowerLetter"/>
      <w:start w:val="3"/>
    </w:lvl>
  </w:abstractNum>
  <w:abstractNum w:abstractNumId="266">
    <w:nsid w:val="12FCDE5E"/>
    <w:multiLevelType w:val="hybridMultilevel"/>
    <w:lvl w:ilvl="0">
      <w:lvlJc w:val="left"/>
      <w:lvlText w:val="(%1)"/>
      <w:numFmt w:val="lowerLetter"/>
      <w:start w:val="2"/>
    </w:lvl>
  </w:abstractNum>
  <w:abstractNum w:abstractNumId="267">
    <w:nsid w:val="4A1D606E"/>
    <w:multiLevelType w:val="hybridMultilevel"/>
    <w:lvl w:ilvl="0">
      <w:lvlJc w:val="left"/>
      <w:lvlText w:val="(%1)"/>
      <w:numFmt w:val="lowerLetter"/>
      <w:start w:val="1"/>
    </w:lvl>
  </w:abstractNum>
  <w:abstractNum w:abstractNumId="268">
    <w:nsid w:val="4382503"/>
    <w:multiLevelType w:val="hybridMultilevel"/>
    <w:lvl w:ilvl="0">
      <w:lvlJc w:val="left"/>
      <w:lvlText w:val="(%1)"/>
      <w:numFmt w:val="lowerLetter"/>
      <w:start w:val="3"/>
    </w:lvl>
  </w:abstractNum>
  <w:abstractNum w:abstractNumId="269">
    <w:nsid w:val="59B76E28"/>
    <w:multiLevelType w:val="hybridMultilevel"/>
    <w:lvl w:ilvl="0">
      <w:lvlJc w:val="left"/>
      <w:lvlText w:val="(%1)"/>
      <w:numFmt w:val="lowerLetter"/>
      <w:start w:val="3"/>
    </w:lvl>
  </w:abstractNum>
  <w:abstractNum w:abstractNumId="270">
    <w:nsid w:val="4252C2DA"/>
    <w:multiLevelType w:val="hybridMultilevel"/>
    <w:lvl w:ilvl="0">
      <w:lvlJc w:val="left"/>
      <w:lvlText w:val="(%1)"/>
      <w:numFmt w:val="lowerLetter"/>
      <w:start w:val="4"/>
    </w:lvl>
  </w:abstractNum>
  <w:abstractNum w:abstractNumId="271">
    <w:nsid w:val="6A92EF4C"/>
    <w:multiLevelType w:val="hybridMultilevel"/>
    <w:lvl w:ilvl="0">
      <w:lvlJc w:val="left"/>
      <w:lvlText w:val="(%1)"/>
      <w:numFmt w:val="lowerLetter"/>
      <w:start w:val="1"/>
    </w:lvl>
  </w:abstractNum>
  <w:abstractNum w:abstractNumId="272">
    <w:nsid w:val="41ED20D7"/>
    <w:multiLevelType w:val="hybridMultilevel"/>
    <w:lvl w:ilvl="0">
      <w:lvlJc w:val="left"/>
      <w:lvlText w:val="(%1)"/>
      <w:numFmt w:val="lowerLetter"/>
      <w:start w:val="1"/>
    </w:lvl>
    <w:lvl w:ilvl="1">
      <w:lvlJc w:val="left"/>
      <w:lvlText w:val="(%2)"/>
      <w:numFmt w:val="lowerRoman"/>
      <w:start w:val="1"/>
    </w:lvl>
  </w:abstractNum>
  <w:abstractNum w:abstractNumId="273">
    <w:nsid w:val="E6B3F6A"/>
    <w:multiLevelType w:val="hybridMultilevel"/>
    <w:lvl w:ilvl="0">
      <w:lvlJc w:val="left"/>
      <w:lvlText w:val="%1."/>
      <w:numFmt w:val="decimal"/>
      <w:start w:val="1"/>
    </w:lvl>
    <w:lvl w:ilvl="1">
      <w:lvlJc w:val="left"/>
      <w:lvlText w:val="%2."/>
      <w:numFmt w:val="lowerLetter"/>
      <w:start w:val="1"/>
    </w:lvl>
  </w:abstractNum>
  <w:abstractNum w:abstractNumId="274">
    <w:nsid w:val="3EB21819"/>
    <w:multiLevelType w:val="hybridMultilevel"/>
    <w:lvl w:ilvl="0">
      <w:lvlJc w:val="left"/>
      <w:lvlText w:val="%1."/>
      <w:numFmt w:val="decimal"/>
      <w:start w:val="1"/>
    </w:lvl>
    <w:lvl w:ilvl="1">
      <w:lvlJc w:val="left"/>
      <w:lvlText w:val="%2."/>
      <w:numFmt w:val="lowerLetter"/>
      <w:start w:val="1"/>
    </w:lvl>
  </w:abstractNum>
  <w:abstractNum w:abstractNumId="275">
    <w:nsid w:val="41531DED"/>
    <w:multiLevelType w:val="hybridMultilevel"/>
    <w:lvl w:ilvl="0">
      <w:lvlJc w:val="left"/>
      <w:lvlText w:val="(%1)"/>
      <w:numFmt w:val="lowerRoman"/>
      <w:start w:val="1"/>
    </w:lvl>
  </w:abstractNum>
  <w:abstractNum w:abstractNumId="276">
    <w:nsid w:val="6353CD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jpe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65" Type="http://schemas.openxmlformats.org/officeDocument/2006/relationships/hyperlink" Target="http://www.sec.gov/Archives/edgar/data/106040/000119312515352265/d36533dex21.htm" TargetMode="External"/><Relationship Id="rId67" Type="http://schemas.openxmlformats.org/officeDocument/2006/relationships/hyperlink" Target="http://www.sec.gov/Archives/edgar/data/106040/000095013706001502/a17011exv3w1.htm" TargetMode="External"/><Relationship Id="rId68" Type="http://schemas.openxmlformats.org/officeDocument/2006/relationships/hyperlink" Target="http://www.sec.gov/Archives/edgar/data/106040/000119312518153458/d57777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2019-12-28T13:00:41Z</dcterms:created>
  <dcterms:modified xsi:type="dcterms:W3CDTF">2019-12-28T13:00:41Z</dcterms:modified>
</cp:coreProperties>
</file>