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January 3, 2020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4"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33-0956711</w:t>
      </w:r>
    </w:p>
    <w:p>
      <w:pPr>
        <w:spacing w:after="0" w:line="95" w:lineRule="exact"/>
        <w:rPr>
          <w:sz w:val="24"/>
          <w:szCs w:val="24"/>
          <w:color w:val="auto"/>
        </w:rPr>
      </w:pPr>
    </w:p>
    <w:p>
      <w:pPr>
        <w:sectPr>
          <w:pgSz w:w="11900" w:h="16838" w:orient="portrait"/>
          <w:cols w:equalWidth="0" w:num="2">
            <w:col w:w="8560" w:space="720"/>
            <w:col w:w="2120"/>
          </w:cols>
          <w:pgMar w:left="240" w:top="274" w:right="259" w:bottom="1440" w:gutter="0" w:footer="0" w:header="0"/>
          <w:type w:val="continuous"/>
        </w:sectPr>
      </w:pPr>
    </w:p>
    <w:p>
      <w:pPr>
        <w:ind w:left="1920"/>
        <w:spacing w:after="0"/>
        <w:rPr>
          <w:sz w:val="20"/>
          <w:szCs w:val="20"/>
          <w:color w:val="auto"/>
        </w:rPr>
      </w:pPr>
      <w:r>
        <w:rPr>
          <w:rFonts w:ascii="Arial" w:cs="Arial" w:eastAsia="Arial" w:hAnsi="Arial"/>
          <w:sz w:val="11"/>
          <w:szCs w:val="11"/>
          <w:i w:val="1"/>
          <w:iCs w:val="1"/>
          <w:color w:val="auto"/>
        </w:rPr>
        <w:t>(State or other jurisdiction of</w:t>
      </w:r>
    </w:p>
    <w:p>
      <w:pPr>
        <w:spacing w:after="0" w:line="19" w:lineRule="exact"/>
        <w:rPr>
          <w:sz w:val="24"/>
          <w:szCs w:val="24"/>
          <w:color w:val="auto"/>
        </w:rPr>
      </w:pPr>
    </w:p>
    <w:p>
      <w:pPr>
        <w:ind w:left="188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1"/>
          <w:szCs w:val="11"/>
          <w:i w:val="1"/>
          <w:iCs w:val="1"/>
          <w:color w:val="auto"/>
        </w:rPr>
        <w:t>(I.R.S. Employer Identification No.)</w:t>
      </w:r>
    </w:p>
    <w:p>
      <w:pPr>
        <w:spacing w:after="0" w:line="210" w:lineRule="exact"/>
        <w:rPr>
          <w:sz w:val="24"/>
          <w:szCs w:val="24"/>
          <w:color w:val="auto"/>
        </w:rPr>
      </w:pPr>
    </w:p>
    <w:p>
      <w:pPr>
        <w:sectPr>
          <w:pgSz w:w="11900" w:h="16838" w:orient="portrait"/>
          <w:cols w:equalWidth="0" w:num="2">
            <w:col w:w="8040" w:space="720"/>
            <w:col w:w="2640"/>
          </w:cols>
          <w:pgMar w:left="240" w:top="274" w:right="25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5601 Great Oaks Parkway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San Jose,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California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95119</w:t>
      </w:r>
    </w:p>
    <w:p>
      <w:pPr>
        <w:spacing w:after="0" w:line="73" w:lineRule="exact"/>
        <w:rPr>
          <w:sz w:val="24"/>
          <w:szCs w:val="24"/>
          <w:color w:val="auto"/>
        </w:rPr>
      </w:pPr>
    </w:p>
    <w:p>
      <w:pPr>
        <w:sectPr>
          <w:pgSz w:w="11900" w:h="16838" w:orient="portrait"/>
          <w:cols w:equalWidth="0" w:num="4">
            <w:col w:w="2600" w:space="400"/>
            <w:col w:w="560" w:space="260"/>
            <w:col w:w="4940" w:space="720"/>
            <w:col w:w="1920"/>
          </w:cols>
          <w:pgMar w:left="240" w:top="274" w:right="259" w:bottom="1440" w:gutter="0" w:footer="0" w:header="0"/>
          <w:type w:val="continuous"/>
        </w:sectPr>
      </w:pPr>
    </w:p>
    <w:p>
      <w:pPr>
        <w:ind w:left="166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200" w:lineRule="exact"/>
        <w:rPr>
          <w:sz w:val="24"/>
          <w:szCs w:val="24"/>
          <w:color w:val="auto"/>
        </w:rPr>
      </w:pPr>
    </w:p>
    <w:p>
      <w:pPr>
        <w:sectPr>
          <w:pgSz w:w="11900" w:h="16838" w:orient="portrait"/>
          <w:cols w:equalWidth="0" w:num="2">
            <w:col w:w="8660" w:space="720"/>
            <w:col w:w="2020"/>
          </w:cols>
          <w:pgMar w:left="240" w:top="274" w:right="259" w:bottom="1440" w:gutter="0" w:footer="0" w:header="0"/>
          <w:type w:val="continuous"/>
        </w:sectPr>
      </w:pP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17"/>
        </w:trPr>
        <w:tc>
          <w:tcPr>
            <w:tcW w:w="158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38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8"/>
        </w:trPr>
        <w:tc>
          <w:tcPr>
            <w:tcW w:w="508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Common Stock, $.01 Par Value Per Share</w:t>
            </w:r>
          </w:p>
        </w:tc>
        <w:tc>
          <w:tcPr>
            <w:tcW w:w="2660" w:type="dxa"/>
            <w:vAlign w:val="bottom"/>
            <w:gridSpan w:val="2"/>
          </w:tcPr>
          <w:p>
            <w:pPr>
              <w:jc w:val="center"/>
              <w:ind w:right="1380"/>
              <w:spacing w:after="0"/>
              <w:rPr>
                <w:sz w:val="20"/>
                <w:szCs w:val="20"/>
                <w:color w:val="auto"/>
              </w:rPr>
            </w:pPr>
            <w:r>
              <w:rPr>
                <w:rFonts w:ascii="Arial" w:cs="Arial" w:eastAsia="Arial" w:hAnsi="Arial"/>
                <w:sz w:val="14"/>
                <w:szCs w:val="14"/>
                <w:color w:val="auto"/>
                <w:w w:val="95"/>
              </w:rPr>
              <w:t>WDC</w:t>
            </w:r>
          </w:p>
        </w:tc>
        <w:tc>
          <w:tcPr>
            <w:tcW w:w="30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350520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74" w:right="259" w:bottom="1440" w:gutter="0" w:footer="0" w:header="0"/>
          <w:type w:val="continuous"/>
        </w:sectPr>
      </w:pPr>
    </w:p>
    <w:bookmarkStart w:id="1" w:name="page2"/>
    <w:bookmarkEnd w:id="1"/>
    <w:p>
      <w:pPr>
        <w:ind w:left="5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39" w:lineRule="exact"/>
        <w:rPr>
          <w:sz w:val="20"/>
          <w:szCs w:val="20"/>
          <w:color w:val="auto"/>
        </w:rPr>
      </w:pPr>
    </w:p>
    <w:p>
      <w:pPr>
        <w:sectPr>
          <w:pgSz w:w="11900" w:h="16838" w:orient="portrait"/>
          <w:cols w:equalWidth="0" w:num="5">
            <w:col w:w="2240" w:space="720"/>
            <w:col w:w="1420" w:space="720"/>
            <w:col w:w="1380" w:space="720"/>
            <w:col w:w="1580" w:space="720"/>
            <w:col w:w="1560"/>
          </w:cols>
          <w:pgMar w:left="240" w:top="499" w:right="599" w:bottom="1440" w:gutter="0" w:footer="0" w:header="0"/>
        </w:sectPr>
      </w:pPr>
    </w:p>
    <w:p>
      <w:pPr>
        <w:ind w:left="10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4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640" w:space="720"/>
            <w:col w:w="1560" w:space="720"/>
            <w:col w:w="1560" w:space="720"/>
            <w:col w:w="1580" w:space="720"/>
            <w:col w:w="840"/>
          </w:cols>
          <w:pgMar w:left="240" w:top="499" w:right="599" w:bottom="1440" w:gutter="0" w:footer="0" w:header="0"/>
          <w:type w:val="continuous"/>
        </w:sectPr>
      </w:pPr>
    </w:p>
    <w:p>
      <w:pPr>
        <w:spacing w:after="0" w:line="255" w:lineRule="exact"/>
        <w:rPr>
          <w:sz w:val="20"/>
          <w:szCs w:val="20"/>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the close of business on February 4, 2020, 298,931,536 shares of common stock, par value $0.01 per share, were outstanding.</w:t>
      </w:r>
    </w:p>
    <w:p>
      <w:pPr>
        <w:sectPr>
          <w:pgSz w:w="11900" w:h="16838" w:orient="portrait"/>
          <w:cols w:equalWidth="0" w:num="1">
            <w:col w:w="11060"/>
          </w:cols>
          <w:pgMar w:left="240" w:top="499" w:right="5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gridSpan w:val="6"/>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Arial" w:cs="Arial" w:eastAsia="Arial" w:hAnsi="Arial"/>
                <w:sz w:val="18"/>
                <w:szCs w:val="18"/>
                <w:color w:val="auto"/>
              </w:rPr>
              <w:t>Condensed Consolidated Balance Sheets — As of January 3, 2020 and June 28, 2019</w:t>
            </w:r>
          </w:p>
        </w:tc>
        <w:tc>
          <w:tcPr>
            <w:tcW w:w="880" w:type="dxa"/>
            <w:vAlign w:val="bottom"/>
            <w:gridSpan w:val="4"/>
          </w:tcPr>
          <w:p>
            <w:pPr>
              <w:jc w:val="center"/>
              <w:ind w:left="630"/>
              <w:spacing w:after="0" w:line="202"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5</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Condensed Consolidated Statements of Operations — Three and Six Months Ended January 3, 2020 and December</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0" w:lineRule="exact"/>
              <w:rPr>
                <w:sz w:val="20"/>
                <w:szCs w:val="20"/>
                <w:color w:val="auto"/>
              </w:rPr>
            </w:pPr>
            <w:r>
              <w:rPr>
                <w:rFonts w:ascii="Arial" w:cs="Arial" w:eastAsia="Arial" w:hAnsi="Arial"/>
                <w:sz w:val="18"/>
                <w:szCs w:val="18"/>
                <w:color w:val="auto"/>
              </w:rPr>
              <w:t>28, 2018</w:t>
            </w:r>
          </w:p>
        </w:tc>
        <w:tc>
          <w:tcPr>
            <w:tcW w:w="880" w:type="dxa"/>
            <w:vAlign w:val="bottom"/>
            <w:gridSpan w:val="4"/>
            <w:shd w:val="clear" w:color="auto" w:fill="CCEEFF"/>
          </w:tcPr>
          <w:p>
            <w:pPr>
              <w:jc w:val="center"/>
              <w:ind w:left="630"/>
              <w:spacing w:after="0" w:line="190" w:lineRule="exact"/>
              <w:rPr>
                <w:rFonts w:ascii="Arial" w:cs="Arial" w:eastAsia="Arial" w:hAnsi="Arial"/>
                <w:sz w:val="18"/>
                <w:szCs w:val="18"/>
                <w:color w:val="3635D6"/>
                <w:w w:val="79"/>
              </w:rPr>
            </w:pPr>
            <w:hyperlink w:anchor="page6">
              <w:r>
                <w:rPr>
                  <w:rFonts w:ascii="Arial" w:cs="Arial" w:eastAsia="Arial" w:hAnsi="Arial"/>
                  <w:sz w:val="18"/>
                  <w:szCs w:val="18"/>
                  <w:color w:val="3635D6"/>
                  <w:w w:val="79"/>
                </w:rPr>
                <w:t>6</w:t>
              </w:r>
            </w:hyperlink>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1"/>
              </w:rPr>
              <w:t>Condensed Consolidated Statements of Comprehensive Income (Loss) — Three and Six Months Ended January 3,</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940" w:type="dxa"/>
            <w:vAlign w:val="bottom"/>
          </w:tcPr>
          <w:p>
            <w:pPr>
              <w:ind w:left="540"/>
              <w:spacing w:after="0" w:line="190" w:lineRule="exact"/>
              <w:rPr>
                <w:sz w:val="20"/>
                <w:szCs w:val="20"/>
                <w:color w:val="auto"/>
              </w:rPr>
            </w:pPr>
            <w:r>
              <w:rPr>
                <w:rFonts w:ascii="Arial" w:cs="Arial" w:eastAsia="Arial" w:hAnsi="Arial"/>
                <w:sz w:val="18"/>
                <w:szCs w:val="18"/>
                <w:color w:val="auto"/>
              </w:rPr>
              <w:t>2020 and December 28, 2018</w:t>
            </w:r>
          </w:p>
        </w:tc>
        <w:tc>
          <w:tcPr>
            <w:tcW w:w="880" w:type="dxa"/>
            <w:vAlign w:val="bottom"/>
            <w:gridSpan w:val="4"/>
          </w:tcPr>
          <w:p>
            <w:pPr>
              <w:jc w:val="center"/>
              <w:ind w:left="630"/>
              <w:spacing w:after="0" w:line="190" w:lineRule="exact"/>
              <w:rPr>
                <w:rFonts w:ascii="Arial" w:cs="Arial" w:eastAsia="Arial" w:hAnsi="Arial"/>
                <w:sz w:val="18"/>
                <w:szCs w:val="18"/>
                <w:color w:val="3635D6"/>
                <w:w w:val="79"/>
              </w:rPr>
            </w:pPr>
            <w:hyperlink w:anchor="page7">
              <w:r>
                <w:rPr>
                  <w:rFonts w:ascii="Arial" w:cs="Arial" w:eastAsia="Arial" w:hAnsi="Arial"/>
                  <w:sz w:val="18"/>
                  <w:szCs w:val="18"/>
                  <w:color w:val="3635D6"/>
                  <w:w w:val="79"/>
                </w:rPr>
                <w:t>7</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 w:type="dxa"/>
            <w:vAlign w:val="bottom"/>
            <w:shd w:val="clear" w:color="auto" w:fill="CCEEFF"/>
          </w:tcPr>
          <w:p>
            <w:pPr>
              <w:spacing w:after="0"/>
              <w:rPr>
                <w:sz w:val="21"/>
                <w:szCs w:val="21"/>
                <w:color w:val="auto"/>
              </w:rPr>
            </w:pPr>
          </w:p>
        </w:tc>
        <w:tc>
          <w:tcPr>
            <w:tcW w:w="8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w w:val="90"/>
              </w:rPr>
              <w:t>Condensed Consolidated Statements of Cash Flows — Six Months Ended January 3, 2020 and December 28, 2018</w:t>
            </w:r>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3635D6"/>
                <w:w w:val="79"/>
              </w:rPr>
            </w:pPr>
            <w:hyperlink w:anchor="page8">
              <w:r>
                <w:rPr>
                  <w:rFonts w:ascii="Arial" w:cs="Arial" w:eastAsia="Arial" w:hAnsi="Arial"/>
                  <w:sz w:val="18"/>
                  <w:szCs w:val="18"/>
                  <w:color w:val="3635D6"/>
                  <w:w w:val="79"/>
                </w:rPr>
                <w:t>8</w:t>
              </w:r>
            </w:hyperlink>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1"/>
              </w:rPr>
              <w:t>Condensed Consolidated Statements of Shareholders' Equity — Six Months Ended January 3, 2020 and December</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940" w:type="dxa"/>
            <w:vAlign w:val="bottom"/>
          </w:tcPr>
          <w:p>
            <w:pPr>
              <w:ind w:left="540"/>
              <w:spacing w:after="0" w:line="190" w:lineRule="exact"/>
              <w:rPr>
                <w:sz w:val="20"/>
                <w:szCs w:val="20"/>
                <w:color w:val="auto"/>
              </w:rPr>
            </w:pPr>
            <w:r>
              <w:rPr>
                <w:rFonts w:ascii="Arial" w:cs="Arial" w:eastAsia="Arial" w:hAnsi="Arial"/>
                <w:sz w:val="18"/>
                <w:szCs w:val="18"/>
                <w:color w:val="auto"/>
              </w:rPr>
              <w:t>28, 2018</w:t>
            </w:r>
          </w:p>
        </w:tc>
        <w:tc>
          <w:tcPr>
            <w:tcW w:w="880" w:type="dxa"/>
            <w:vAlign w:val="bottom"/>
            <w:gridSpan w:val="4"/>
          </w:tcPr>
          <w:p>
            <w:pPr>
              <w:jc w:val="center"/>
              <w:ind w:left="630"/>
              <w:spacing w:after="0" w:line="190" w:lineRule="exact"/>
              <w:rPr>
                <w:rFonts w:ascii="Arial" w:cs="Arial" w:eastAsia="Arial" w:hAnsi="Arial"/>
                <w:sz w:val="18"/>
                <w:szCs w:val="18"/>
                <w:color w:val="3635D6"/>
                <w:w w:val="79"/>
              </w:rPr>
            </w:pPr>
            <w:hyperlink w:anchor="page9">
              <w:r>
                <w:rPr>
                  <w:rFonts w:ascii="Arial" w:cs="Arial" w:eastAsia="Arial" w:hAnsi="Arial"/>
                  <w:sz w:val="18"/>
                  <w:szCs w:val="18"/>
                  <w:color w:val="3635D6"/>
                  <w:w w:val="79"/>
                </w:rPr>
                <w:t>9</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8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5"/>
            <w:shd w:val="clear" w:color="auto" w:fill="CCEEFF"/>
          </w:tcPr>
          <w:p>
            <w:pPr>
              <w:jc w:val="center"/>
              <w:ind w:left="610"/>
              <w:spacing w:after="0" w:line="202" w:lineRule="exact"/>
              <w:rPr>
                <w:rFonts w:ascii="Arial" w:cs="Arial" w:eastAsia="Arial" w:hAnsi="Arial"/>
                <w:sz w:val="18"/>
                <w:szCs w:val="18"/>
                <w:color w:val="3635D6"/>
                <w:w w:val="79"/>
              </w:rPr>
            </w:pPr>
            <w:hyperlink w:anchor="page11">
              <w:r>
                <w:rPr>
                  <w:rFonts w:ascii="Arial" w:cs="Arial" w:eastAsia="Arial" w:hAnsi="Arial"/>
                  <w:sz w:val="18"/>
                  <w:szCs w:val="18"/>
                  <w:color w:val="3635D6"/>
                  <w:w w:val="79"/>
                </w:rPr>
                <w:t>11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48">
              <w:r>
                <w:rPr>
                  <w:rFonts w:ascii="Arial" w:cs="Arial" w:eastAsia="Arial" w:hAnsi="Arial"/>
                  <w:sz w:val="18"/>
                  <w:szCs w:val="18"/>
                  <w:color w:val="3635D6"/>
                  <w:w w:val="89"/>
                </w:rPr>
                <w:t>48</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58">
              <w:r>
                <w:rPr>
                  <w:rFonts w:ascii="Arial" w:cs="Arial" w:eastAsia="Arial" w:hAnsi="Arial"/>
                  <w:sz w:val="18"/>
                  <w:szCs w:val="18"/>
                  <w:color w:val="3635D6"/>
                  <w:w w:val="89"/>
                </w:rPr>
                <w:t>58</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58">
              <w:r>
                <w:rPr>
                  <w:rFonts w:ascii="Arial" w:cs="Arial" w:eastAsia="Arial" w:hAnsi="Arial"/>
                  <w:sz w:val="18"/>
                  <w:szCs w:val="18"/>
                  <w:color w:val="3635D6"/>
                  <w:w w:val="89"/>
                </w:rPr>
                <w:t>58</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20" w:type="dxa"/>
            <w:vAlign w:val="bottom"/>
            <w:tcBorders>
              <w:top w:val="single" w:sz="8" w:color="3635D6"/>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59">
              <w:r>
                <w:rPr>
                  <w:rFonts w:ascii="Arial" w:cs="Arial" w:eastAsia="Arial" w:hAnsi="Arial"/>
                  <w:sz w:val="18"/>
                  <w:szCs w:val="18"/>
                  <w:color w:val="3635D6"/>
                  <w:w w:val="89"/>
                </w:rPr>
                <w:t>59</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59">
              <w:r>
                <w:rPr>
                  <w:rFonts w:ascii="Arial" w:cs="Arial" w:eastAsia="Arial" w:hAnsi="Arial"/>
                  <w:sz w:val="18"/>
                  <w:szCs w:val="18"/>
                  <w:color w:val="3635D6"/>
                  <w:w w:val="89"/>
                </w:rPr>
                <w:t>59</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5">
              <w:r>
                <w:rPr>
                  <w:rFonts w:ascii="Arial" w:cs="Arial" w:eastAsia="Arial" w:hAnsi="Arial"/>
                  <w:sz w:val="18"/>
                  <w:szCs w:val="18"/>
                  <w:color w:val="3635D6"/>
                  <w:w w:val="89"/>
                </w:rPr>
                <w:t>75</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75">
              <w:r>
                <w:rPr>
                  <w:rFonts w:ascii="Arial" w:cs="Arial" w:eastAsia="Arial" w:hAnsi="Arial"/>
                  <w:sz w:val="18"/>
                  <w:szCs w:val="18"/>
                  <w:color w:val="3635D6"/>
                  <w:w w:val="89"/>
                </w:rPr>
                <w:t>75</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5">
              <w:r>
                <w:rPr>
                  <w:rFonts w:ascii="Arial" w:cs="Arial" w:eastAsia="Arial" w:hAnsi="Arial"/>
                  <w:sz w:val="18"/>
                  <w:szCs w:val="18"/>
                  <w:color w:val="3635D6"/>
                  <w:w w:val="89"/>
                </w:rPr>
                <w:t>75</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5"/>
          </w:tcPr>
          <w:p>
            <w:pPr>
              <w:jc w:val="center"/>
              <w:ind w:left="630"/>
              <w:spacing w:after="0" w:line="202" w:lineRule="exact"/>
              <w:rPr>
                <w:rFonts w:ascii="Arial" w:cs="Arial" w:eastAsia="Arial" w:hAnsi="Arial"/>
                <w:sz w:val="18"/>
                <w:szCs w:val="18"/>
                <w:color w:val="3635D6"/>
                <w:w w:val="89"/>
              </w:rPr>
            </w:pPr>
            <w:hyperlink w:anchor="page75">
              <w:r>
                <w:rPr>
                  <w:rFonts w:ascii="Arial" w:cs="Arial" w:eastAsia="Arial" w:hAnsi="Arial"/>
                  <w:sz w:val="18"/>
                  <w:szCs w:val="18"/>
                  <w:color w:val="3635D6"/>
                  <w:w w:val="89"/>
                </w:rPr>
                <w:t>75</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5"/>
            <w:shd w:val="clear" w:color="auto" w:fill="CCEEFF"/>
          </w:tcPr>
          <w:p>
            <w:pPr>
              <w:jc w:val="center"/>
              <w:ind w:left="630"/>
              <w:spacing w:after="0" w:line="202" w:lineRule="exact"/>
              <w:rPr>
                <w:rFonts w:ascii="Arial" w:cs="Arial" w:eastAsia="Arial" w:hAnsi="Arial"/>
                <w:sz w:val="18"/>
                <w:szCs w:val="18"/>
                <w:color w:val="3635D6"/>
                <w:w w:val="89"/>
              </w:rPr>
            </w:pPr>
            <w:hyperlink w:anchor="page75">
              <w:r>
                <w:rPr>
                  <w:rFonts w:ascii="Arial" w:cs="Arial" w:eastAsia="Arial" w:hAnsi="Arial"/>
                  <w:sz w:val="18"/>
                  <w:szCs w:val="18"/>
                  <w:color w:val="3635D6"/>
                  <w:w w:val="89"/>
                </w:rPr>
                <w:t>75</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70"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Kioxia Corporation, the flash industry and our flash wafer output plans;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pricing conditions for flash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exit from our Storage Systems business;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i w:val="1"/>
          <w:iCs w:val="1"/>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 as well as our dividend plans.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January 3,</w:t>
      </w:r>
      <w:r>
        <w:rPr>
          <w:sz w:val="20"/>
          <w:szCs w:val="20"/>
          <w:color w:val="auto"/>
        </w:rPr>
        <w:tab/>
      </w:r>
      <w:r>
        <w:rPr>
          <w:rFonts w:ascii="Arial" w:cs="Arial" w:eastAsia="Arial" w:hAnsi="Arial"/>
          <w:sz w:val="12"/>
          <w:szCs w:val="12"/>
          <w:b w:val="1"/>
          <w:bCs w:val="1"/>
          <w:color w:val="auto"/>
        </w:rPr>
        <w:t>June 28,</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9, 10, 12 and 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299 shares and 295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13 shares and 17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3,137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3,455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1,791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3,122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3,283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8,627</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8,477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2,722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2,843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2,321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10,069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10,076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1,311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1,711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810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25,860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26,370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1,736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364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1,559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537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286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4,482</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3,817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9,547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10,246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2,452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16,481</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16,403</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3,731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3,851</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(110)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6,717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-1470660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-3168650</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4" w:lineRule="exact"/>
        <w:rPr>
          <w:sz w:val="20"/>
          <w:szCs w:val="20"/>
          <w:color w:val="auto"/>
        </w:rPr>
      </w:pPr>
    </w:p>
    <w:p>
      <w:pPr>
        <w:ind w:left="1620" w:hanging="1479"/>
        <w:spacing w:after="0"/>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(1,268)</w:t>
      </w:r>
    </w:p>
    <w:p>
      <w:pPr>
        <w:spacing w:after="0" w:line="35"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9,967</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25,860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26,370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3"/>
                <w:szCs w:val="13"/>
                <w:color w:val="auto"/>
              </w:rPr>
            </w:pPr>
          </w:p>
        </w:tc>
        <w:tc>
          <w:tcPr>
            <w:tcW w:w="1260" w:type="dxa"/>
            <w:vAlign w:val="bottom"/>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December 28,</w:t>
            </w:r>
          </w:p>
        </w:tc>
      </w:tr>
      <w:tr>
        <w:trPr>
          <w:trHeight w:val="192"/>
        </w:trPr>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r>
      <w:tr>
        <w:trPr>
          <w:trHeight w:val="23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9,261</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6,553</w:t>
            </w: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2,708</w:t>
            </w:r>
          </w:p>
        </w:tc>
      </w:tr>
      <w:tr>
        <w:trPr>
          <w:trHeight w:val="204"/>
        </w:trPr>
        <w:tc>
          <w:tcPr>
            <w:tcW w:w="51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60"/>
        </w:trPr>
        <w:tc>
          <w:tcPr>
            <w:tcW w:w="5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1,115</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665</w:t>
            </w: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r>
      <w:tr>
        <w:trPr>
          <w:trHeight w:val="217"/>
        </w:trPr>
        <w:tc>
          <w:tcPr>
            <w:tcW w:w="51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1,846</w:t>
            </w: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r>
      <w:tr>
        <w:trPr>
          <w:trHeight w:val="224"/>
        </w:trPr>
        <w:tc>
          <w:tcPr>
            <w:tcW w:w="514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r>
      <w:tr>
        <w:trPr>
          <w:trHeight w:val="217"/>
        </w:trPr>
        <w:tc>
          <w:tcPr>
            <w:tcW w:w="514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640</w:t>
            </w:r>
          </w:p>
        </w:tc>
      </w:tr>
      <w:tr>
        <w:trPr>
          <w:trHeight w:val="3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0.08</w:t>
            </w: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r>
      <w:tr>
        <w:trPr>
          <w:trHeight w:val="224"/>
        </w:trPr>
        <w:tc>
          <w:tcPr>
            <w:tcW w:w="514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296</w:t>
            </w: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Cash dividends declared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4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3"/>
                <w:szCs w:val="13"/>
                <w:color w:val="auto"/>
              </w:rPr>
            </w:pPr>
          </w:p>
        </w:tc>
        <w:tc>
          <w:tcPr>
            <w:tcW w:w="1260" w:type="dxa"/>
            <w:vAlign w:val="bottom"/>
          </w:tcPr>
          <w:p>
            <w:pPr>
              <w:jc w:val="right"/>
              <w:ind w:right="261"/>
              <w:spacing w:after="0" w:line="153" w:lineRule="exact"/>
              <w:rPr>
                <w:sz w:val="20"/>
                <w:szCs w:val="20"/>
                <w:color w:val="auto"/>
              </w:rPr>
            </w:pPr>
            <w:r>
              <w:rPr>
                <w:rFonts w:ascii="Arial" w:cs="Arial" w:eastAsia="Arial" w:hAnsi="Arial"/>
                <w:sz w:val="14"/>
                <w:szCs w:val="14"/>
                <w:b w:val="1"/>
                <w:bCs w:val="1"/>
                <w:color w:val="auto"/>
                <w:w w:val="98"/>
              </w:rPr>
              <w:t>December 28,</w:t>
            </w:r>
          </w:p>
        </w:tc>
      </w:tr>
      <w:tr>
        <w:trPr>
          <w:trHeight w:val="192"/>
        </w:trPr>
        <w:tc>
          <w:tcPr>
            <w:tcW w:w="5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r>
      <w:tr>
        <w:trPr>
          <w:trHeight w:val="23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r>
      <w:tr>
        <w:trPr>
          <w:trHeight w:val="224"/>
        </w:trPr>
        <w:tc>
          <w:tcPr>
            <w:tcW w:w="514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Net unrealized gain (loss) on derivative contracts and available-for-sale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r>
      <w:tr>
        <w:trPr>
          <w:trHeight w:val="217"/>
        </w:trPr>
        <w:tc>
          <w:tcPr>
            <w:tcW w:w="5140" w:type="dxa"/>
            <w:vAlign w:val="bottom"/>
          </w:tcPr>
          <w:p>
            <w:pPr>
              <w:ind w:left="280"/>
              <w:spacing w:after="0"/>
              <w:rPr>
                <w:sz w:val="20"/>
                <w:szCs w:val="20"/>
                <w:color w:val="auto"/>
              </w:rPr>
            </w:pPr>
            <w:r>
              <w:rPr>
                <w:rFonts w:ascii="Arial" w:cs="Arial" w:eastAsia="Arial" w:hAnsi="Arial"/>
                <w:sz w:val="16"/>
                <w:szCs w:val="16"/>
                <w:color w:val="auto"/>
              </w:rPr>
              <w:t>Total other comprehensive income (loss), before tax</w:t>
            </w: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r>
      <w:tr>
        <w:trPr>
          <w:trHeight w:val="33"/>
        </w:trPr>
        <w:tc>
          <w:tcPr>
            <w:tcW w:w="5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Income tax benefit (expense) related to items of other comprehensive income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tax</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r>
      <w:tr>
        <w:trPr>
          <w:trHeight w:val="33"/>
        </w:trPr>
        <w:tc>
          <w:tcPr>
            <w:tcW w:w="5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3"/>
                <w:szCs w:val="13"/>
                <w:color w:val="auto"/>
              </w:rPr>
            </w:pPr>
          </w:p>
        </w:tc>
        <w:tc>
          <w:tcPr>
            <w:tcW w:w="126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(gain) on disposal of assets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debt discounts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Dividends paid to shareholders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revolving credit facility</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5"/>
          </w:tcPr>
          <w:p>
            <w:pPr>
              <w:ind w:left="4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88"/>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28, 2019</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Adoption of New Accounting Standard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Net unrealized loss on derivative contracts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at October 4, 2019</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7,012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Net unrealized loss on derivative contracts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at January 3, 2020</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6,717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9,379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29,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Adoption of New Accounting</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28,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9,172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11,375</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28, 2018</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300" w:right="270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181"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5"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Company adopted this standard effective June 29, 2019, the first day of the fiscal year ending July 3, 2020, and has elected the transition method provided in ASU 2018-11 to apply Topic 842 as of the date of adoption without adjusting comparative periods. The Company has elected the package of practical expedients and did not reassess prior conclusions including (a) whether its contracts are or contain a lease, (b) lease classification and (c) capitalization of initial direct costs. The adoption of Topic 842 resulted in an increase in lease assets and a corresponding increase in lease liabilities on the Condensed Consolidated Balance Sheet of $221 million as of June 29, 2019. The cumulative effect of adopting Topic 842 also included an after-tax decrease to opening retained earnings of $5 million as of June 29, 2019, which was primarily related to previously recorded sublease proceed assumptions on lease exit liabilities for which there was no expected future economic benefit at transition. See Note 10, </w:t>
      </w:r>
      <w:r>
        <w:rPr>
          <w:rFonts w:ascii="Arial" w:cs="Arial" w:eastAsia="Arial" w:hAnsi="Arial"/>
          <w:sz w:val="16"/>
          <w:szCs w:val="16"/>
          <w:i w:val="1"/>
          <w:iCs w:val="1"/>
          <w:color w:val="auto"/>
        </w:rPr>
        <w:t>Leases and Other Commitments</w:t>
      </w:r>
      <w:r>
        <w:rPr>
          <w:rFonts w:ascii="Arial" w:cs="Arial" w:eastAsia="Arial" w:hAnsi="Arial"/>
          <w:sz w:val="16"/>
          <w:szCs w:val="16"/>
          <w:color w:val="auto"/>
        </w:rPr>
        <w:t>, for additional disclosures related to this standard.</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The Company adopted this standard in the first quarter of 2020. The Company’s adoption of ASU 2018-16 did not have a material impact on its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Condensed Consolidated Financial Statements.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Condensed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January 3, 2020 or June 28, 2019.</w:t>
      </w:r>
    </w:p>
    <w:p>
      <w:pPr>
        <w:spacing w:after="0" w:line="12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January 3, 2020 and June 28, 2019 as well as the related amortization for the three and six months ended January 3, 2020 and December 28, 2018 were not material.</w:t>
      </w:r>
    </w:p>
    <w:p>
      <w:pPr>
        <w:spacing w:after="0" w:line="17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Contract liabilities relate to customers’ payments in advance of performance under the contract and primarily relate to remaining performance obligations under support and maintenance contracts. As of January 3, 2020 and June 28, 2019, contract liabilities were not material.</w:t>
      </w:r>
    </w:p>
    <w:p>
      <w:pPr>
        <w:spacing w:after="0" w:line="147" w:lineRule="exact"/>
        <w:rPr>
          <w:sz w:val="20"/>
          <w:szCs w:val="20"/>
          <w:color w:val="auto"/>
        </w:rPr>
      </w:pPr>
    </w:p>
    <w:p>
      <w:pPr>
        <w:ind w:right="360" w:firstLine="324"/>
        <w:spacing w:after="0" w:line="285"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January 3, 2020 was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$140 million, which is mainly attributable to the functional IP license and service arrangements. The Company expects to recognize this amount as revenue as follows: $24 million during the remainder of fiscal 2020, $43 million in fiscal 2021, $40 million in fiscal 2022 and $33 million thereafter.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2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January 3,</w:t>
            </w:r>
          </w:p>
        </w:tc>
        <w:tc>
          <w:tcPr>
            <w:tcW w:w="14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34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w:t>
            </w:r>
          </w:p>
        </w:tc>
        <w:tc>
          <w:tcPr>
            <w:tcW w:w="120" w:type="dxa"/>
            <w:vAlign w:val="bottom"/>
          </w:tcPr>
          <w:p>
            <w:pPr>
              <w:spacing w:after="0"/>
              <w:rPr>
                <w:sz w:val="13"/>
                <w:szCs w:val="13"/>
                <w:color w:val="auto"/>
              </w:rPr>
            </w:pPr>
          </w:p>
        </w:tc>
        <w:tc>
          <w:tcPr>
            <w:tcW w:w="13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December 28, 2018</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Product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Hard disk drives (“HDD”)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4,804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4,707</w:t>
            </w:r>
          </w:p>
        </w:tc>
        <w:tc>
          <w:tcPr>
            <w:tcW w:w="0" w:type="dxa"/>
            <w:vAlign w:val="bottom"/>
          </w:tcPr>
          <w:p>
            <w:pPr>
              <w:spacing w:after="0"/>
              <w:rPr>
                <w:sz w:val="1"/>
                <w:szCs w:val="1"/>
                <w:color w:val="auto"/>
              </w:rPr>
            </w:pP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73"/>
        </w:trPr>
        <w:tc>
          <w:tcPr>
            <w:tcW w:w="51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5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Revenue by End Market</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284"/>
        </w:trPr>
        <w:tc>
          <w:tcPr>
            <w:tcW w:w="5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40"/>
              <w:spacing w:after="0"/>
              <w:rPr>
                <w:sz w:val="20"/>
                <w:szCs w:val="20"/>
                <w:color w:val="auto"/>
              </w:rPr>
            </w:pPr>
            <w:r>
              <w:rPr>
                <w:rFonts w:ascii="Arial" w:cs="Arial" w:eastAsia="Arial" w:hAnsi="Arial"/>
                <w:sz w:val="16"/>
                <w:szCs w:val="16"/>
                <w:color w:val="auto"/>
              </w:rPr>
              <w:t>Revenue by Geography</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5,264</w:t>
            </w:r>
          </w:p>
        </w:tc>
        <w:tc>
          <w:tcPr>
            <w:tcW w:w="0" w:type="dxa"/>
            <w:vAlign w:val="bottom"/>
          </w:tcPr>
          <w:p>
            <w:pPr>
              <w:spacing w:after="0"/>
              <w:rPr>
                <w:sz w:val="1"/>
                <w:szCs w:val="1"/>
                <w:color w:val="auto"/>
              </w:rPr>
            </w:pP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Company’s top 10 customers accounted for 44% and 43% of its net revenue for the three and six months ended January 3, 2020, respectively, and 47% of its net revenue for both the three and six months ended December 28, 2018. For the three and six months ended January 3, 2020 and December 28, 2018, no single customer accounted for 10% or more of the Company’s net revenue.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From time to time, in connection with factoring agreements, the Company sells trade accounts receivable without recourse to third party purchasers in exchange for cash. During the six months ended January 3, 2020 and December 28, 2018, the Company sold trade accounts receivable and received cash proceeds of $198 million and $370 million, respectively. The discounts on the trade accounts receivable sold during the periods were not material and were recorded within Other income, net in the Condensed Consolidated Statements of Operations. As of January 3, 2020 and June 28, 2019, the amount of factored receivables that remained outstanding was $113 million and $318 million, respectively.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1,142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1,173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3,283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294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7,171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7,267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Computer equipment and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Furniture and fixtures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9,957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10,003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2,843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7"/>
              </w:rPr>
              <w:t>Carrying Amount</w:t>
            </w:r>
          </w:p>
        </w:tc>
      </w:tr>
      <w:tr>
        <w:trPr>
          <w:trHeight w:val="190"/>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2"/>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10,076</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Goodwill recorded in connection with an acquisition</w:t>
            </w:r>
          </w:p>
        </w:tc>
        <w:tc>
          <w:tcPr>
            <w:tcW w:w="16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33"/>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Reduction in goodwill in connection with disposition of business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10,069</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September 10, 2019, the Company acquired substantially all the assets of Kazan Networks, Inc., an innovator in high-performance networking and non-volatile memory express over fabrics technology ("NVMe-oF"), and an industry leader in application-specific integrated circuit and adapter solutions to connect storage platforms and systems over ethernet fabrics. The purchase price of this acquisition was $22 million in cash, with net assets acquired primarily consisting of in-process research and development (“IPR&amp;D”) of $8 million and $14 million allocated to Goodwill. Goodwill is primarily attributable to the benefits the Company expects to derive from diversifying product offerings in its Data Center Devices and Solutions and Client Solutions end markets as well as the acquired workforce. The expenses incurred by the Company related to the acquisition as well as the revenues and earnings related to the acquisition were not material to the Condensed Consolidated Financial Statements.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September 2019, the Company announced the sale of its IntelliFlash business and intention to exit Storage Systems, which consists of IntelliFlash and ActiveScale. These actions will allow the Company to redirect investments to other high value priorities. In November 2019, the Company completed its sale of IntelliFlash for a price of $28 million, to be collected over the next three years. The sale of the IntelliFlash business included an immaterial amount of inventory, other tangible and intangible assets, and goodwill and resulted in a gain of approximately $17 million recorded in Employee termination, asset impairment, and other charges in the Condensed Consolidated Statements of Operations for both the three and six months ended January 3, 2020. Additionally, in February 2020, the Company entered into an agreement for the sale of ActiveScale. The net assets sold and the proceeds from the sale of ActiveScale were not material. The revenues and expenses related to these businesses were not material to the Condensed Consolidated Financial Statements and did not qualify to be reported as discontinued operations. The operating results of these businesses have and will be reflected in the Company’s results from continuing operations in the Condensed Consolidated Statements of Operations for all periods presented through the date of disposition.</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13"/>
                <w:szCs w:val="13"/>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1,711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62"/>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w:t>
            </w:r>
          </w:p>
        </w:tc>
        <w:tc>
          <w:tcPr>
            <w:tcW w:w="120" w:type="dxa"/>
            <w:vAlign w:val="bottom"/>
          </w:tcPr>
          <w:p>
            <w:pPr>
              <w:spacing w:after="0"/>
              <w:rPr>
                <w:sz w:val="13"/>
                <w:szCs w:val="13"/>
                <w:color w:val="auto"/>
              </w:rPr>
            </w:pPr>
          </w:p>
        </w:tc>
        <w:tc>
          <w:tcPr>
            <w:tcW w:w="13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December 28, 2018</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11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January 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(included in Accrued expenses)</w:t>
            </w: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193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188</w:t>
            </w:r>
          </w:p>
        </w:tc>
      </w:tr>
      <w:tr>
        <w:trPr>
          <w:trHeight w:val="33"/>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portion (included in Other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warranty accrual</w:t>
            </w: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378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350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928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Payables related to unrecognized tax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713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2,340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28,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at January 3,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During the three and six months ended January 3, 2020 and December 28, 2018, the amounts reclassified out of AOCI related to derivative contracts were not material and substantially all were charged to Cost of revenue in the Condensed Consolidated Statements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Fair Value Measurements and Investments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 2020 and June 28, 2019,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541"/>
              <w:spacing w:after="0"/>
              <w:rPr>
                <w:sz w:val="20"/>
                <w:szCs w:val="20"/>
                <w:color w:val="auto"/>
              </w:rPr>
            </w:pPr>
            <w:r>
              <w:rPr>
                <w:rFonts w:ascii="Arial" w:cs="Arial" w:eastAsia="Arial" w:hAnsi="Arial"/>
                <w:sz w:val="14"/>
                <w:szCs w:val="14"/>
                <w:b w:val="1"/>
                <w:bCs w:val="1"/>
                <w:color w:val="auto"/>
                <w:w w:val="93"/>
              </w:rPr>
              <w:t>January 3,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center"/>
              <w:ind w:right="56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 - Money market funds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1,051</w:t>
            </w:r>
          </w:p>
        </w:tc>
        <w:tc>
          <w:tcPr>
            <w:tcW w:w="120" w:type="dxa"/>
            <w:vAlign w:val="bottom"/>
          </w:tcPr>
          <w:p>
            <w:pPr>
              <w:spacing w:after="0"/>
              <w:rPr>
                <w:sz w:val="20"/>
                <w:szCs w:val="20"/>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1,051</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1,082</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561"/>
              <w:spacing w:after="0"/>
              <w:rPr>
                <w:sz w:val="20"/>
                <w:szCs w:val="20"/>
                <w:color w:val="auto"/>
              </w:rPr>
            </w:pPr>
            <w:r>
              <w:rPr>
                <w:rFonts w:ascii="Arial" w:cs="Arial" w:eastAsia="Arial" w:hAnsi="Arial"/>
                <w:sz w:val="14"/>
                <w:szCs w:val="14"/>
                <w:b w:val="1"/>
                <w:bCs w:val="1"/>
                <w:color w:val="auto"/>
                <w:w w:val="92"/>
              </w:rPr>
              <w:t>June 28,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center"/>
              <w:ind w:right="56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1,451</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40" w:type="dxa"/>
            <w:vAlign w:val="bottom"/>
            <w:gridSpan w:val="2"/>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00" w:type="dxa"/>
            <w:vAlign w:val="bottom"/>
            <w:gridSpan w:val="2"/>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three and six months ended January 3, 2020, the Company had no transfers of financial assets and liabilities between levels and there were no changes in valuation techniques and the inputs used in the fair value measurement.</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2020 and the fourth quarter of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 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10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1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4,700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4,780</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986</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 senior unsecured notes due 2026</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2,263</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9,833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10,522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10,430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January 3, 2020,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18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As of January 3, 2020, the amount of existing net losses related to cash flow hedges recorded in AOCI included $51 million related to the Company’s interest rate swaps that is expected to be reclassified to earnings after twelve months. In addition, as of January 3, 2020, the Company did not have any foreign exchange forward contracts with credit-risk-related contingent features.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and six months ended January 3, 2020 and December 28, 2018, total net realized and unrealized transaction and foreign exchange contract currency gains and losses were not material to the Company’s Condensed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January 3, 2020 and June 28, 2019, the effect of rights of offset was not material and the Company did not offset or net the fair value amounts of derivative instruments in its Condensed Consolidated Balance Sheets.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7520" w:type="dxa"/>
            <w:vAlign w:val="bottom"/>
          </w:tcPr>
          <w:p>
            <w:pPr>
              <w:jc w:val="center"/>
              <w:ind w:right="7070"/>
              <w:spacing w:after="0"/>
              <w:rPr>
                <w:sz w:val="20"/>
                <w:szCs w:val="20"/>
                <w:color w:val="auto"/>
              </w:rPr>
            </w:pPr>
            <w:r>
              <w:rPr>
                <w:rFonts w:ascii="Arial" w:cs="Arial" w:eastAsia="Arial" w:hAnsi="Arial"/>
                <w:sz w:val="18"/>
                <w:szCs w:val="18"/>
                <w:b w:val="1"/>
                <w:bCs w:val="1"/>
                <w:color w:val="auto"/>
                <w:w w:val="89"/>
              </w:rPr>
              <w:t>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Debt consisted of the following as of January 3, 2020 and June 28, 2019:</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4,708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4,834</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1.50% convertible notes due 2024</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1,100</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r>
      <w:tr>
        <w:trPr>
          <w:trHeight w:val="21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Total debt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9,986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10,694</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7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9,833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10,522</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44"/>
        </w:trPr>
        <w:tc>
          <w:tcPr>
            <w:tcW w:w="8340" w:type="dxa"/>
            <w:vAlign w:val="bottom"/>
            <w:gridSpan w:val="2"/>
          </w:tcPr>
          <w:p>
            <w:pPr>
              <w:jc w:val="center"/>
              <w:ind w:right="6250"/>
              <w:spacing w:after="0"/>
              <w:rPr>
                <w:sz w:val="20"/>
                <w:szCs w:val="20"/>
                <w:color w:val="auto"/>
              </w:rPr>
            </w:pPr>
            <w:r>
              <w:rPr>
                <w:rFonts w:ascii="Arial" w:cs="Arial" w:eastAsia="Arial" w:hAnsi="Arial"/>
                <w:sz w:val="16"/>
                <w:szCs w:val="16"/>
                <w:color w:val="auto"/>
                <w:w w:val="92"/>
              </w:rPr>
              <w:t>Long-term debt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10,246</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credit agreement governing the revolving credit facility and Term Loan A-1 requires the Company to comply with certain financial covenants, consisting of a leverage ratio and an interest coverage ratio. As of January 3, 2020, the Company was in compliance with these financial covenants.</w:t>
      </w:r>
    </w:p>
    <w:p>
      <w:pPr>
        <w:spacing w:after="0" w:line="12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October 4, 2019 and January 3, 2020, the Company made voluntary prepayments of $250 million and $325 million, respectively, on its U.S. Term Loan B-4, which were applied toward the remaining scheduled amortization and the remainder towards the principal due at maturity. As of January 3, 2020, there are no longer any scheduled amortization payments due under the U.S. Term Loan B-4 prior to its maturity on April 29, 2023. On January 31, 2020, the Company made an incremental voluntary prepayment of $150 million on its Term Loan B-4.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January 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end of period</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 at end of period</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208</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4"/>
                <w:szCs w:val="14"/>
                <w:b w:val="1"/>
                <w:bCs w:val="1"/>
                <w:color w:val="auto"/>
              </w:rPr>
              <w:t>January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11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40" w:type="dxa"/>
            <w:vAlign w:val="bottom"/>
            <w:tcBorders>
              <w:bottom w:val="single" w:sz="8" w:color="CCEEFF"/>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40" w:type="dxa"/>
            <w:vAlign w:val="bottom"/>
          </w:tcPr>
          <w:p>
            <w:pPr>
              <w:spacing w:after="0"/>
              <w:rPr>
                <w:sz w:val="20"/>
                <w:szCs w:val="20"/>
                <w:color w:val="auto"/>
              </w:rPr>
            </w:pPr>
          </w:p>
        </w:tc>
        <w:tc>
          <w:tcPr>
            <w:tcW w:w="36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71</w:t>
            </w:r>
          </w:p>
        </w:tc>
      </w:tr>
      <w:tr>
        <w:trPr>
          <w:trHeight w:val="33"/>
        </w:trPr>
        <w:tc>
          <w:tcPr>
            <w:tcW w:w="8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w:t>
            </w:r>
          </w:p>
        </w:tc>
      </w:tr>
      <w:tr>
        <w:trPr>
          <w:trHeight w:val="20"/>
        </w:trPr>
        <w:tc>
          <w:tcPr>
            <w:tcW w:w="8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either the three or six months ended January 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Related Parties and Related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January 3, 2020 and June 28,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878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2,791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During the three and six months ended January 3, 2020 and during the three and six months ended December 28, 2018, the Company made net payments to Flash Ventures of $648 million and $1.33 billion, and $1.12 billion and $1.86 billion respectively, for purchased flash-based memory wafers and net loans and investments.</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As of January 3, 2020 and June 28, 2019, the Company had Accounts payable balances due to Flash Ventures of $364 million and $331 million, respectively.</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January 3, 2020, is presented below. Investments in Flash Ventures are denominated in Japanese yen, and the maximum estimable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42"/>
              <w:spacing w:after="0"/>
              <w:rPr>
                <w:sz w:val="20"/>
                <w:szCs w:val="20"/>
                <w:color w:val="auto"/>
              </w:rPr>
            </w:pPr>
            <w:r>
              <w:rPr>
                <w:rFonts w:ascii="Arial" w:cs="Arial" w:eastAsia="Arial" w:hAnsi="Arial"/>
                <w:sz w:val="14"/>
                <w:szCs w:val="14"/>
                <w:b w:val="1"/>
                <w:bCs w:val="1"/>
                <w:color w:val="auto"/>
              </w:rPr>
              <w:t>January 3,</w:t>
            </w:r>
          </w:p>
        </w:tc>
      </w:tr>
      <w:tr>
        <w:trPr>
          <w:trHeight w:val="192"/>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83"/>
        </w:trPr>
        <w:tc>
          <w:tcPr>
            <w:tcW w:w="9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621</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462</w:t>
            </w:r>
          </w:p>
        </w:tc>
      </w:tr>
      <w:tr>
        <w:trPr>
          <w:trHeight w:val="33"/>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4,529</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As a result of this incident, the Company incurred charges of $68 million in its fiscal 2020, all incurred in the three months ended October 4, 2019, which were recorded in Cost of revenue and primarily consisted of unabsorbed manufacturing overhead costs. The Company is pursuing recovery of its losses associated with this event; however, the amount of any recovery cannot be estimated at this time.</w:t>
      </w:r>
    </w:p>
    <w:p>
      <w:pPr>
        <w:spacing w:after="0" w:line="15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second half of fiscal year 2020, although meaningful output from K1 is not expected to begin until the first half of fiscal year 2021. The Company’s share of the initial commitment for K1 will result in equipment investments, relocation and other start-up costs which are expected to be incurred primarily through the second half of fiscal year 2020. The Company also agreed to prepay an aggregate of approximately $360 million over a 3-year period beginning in the first half of fiscal year 2020 toward K1 building depreciation, to be credited against future wafer charges. As of January 3, 2020, remaining committed prepayments totaled $265 million.</w:t>
      </w:r>
    </w:p>
    <w:p>
      <w:pPr>
        <w:spacing w:after="0" w:line="16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70"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January 3,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Lease Amounts</w:t>
            </w:r>
          </w:p>
        </w:tc>
        <w:tc>
          <w:tcPr>
            <w:tcW w:w="78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189</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January 3, 2020 in U.S. dollars, based upon the Japanese yen to U.S. dollar exchange rate as of January 3,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Purchase Option</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Payment of Principal</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Exercise Price at Final</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8"/>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Annual Installments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Lease Terms</w:t>
            </w:r>
          </w:p>
        </w:tc>
        <w:tc>
          <w:tcPr>
            <w:tcW w:w="140" w:type="dxa"/>
            <w:vAlign w:val="bottom"/>
          </w:tcPr>
          <w:p>
            <w:pPr>
              <w:spacing w:after="0"/>
              <w:rPr>
                <w:sz w:val="16"/>
                <w:szCs w:val="16"/>
                <w:color w:val="auto"/>
              </w:rPr>
            </w:pPr>
          </w:p>
        </w:tc>
        <w:tc>
          <w:tcPr>
            <w:tcW w:w="1320" w:type="dxa"/>
            <w:vAlign w:val="bottom"/>
          </w:tcPr>
          <w:p>
            <w:pPr>
              <w:jc w:val="right"/>
              <w:ind w:right="100"/>
              <w:spacing w:after="0"/>
              <w:rPr>
                <w:sz w:val="20"/>
                <w:szCs w:val="20"/>
                <w:color w:val="auto"/>
              </w:rPr>
            </w:pPr>
            <w:r>
              <w:rPr>
                <w:rFonts w:ascii="Arial" w:cs="Arial" w:eastAsia="Arial" w:hAnsi="Arial"/>
                <w:sz w:val="14"/>
                <w:szCs w:val="14"/>
                <w:color w:val="auto"/>
                <w:w w:val="94"/>
              </w:rPr>
              <w:t>Guarantee Amount</w:t>
            </w: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Remaining six months of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514</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282</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86</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January 3, 2020, no amounts have been accrued in the Condensed Consolidated Financial Statements with respect to these indemnification agreements.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six months ended January 3, 2020 and December 28, 2018, the Company recognized approximately 1% of its consolidated revenue on products distributed by the Unis Venture. The outstanding accounts receivable due from and investment in the Unis Venture were not material to the Condensed Consolidated Financial Statements as of January 3, 2020 or June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Leases and Other Commitments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 The following table summarizes supplemental balance sheet information related to operating leases as of January 3,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7"/>
              </w:rPr>
              <w:t>Lease Amounts</w:t>
            </w:r>
          </w:p>
        </w:tc>
      </w:tr>
      <w:tr>
        <w:trPr>
          <w:trHeight w:val="237"/>
        </w:trPr>
        <w:tc>
          <w:tcPr>
            <w:tcW w:w="9900" w:type="dxa"/>
            <w:vAlign w:val="bottom"/>
          </w:tcPr>
          <w:p>
            <w:pPr>
              <w:ind w:left="40"/>
              <w:spacing w:after="0"/>
              <w:rPr>
                <w:sz w:val="20"/>
                <w:szCs w:val="20"/>
                <w:color w:val="auto"/>
              </w:rPr>
            </w:pPr>
            <w:r>
              <w:rPr>
                <w:rFonts w:ascii="Arial" w:cs="Arial" w:eastAsia="Arial" w:hAnsi="Arial"/>
                <w:sz w:val="16"/>
                <w:szCs w:val="16"/>
                <w:color w:val="auto"/>
              </w:rPr>
              <w:t>Minimum lease payments by fiscal year:</w:t>
            </w:r>
          </w:p>
        </w:tc>
        <w:tc>
          <w:tcPr>
            <w:tcW w:w="180" w:type="dxa"/>
            <w:vAlign w:val="bottom"/>
          </w:tcPr>
          <w:p>
            <w:pPr>
              <w:spacing w:after="0"/>
              <w:rPr>
                <w:sz w:val="20"/>
                <w:szCs w:val="20"/>
                <w:color w:val="auto"/>
              </w:rPr>
            </w:pPr>
          </w:p>
        </w:tc>
        <w:tc>
          <w:tcPr>
            <w:tcW w:w="1320" w:type="dxa"/>
            <w:vAlign w:val="bottom"/>
          </w:tcPr>
          <w:p>
            <w:pPr>
              <w:jc w:val="right"/>
              <w:ind w:right="320"/>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Remaining six months of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45</w:t>
            </w:r>
          </w:p>
        </w:tc>
      </w:tr>
      <w:tr>
        <w:trPr>
          <w:trHeight w:val="33"/>
        </w:trPr>
        <w:tc>
          <w:tcPr>
            <w:tcW w:w="9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25</w:t>
            </w:r>
          </w:p>
        </w:tc>
      </w:tr>
      <w:tr>
        <w:trPr>
          <w:trHeight w:val="33"/>
        </w:trPr>
        <w:tc>
          <w:tcPr>
            <w:tcW w:w="9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168</w:t>
            </w:r>
          </w:p>
        </w:tc>
      </w:tr>
      <w:tr>
        <w:trPr>
          <w:trHeight w:val="33"/>
        </w:trPr>
        <w:tc>
          <w:tcPr>
            <w:tcW w:w="9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future minimum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321</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Less: Imputed Interest</w:t>
            </w:r>
          </w:p>
        </w:tc>
        <w:tc>
          <w:tcPr>
            <w:tcW w:w="18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33"/>
        </w:trPr>
        <w:tc>
          <w:tcPr>
            <w:tcW w:w="9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r>
      <w:tr>
        <w:trPr>
          <w:trHeight w:val="224"/>
        </w:trPr>
        <w:tc>
          <w:tcPr>
            <w:tcW w:w="9900" w:type="dxa"/>
            <w:vAlign w:val="bottom"/>
          </w:tcPr>
          <w:p>
            <w:pPr>
              <w:ind w:left="180"/>
              <w:spacing w:after="0"/>
              <w:rPr>
                <w:sz w:val="20"/>
                <w:szCs w:val="20"/>
                <w:color w:val="auto"/>
              </w:rPr>
            </w:pPr>
            <w:r>
              <w:rPr>
                <w:rFonts w:ascii="Arial" w:cs="Arial" w:eastAsia="Arial" w:hAnsi="Arial"/>
                <w:sz w:val="16"/>
                <w:szCs w:val="16"/>
                <w:color w:val="auto"/>
              </w:rPr>
              <w:t>Less: Current portion (included in Accrued expenses)</w:t>
            </w:r>
          </w:p>
        </w:tc>
        <w:tc>
          <w:tcPr>
            <w:tcW w:w="18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41</w:t>
            </w:r>
          </w:p>
        </w:tc>
      </w:tr>
      <w:tr>
        <w:trPr>
          <w:trHeight w:val="33"/>
        </w:trPr>
        <w:tc>
          <w:tcPr>
            <w:tcW w:w="9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217</w:t>
            </w:r>
          </w:p>
        </w:tc>
      </w:tr>
      <w:tr>
        <w:trPr>
          <w:trHeight w:val="20"/>
        </w:trPr>
        <w:tc>
          <w:tcPr>
            <w:tcW w:w="9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9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242</w:t>
            </w:r>
          </w:p>
        </w:tc>
      </w:tr>
      <w:tr>
        <w:trPr>
          <w:trHeight w:val="297"/>
        </w:trPr>
        <w:tc>
          <w:tcPr>
            <w:tcW w:w="9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 in years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r>
      <w:tr>
        <w:trPr>
          <w:trHeight w:val="224"/>
        </w:trPr>
        <w:tc>
          <w:tcPr>
            <w:tcW w:w="990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bl>
    <w:p>
      <w:pPr>
        <w:spacing w:after="0" w:line="200" w:lineRule="exact"/>
        <w:rPr>
          <w:sz w:val="20"/>
          <w:szCs w:val="20"/>
          <w:color w:val="auto"/>
        </w:rPr>
      </w:pPr>
    </w:p>
    <w:p>
      <w:pPr>
        <w:spacing w:after="0" w:line="25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 for the three and six months ended January 3,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Six Months Ended</w:t>
            </w:r>
          </w:p>
        </w:tc>
      </w:tr>
      <w:tr>
        <w:trPr>
          <w:trHeight w:val="152"/>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January 3,</w:t>
            </w:r>
          </w:p>
        </w:tc>
        <w:tc>
          <w:tcPr>
            <w:tcW w:w="120" w:type="dxa"/>
            <w:vAlign w:val="bottom"/>
          </w:tcPr>
          <w:p>
            <w:pPr>
              <w:spacing w:after="0"/>
              <w:rPr>
                <w:sz w:val="13"/>
                <w:szCs w:val="13"/>
                <w:color w:val="auto"/>
              </w:rPr>
            </w:pPr>
          </w:p>
        </w:tc>
        <w:tc>
          <w:tcPr>
            <w:tcW w:w="134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5"/>
              </w:rPr>
              <w:t>January 3,</w:t>
            </w:r>
          </w:p>
        </w:tc>
      </w:tr>
      <w:tr>
        <w:trPr>
          <w:trHeight w:val="192"/>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2020</w:t>
            </w:r>
          </w:p>
        </w:tc>
      </w:tr>
      <w:tr>
        <w:trPr>
          <w:trHeight w:val="250"/>
        </w:trPr>
        <w:tc>
          <w:tcPr>
            <w:tcW w:w="8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4"/>
          </w:tcPr>
          <w:p>
            <w:pPr>
              <w:jc w:val="right"/>
              <w:ind w:right="108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operating leases</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Cash paid for operating leases</w:t>
            </w:r>
          </w:p>
        </w:tc>
        <w:tc>
          <w:tcPr>
            <w:tcW w:w="24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29</w:t>
            </w:r>
          </w:p>
        </w:tc>
      </w:tr>
      <w:tr>
        <w:trPr>
          <w:trHeight w:val="33"/>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r>
      <w:tr>
        <w:trPr>
          <w:trHeight w:val="33"/>
        </w:trPr>
        <w:tc>
          <w:tcPr>
            <w:tcW w:w="8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January 3, 2020, the Company had the following minimum long-term commitments:</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5"/>
              </w:rPr>
              <w:t>Long-term</w:t>
            </w:r>
          </w:p>
        </w:tc>
      </w:tr>
      <w:tr>
        <w:trPr>
          <w:trHeight w:val="192"/>
        </w:trPr>
        <w:tc>
          <w:tcPr>
            <w:tcW w:w="9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commitments</w:t>
            </w:r>
          </w:p>
        </w:tc>
      </w:tr>
      <w:tr>
        <w:trPr>
          <w:trHeight w:val="250"/>
        </w:trPr>
        <w:tc>
          <w:tcPr>
            <w:tcW w:w="9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i w:val="1"/>
                <w:iCs w:val="1"/>
                <w:color w:val="auto"/>
                <w:w w:val="98"/>
              </w:rPr>
              <w:t>(in millions)</w:t>
            </w:r>
          </w:p>
        </w:tc>
      </w:tr>
      <w:tr>
        <w:trPr>
          <w:trHeight w:val="256"/>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7"/>
        </w:trPr>
        <w:tc>
          <w:tcPr>
            <w:tcW w:w="9900" w:type="dxa"/>
            <w:vAlign w:val="bottom"/>
          </w:tcPr>
          <w:p>
            <w:pPr>
              <w:ind w:left="160"/>
              <w:spacing w:after="0"/>
              <w:rPr>
                <w:sz w:val="20"/>
                <w:szCs w:val="20"/>
                <w:color w:val="auto"/>
              </w:rPr>
            </w:pPr>
            <w:r>
              <w:rPr>
                <w:rFonts w:ascii="Arial" w:cs="Arial" w:eastAsia="Arial" w:hAnsi="Arial"/>
                <w:sz w:val="16"/>
                <w:szCs w:val="16"/>
                <w:color w:val="auto"/>
              </w:rPr>
              <w:t>Remaining six months of 2020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123</w:t>
            </w:r>
          </w:p>
        </w:tc>
      </w:tr>
      <w:tr>
        <w:trPr>
          <w:trHeight w:val="33"/>
        </w:trPr>
        <w:tc>
          <w:tcPr>
            <w:tcW w:w="9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304</w:t>
            </w:r>
          </w:p>
        </w:tc>
      </w:tr>
      <w:tr>
        <w:trPr>
          <w:trHeight w:val="237"/>
        </w:trPr>
        <w:tc>
          <w:tcPr>
            <w:tcW w:w="9900" w:type="dxa"/>
            <w:vAlign w:val="bottom"/>
          </w:tcPr>
          <w:p>
            <w:pPr>
              <w:ind w:left="16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390</w:t>
            </w:r>
          </w:p>
        </w:tc>
      </w:tr>
      <w:tr>
        <w:trPr>
          <w:trHeight w:val="33"/>
        </w:trPr>
        <w:tc>
          <w:tcPr>
            <w:tcW w:w="9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407</w:t>
            </w:r>
          </w:p>
        </w:tc>
      </w:tr>
      <w:tr>
        <w:trPr>
          <w:trHeight w:val="237"/>
        </w:trPr>
        <w:tc>
          <w:tcPr>
            <w:tcW w:w="9900" w:type="dxa"/>
            <w:vAlign w:val="bottom"/>
          </w:tcPr>
          <w:p>
            <w:pPr>
              <w:ind w:left="16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180</w:t>
            </w:r>
          </w:p>
        </w:tc>
      </w:tr>
      <w:tr>
        <w:trPr>
          <w:trHeight w:val="33"/>
        </w:trPr>
        <w:tc>
          <w:tcPr>
            <w:tcW w:w="9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338</w:t>
            </w:r>
          </w:p>
        </w:tc>
      </w:tr>
      <w:tr>
        <w:trPr>
          <w:trHeight w:val="244"/>
        </w:trPr>
        <w:tc>
          <w:tcPr>
            <w:tcW w:w="9900" w:type="dxa"/>
            <w:vAlign w:val="bottom"/>
          </w:tcPr>
          <w:p>
            <w:pPr>
              <w:ind w:left="2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1,742</w:t>
            </w:r>
          </w:p>
        </w:tc>
      </w:tr>
      <w:tr>
        <w:trPr>
          <w:trHeight w:val="20"/>
        </w:trPr>
        <w:tc>
          <w:tcPr>
            <w:tcW w:w="9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48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right"/>
              <w:ind w:right="6"/>
              <w:spacing w:after="0" w:line="153" w:lineRule="exact"/>
              <w:rPr>
                <w:sz w:val="20"/>
                <w:szCs w:val="20"/>
                <w:color w:val="auto"/>
              </w:rPr>
            </w:pPr>
            <w:r>
              <w:rPr>
                <w:rFonts w:ascii="Arial" w:cs="Arial" w:eastAsia="Arial" w:hAnsi="Arial"/>
                <w:sz w:val="14"/>
                <w:szCs w:val="14"/>
                <w:b w:val="1"/>
                <w:bCs w:val="1"/>
                <w:color w:val="auto"/>
              </w:rPr>
              <w:t>January 3,</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January 3,</w:t>
            </w:r>
          </w:p>
        </w:tc>
        <w:tc>
          <w:tcPr>
            <w:tcW w:w="60" w:type="dxa"/>
            <w:vAlign w:val="bottom"/>
          </w:tcPr>
          <w:p>
            <w:pPr>
              <w:spacing w:after="0"/>
              <w:rPr>
                <w:sz w:val="13"/>
                <w:szCs w:val="13"/>
                <w:color w:val="auto"/>
              </w:rPr>
            </w:pPr>
          </w:p>
        </w:tc>
        <w:tc>
          <w:tcPr>
            <w:tcW w:w="140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w w:val="98"/>
              </w:rPr>
              <w:t>December 28, 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14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left="263"/>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(in millions)</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140" w:type="dxa"/>
            <w:vAlign w:val="bottom"/>
            <w:tcBorders>
              <w:bottom w:val="single" w:sz="8" w:color="CCEEFF"/>
            </w:tcBorders>
            <w:gridSpan w:val="2"/>
            <w:shd w:val="clear" w:color="auto" w:fill="CCEEFF"/>
          </w:tcPr>
          <w:p>
            <w:pPr>
              <w:jc w:val="right"/>
              <w:ind w:right="94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96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6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120" w:type="dxa"/>
            <w:vAlign w:val="bottom"/>
          </w:tcPr>
          <w:p>
            <w:pPr>
              <w:ind w:left="18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gridSpan w:val="2"/>
          </w:tcPr>
          <w:p>
            <w:pPr>
              <w:jc w:val="right"/>
              <w:ind w:right="946"/>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gridSpan w:val="2"/>
          </w:tcPr>
          <w:p>
            <w:pPr>
              <w:jc w:val="right"/>
              <w:ind w:right="965"/>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auto"/>
              <w:bottom w:val="single" w:sz="8" w:color="auto"/>
            </w:tcBorders>
            <w:gridSpan w:val="2"/>
          </w:tcPr>
          <w:p>
            <w:pPr>
              <w:jc w:val="right"/>
              <w:ind w:right="665"/>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44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jc w:val="center"/>
              <w:ind w:left="286"/>
              <w:spacing w:after="0" w:line="153" w:lineRule="exact"/>
              <w:rPr>
                <w:sz w:val="20"/>
                <w:szCs w:val="20"/>
                <w:color w:val="auto"/>
              </w:rPr>
            </w:pPr>
            <w:r>
              <w:rPr>
                <w:rFonts w:ascii="Arial" w:cs="Arial" w:eastAsia="Arial" w:hAnsi="Arial"/>
                <w:sz w:val="14"/>
                <w:szCs w:val="14"/>
                <w:b w:val="1"/>
                <w:bCs w:val="1"/>
                <w:color w:val="auto"/>
                <w:w w:val="95"/>
              </w:rPr>
              <w:t>January 3,</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January 3,</w:t>
            </w:r>
          </w:p>
        </w:tc>
        <w:tc>
          <w:tcPr>
            <w:tcW w:w="6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28, 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14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140" w:type="dxa"/>
            <w:vAlign w:val="bottom"/>
            <w:tcBorders>
              <w:bottom w:val="single" w:sz="8" w:color="CCEEFF"/>
            </w:tcBorders>
            <w:gridSpan w:val="2"/>
            <w:shd w:val="clear" w:color="auto" w:fill="CCEEFF"/>
          </w:tcPr>
          <w:p>
            <w:pPr>
              <w:jc w:val="right"/>
              <w:ind w:right="92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94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2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180"/>
              <w:spacing w:after="0"/>
              <w:rPr>
                <w:sz w:val="20"/>
                <w:szCs w:val="20"/>
                <w:color w:val="auto"/>
              </w:rPr>
            </w:pPr>
            <w:r>
              <w:rPr>
                <w:rFonts w:ascii="Arial" w:cs="Arial" w:eastAsia="Arial" w:hAnsi="Arial"/>
                <w:sz w:val="16"/>
                <w:szCs w:val="16"/>
                <w:color w:val="auto"/>
              </w:rPr>
              <w:t>Subtotal</w:t>
            </w:r>
          </w:p>
        </w:tc>
        <w:tc>
          <w:tcPr>
            <w:tcW w:w="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120" w:type="dxa"/>
            <w:vAlign w:val="bottom"/>
          </w:tcPr>
          <w:p>
            <w:pPr>
              <w:ind w:left="2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Windfall tax benefits related to the vesting and exercise of stock-based awards, which are recognized as a component of the Company’s Income tax expense, were immaterial for the periods presented.</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units (“RSUs”), performance-based stock units (“PSUs”),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January 3,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0.6</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640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2.7</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1.4</w:t>
            </w:r>
          </w:p>
        </w:tc>
      </w:tr>
      <w:tr>
        <w:trPr>
          <w:trHeight w:val="231"/>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12700</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6" w:lineRule="exact"/>
        <w:rPr>
          <w:sz w:val="20"/>
          <w:szCs w:val="20"/>
          <w:color w:val="auto"/>
        </w:rPr>
      </w:pPr>
    </w:p>
    <w:p>
      <w:pPr>
        <w:ind w:left="5620" w:right="4700" w:hanging="5612"/>
        <w:spacing w:after="0" w:line="685" w:lineRule="auto"/>
        <w:tabs>
          <w:tab w:leader="none" w:pos="32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-894715</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28, 2019</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43.48</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93.23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January 3, 2020</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67.85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January 3, 2020</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70.60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340" w:type="dxa"/>
            <w:vAlign w:val="bottom"/>
          </w:tcPr>
          <w:p>
            <w:pPr>
              <w:jc w:val="center"/>
              <w:ind w:right="26"/>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6"/>
                <w:szCs w:val="16"/>
                <w:color w:val="auto"/>
              </w:rPr>
            </w:pPr>
          </w:p>
        </w:tc>
        <w:tc>
          <w:tcPr>
            <w:tcW w:w="1340" w:type="dxa"/>
            <w:vAlign w:val="bottom"/>
          </w:tcPr>
          <w:p>
            <w:pPr>
              <w:jc w:val="center"/>
              <w:ind w:right="26"/>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48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80"/>
        </w:trPr>
        <w:tc>
          <w:tcPr>
            <w:tcW w:w="67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28, 2019</w:t>
            </w: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January 3, 2020</w:t>
            </w: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Company’s Board of Directors has authorized a stock repurchase program for the repurchase of up to $5.00 billion of the Company’s common stock, which authorization is effective through July 25, 2023. For the six months ended January 3, 2020, the Company did not make any stock repurchases. The remaining amount available to be repurchased under the Company’s current stock repurchase program as of January 3, 2020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Since the first quarter of 2013, the Company has issued a quarterly cash dividend. During the six months ended January 3, 2020, the Company declared aggregate cash dividends of $1.00 per share on its outstanding common stock totaling $298 million, of which $149 million was paid on January 21, 2020. The Company may modify, suspend or cancel its cash dividend policy in any manner and at any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January 3,</w:t>
            </w:r>
          </w:p>
        </w:tc>
        <w:tc>
          <w:tcPr>
            <w:tcW w:w="26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3"/>
                <w:szCs w:val="13"/>
                <w:color w:val="auto"/>
              </w:rPr>
            </w:pPr>
          </w:p>
        </w:tc>
        <w:tc>
          <w:tcPr>
            <w:tcW w:w="122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w w:val="98"/>
              </w:rPr>
              <w:t>January 3,</w:t>
            </w:r>
          </w:p>
        </w:tc>
        <w:tc>
          <w:tcPr>
            <w:tcW w:w="280" w:type="dxa"/>
            <w:vAlign w:val="bottom"/>
          </w:tcPr>
          <w:p>
            <w:pPr>
              <w:spacing w:after="0"/>
              <w:rPr>
                <w:sz w:val="13"/>
                <w:szCs w:val="13"/>
                <w:color w:val="auto"/>
              </w:rPr>
            </w:pPr>
          </w:p>
        </w:tc>
        <w:tc>
          <w:tcPr>
            <w:tcW w:w="128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r>
      <w:tr>
        <w:trPr>
          <w:trHeight w:val="190"/>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66"/>
        </w:trPr>
        <w:tc>
          <w:tcPr>
            <w:tcW w:w="5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(277)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664</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0"/>
                <w:szCs w:val="20"/>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83"/>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20"/>
                <w:szCs w:val="20"/>
                <w:color w:val="auto"/>
              </w:rPr>
            </w:pP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640</w:t>
            </w:r>
          </w:p>
        </w:tc>
      </w:tr>
      <w:tr>
        <w:trPr>
          <w:trHeight w:val="33"/>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5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primary drivers of the difference between the effective tax rate for the three and six months ended January 3, 2020 and the U.S. Federal statutory rate of 21% are the relative mix of earnings and losses by jurisdiction, the deduction for foreign derived intangible income, credits and tax holidays in Malaysia, Philippines and Thailand that will expire at various dates during fiscal years 2020 through 2030. In addition, the effective tax rate for the six months ended January 3, 2020 includes the discrete effect of a de-recognition of $33 million for certain deferred tax assets associated with the Company’s creditable foreign withholding taxes due to the issuance of final regulatory guidance. The regulatory guidance does not preclude the Company from potentially claiming these creditable taxes as a period benefit when paid.</w:t>
      </w:r>
    </w:p>
    <w:p>
      <w:pPr>
        <w:spacing w:after="0" w:line="19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primary drivers of the difference between the effective tax rate for the three and six months ended December 28, 2018 and the U.S. Federal statutory rate of 21% is the discrete effect of the finalization of the accounting for the tax effects of the enactment of the 2017 Act. For the three months ended December 28, 2018, these discrete effects consist of $230 million related to the mandatory deemed repatriation tax and $134 million related to the Company’s decision to change its indefinite reinvestment assertion. For the six months ended December 28, 2018, these discrete effects consist of $178 million related to the mandatory deemed repatriation tax and $144 million related to the Company’s decision to change its indefinite reinvestment assertion. For both periods, the remaining difference is attributable primarily to the changes in the relative mix of our U.S. earnings compared to foreign earnings.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U.S. Tax Court consolidated the case for fiscal years 2008 through 2009 with the case for fiscal years 2010 through 2012. The Company believes that its tax positions are properly supported and will vigorously contest the position taken by the IRS.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January 3, 2020,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January 3, 2020, the liability for unrecognized tax benefits (excluding accrued interest and penalties) was approximately $696 million. Accrued interest and penalties related to unrecognized tax benefits as of January 3, 2020 was approximately $131 million. Of these amounts, approximately $708 million could result in potential cash payments. The Company is not able to provide a reasonable estimate of the timing of future tax payments related to these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28, 2018</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six months ended December 28, 2018, the Company excluded common shares subject to outstanding equity awards from the calculation of diluted shares because their impact would have been anti-dilutive based on the Company’s average stock price during the period. For the three and six months ended January 3, 2020, and the three months ended December 28, 2018, the Company recorded net losses, and all shares subject to outstanding equity awards have been excluded for those periods because including them would be anti-dilutive.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3"/>
                <w:szCs w:val="13"/>
                <w:color w:val="auto"/>
              </w:rPr>
            </w:pPr>
          </w:p>
        </w:tc>
        <w:tc>
          <w:tcPr>
            <w:tcW w:w="12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i w:val="1"/>
                <w:iCs w:val="1"/>
                <w:color w:val="auto"/>
                <w:w w:val="98"/>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disposition of assets: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gain on disposition of assets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5160" w:type="dxa"/>
            <w:vAlign w:val="bottom"/>
          </w:tcPr>
          <w:p>
            <w:pPr>
              <w:ind w:left="380"/>
              <w:spacing w:after="0"/>
              <w:rPr>
                <w:sz w:val="20"/>
                <w:szCs w:val="20"/>
                <w:color w:val="auto"/>
              </w:rPr>
            </w:pPr>
            <w:r>
              <w:rPr>
                <w:rFonts w:ascii="Arial" w:cs="Arial" w:eastAsia="Arial" w:hAnsi="Arial"/>
                <w:sz w:val="16"/>
                <w:szCs w:val="16"/>
                <w:color w:val="auto"/>
              </w:rPr>
              <w:t>Total employee termination, asset impairment, and other charges</w:t>
            </w: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in fiscal year 2019.</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six months ended January 3, 2020:</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Accrual balance at June 28, 2019</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6700" w:type="dxa"/>
            <w:vAlign w:val="bottom"/>
          </w:tcPr>
          <w:p>
            <w:pPr>
              <w:ind w:left="16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4"/>
        </w:trPr>
        <w:tc>
          <w:tcPr>
            <w:tcW w:w="6700" w:type="dxa"/>
            <w:vAlign w:val="bottom"/>
          </w:tcPr>
          <w:p>
            <w:pPr>
              <w:ind w:left="20"/>
              <w:spacing w:after="0"/>
              <w:rPr>
                <w:sz w:val="20"/>
                <w:szCs w:val="20"/>
                <w:color w:val="auto"/>
              </w:rPr>
            </w:pPr>
            <w:r>
              <w:rPr>
                <w:rFonts w:ascii="Arial" w:cs="Arial" w:eastAsia="Arial" w:hAnsi="Arial"/>
                <w:sz w:val="16"/>
                <w:szCs w:val="16"/>
                <w:color w:val="auto"/>
              </w:rPr>
              <w:t>Accrual balance at January 3, 2020</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addition to the amounts recognized under Business Realignment as presented above, the Company recognized $5 million of accelerated depreciation on facility assets in Cost of revenue and Operating expenses in the Condensed Consolidated Statements of Operations for the six months ended January 3, 2020.</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six months ended January 3, 2020: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Termination</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28, 2019</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720" w:type="dxa"/>
            <w:vAlign w:val="bottom"/>
          </w:tcPr>
          <w:p>
            <w:pPr>
              <w:ind w:left="180"/>
              <w:spacing w:after="0"/>
              <w:rPr>
                <w:sz w:val="20"/>
                <w:szCs w:val="20"/>
                <w:color w:val="auto"/>
              </w:rPr>
            </w:pPr>
            <w:r>
              <w:rPr>
                <w:rFonts w:ascii="Arial" w:cs="Arial" w:eastAsia="Arial" w:hAnsi="Arial"/>
                <w:sz w:val="16"/>
                <w:szCs w:val="16"/>
                <w:color w:val="auto"/>
              </w:rPr>
              <w:t>Charges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4"/>
        </w:trPr>
        <w:tc>
          <w:tcPr>
            <w:tcW w:w="6720" w:type="dxa"/>
            <w:vAlign w:val="bottom"/>
          </w:tcPr>
          <w:p>
            <w:pPr>
              <w:ind w:left="40"/>
              <w:spacing w:after="0"/>
              <w:rPr>
                <w:sz w:val="20"/>
                <w:szCs w:val="20"/>
                <w:color w:val="auto"/>
              </w:rPr>
            </w:pPr>
            <w:r>
              <w:rPr>
                <w:rFonts w:ascii="Arial" w:cs="Arial" w:eastAsia="Arial" w:hAnsi="Arial"/>
                <w:sz w:val="16"/>
                <w:szCs w:val="16"/>
                <w:color w:val="auto"/>
              </w:rPr>
              <w:t>Accrual balance at January 3, 2020</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petitions filed by the Company with the U.S. Tax Court in September 2018 and March 2019, see Note 12, </w:t>
      </w:r>
      <w:r>
        <w:rPr>
          <w:rFonts w:ascii="Arial" w:cs="Arial" w:eastAsia="Arial" w:hAnsi="Arial"/>
          <w:sz w:val="18"/>
          <w:szCs w:val="18"/>
          <w:i w:val="1"/>
          <w:iCs w:val="1"/>
          <w:color w:val="auto"/>
        </w:rPr>
        <w:t>Income Tax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4.750% senior unsecured notes due 2026 (the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governing the revolving credit facility and term loans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w:t>
      </w:r>
    </w:p>
    <w:p>
      <w:pPr>
        <w:spacing w:after="0" w:line="3" w:lineRule="exact"/>
        <w:rPr>
          <w:sz w:val="20"/>
          <w:szCs w:val="20"/>
          <w:color w:val="auto"/>
        </w:rPr>
      </w:pPr>
    </w:p>
    <w:p>
      <w:pPr>
        <w:ind w:right="60" w:firstLine="8"/>
        <w:spacing w:after="0" w:line="25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3,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6,921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8,764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9,379</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23,321</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29,434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24,459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(51,354)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25,860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28,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60" w:type="dxa"/>
            <w:vAlign w:val="bottom"/>
          </w:tcPr>
          <w:p>
            <w:pPr>
              <w:spacing w:after="0"/>
              <w:rPr>
                <w:sz w:val="17"/>
                <w:szCs w:val="17"/>
                <w:color w:val="auto"/>
              </w:rPr>
            </w:pPr>
          </w:p>
        </w:tc>
        <w:tc>
          <w:tcPr>
            <w:tcW w:w="4840" w:type="dxa"/>
            <w:vAlign w:val="bottom"/>
            <w:gridSpan w:val="10"/>
          </w:tcPr>
          <w:p>
            <w:pPr>
              <w:jc w:val="center"/>
              <w:ind w:right="6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16,386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January 3, 2020</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4,234</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1"/>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January 3, 2020</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8,274</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5,833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6,581</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31"/>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5,947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6,553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5"/>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3,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unrealized loss, on derivative contracts and available-for-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3,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unrealized loss, on derivative contracts and available-for-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unrealized gain, on derivative contracts and available-for-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unrealized gain, on derivative contracts and available-for-</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income, before tax</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3, 2020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(repayment of) revolving credit facility</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28, 2019.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7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17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its inception, Flash Ventures has been based in a manufacturing site in Yokkaichi, Japan, which currently includes five wafer fabrication facilities. Production levels at the Yokkaichi site were temporarily reduced as a result of an unexpected power outage incident that occurred in the Yokkaichi region on June 15, 2019. The power outage incident impacted the facilities and process tools and resulted in the damage of flash wafers in production. The incident resulted in a reduction of our flash wafer availability by approximately 4 exabytes, the majority of which was contained in the first quarter of fiscal year 2020. As a result of this power outage incident, we incurred aggregate charges of $68 million and $145 million recorded in Cost of revenue in the quarters ended October 4, 2019 and June 28, 2019, respectively, which primarily consisted of the write-off of damaged inventory and unabsorbed manufacturing overhead costs. We are pursuing recovery of our losses associated with this event; however, the amount of any recovery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second half of fiscal year 2020, although meaningful output from K1 is not expected to begin until the first half of fiscal year 2021. Our share of the initial commitment for K1 is expected to result in equipment investments, relocation costs and start-up costs totaling approximately $660 million, of which $500 million is still expected to be incurred primarily through the second half of fiscal year 2020. We also agreed to prepay an aggregate of approximately $360 million over a 3-year period beginning in the first half of fiscal year 2020 toward K1 building depreciation, to be credited against future wafer charges. As of January 3, 2020, remaining committed prepayments totaled $265 million.</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Exit of Storage Systems Business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September 2019, we announced the sale of our IntelliFlash business and our strategic intention to exit Storage Systems, which consists of IntelliFlash and ActiveScale. These actions will allow us to redirect investments to other higher value priorities. In November 2019, the Company completed its sale of IntelliFlash for a price of $28 million, to be collected over the next three years. The sale of our IntelliFlash business included an immaterial amount of inventory, other tangible and intangible assets, and goodwill and resulted in a gain of approximately $17 million recorded in Employee termination, asset impairment, and other charges in the Condensed Consolidated Statements of Operations for both the three and six months ended January 3, 2020. Additionally, in February 2020, we entered into an agreement for the sale of ActiveScale. The net assets sold and the proceeds from the sale of ActiveScale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2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left="260"/>
              <w:spacing w:after="0" w:line="153" w:lineRule="exact"/>
              <w:rPr>
                <w:sz w:val="20"/>
                <w:szCs w:val="20"/>
                <w:color w:val="auto"/>
              </w:rPr>
            </w:pPr>
            <w:r>
              <w:rPr>
                <w:rFonts w:ascii="Arial" w:cs="Arial" w:eastAsia="Arial" w:hAnsi="Arial"/>
                <w:sz w:val="14"/>
                <w:szCs w:val="14"/>
                <w:b w:val="1"/>
                <w:bCs w:val="1"/>
                <w:color w:val="auto"/>
                <w:w w:val="95"/>
              </w:rPr>
              <w:t>January 3,</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left="241"/>
              <w:spacing w:after="0" w:line="153" w:lineRule="exact"/>
              <w:rPr>
                <w:sz w:val="20"/>
                <w:szCs w:val="20"/>
                <w:color w:val="auto"/>
              </w:rPr>
            </w:pPr>
            <w:r>
              <w:rPr>
                <w:rFonts w:ascii="Arial" w:cs="Arial" w:eastAsia="Arial" w:hAnsi="Arial"/>
                <w:sz w:val="14"/>
                <w:szCs w:val="14"/>
                <w:b w:val="1"/>
                <w:bCs w:val="1"/>
                <w:color w:val="auto"/>
                <w:w w:val="92"/>
              </w:rPr>
              <w:t>December 28,</w:t>
            </w:r>
          </w:p>
        </w:tc>
        <w:tc>
          <w:tcPr>
            <w:tcW w:w="860" w:type="dxa"/>
            <w:vAlign w:val="bottom"/>
          </w:tcPr>
          <w:p>
            <w:pPr>
              <w:spacing w:after="0"/>
              <w:rPr>
                <w:sz w:val="13"/>
                <w:szCs w:val="13"/>
                <w:color w:val="auto"/>
              </w:rPr>
            </w:pPr>
          </w:p>
        </w:tc>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w w:val="95"/>
              </w:rPr>
              <w:t>$ Change</w:t>
            </w: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3"/>
          </w:tcPr>
          <w:p>
            <w:pPr>
              <w:jc w:val="right"/>
              <w:ind w:right="659"/>
              <w:spacing w:after="0"/>
              <w:rPr>
                <w:sz w:val="20"/>
                <w:szCs w:val="20"/>
                <w:color w:val="auto"/>
              </w:rPr>
            </w:pPr>
            <w:r>
              <w:rPr>
                <w:rFonts w:ascii="Arial" w:cs="Arial" w:eastAsia="Arial" w:hAnsi="Arial"/>
                <w:sz w:val="14"/>
                <w:szCs w:val="14"/>
                <w:i w:val="1"/>
                <w:iCs w:val="1"/>
                <w:color w:val="auto"/>
              </w:rPr>
              <w:t>($ in millions)</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5"/>
              </w:rPr>
              <w:t>100.0 %</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4,233</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3,299</w:t>
            </w:r>
          </w:p>
        </w:tc>
        <w:tc>
          <w:tcPr>
            <w:tcW w:w="5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77.9</w:t>
            </w: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3,189</w:t>
            </w:r>
          </w:p>
        </w:tc>
        <w:tc>
          <w:tcPr>
            <w:tcW w:w="52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75.3</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22.1</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1,044</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24.7</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13.7</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539</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12.7</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39</w:t>
            </w:r>
          </w:p>
        </w:tc>
        <w:tc>
          <w:tcPr>
            <w:tcW w:w="10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9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298</w:t>
            </w:r>
          </w:p>
        </w:tc>
        <w:tc>
          <w:tcPr>
            <w:tcW w:w="5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309</w:t>
            </w:r>
          </w:p>
        </w:tc>
        <w:tc>
          <w:tcPr>
            <w:tcW w:w="52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7.3</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0.5</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885</w:t>
            </w:r>
          </w:p>
        </w:tc>
        <w:tc>
          <w:tcPr>
            <w:tcW w:w="5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20.9</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868</w:t>
            </w:r>
          </w:p>
        </w:tc>
        <w:tc>
          <w:tcPr>
            <w:tcW w:w="52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20.5</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17</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4.2</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0.4</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49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w:t>
            </w:r>
          </w:p>
        </w:tc>
        <w:tc>
          <w:tcPr>
            <w:tcW w:w="520" w:type="dxa"/>
            <w:vAlign w:val="bottom"/>
          </w:tcPr>
          <w:p>
            <w:pPr>
              <w:spacing w:after="0"/>
              <w:rPr>
                <w:sz w:val="20"/>
                <w:szCs w:val="20"/>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color w:val="auto"/>
              </w:rPr>
              <w:t>(2.8)</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13</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0.2</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52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1.9</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5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568</w:t>
            </w:r>
          </w:p>
        </w:tc>
        <w:tc>
          <w:tcPr>
            <w:tcW w:w="52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13.4</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(469)</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(11.5)</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348</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left="280"/>
              <w:spacing w:after="0" w:line="153" w:lineRule="exact"/>
              <w:rPr>
                <w:sz w:val="20"/>
                <w:szCs w:val="20"/>
                <w:color w:val="auto"/>
              </w:rPr>
            </w:pPr>
            <w:r>
              <w:rPr>
                <w:rFonts w:ascii="Arial" w:cs="Arial" w:eastAsia="Arial" w:hAnsi="Arial"/>
                <w:sz w:val="14"/>
                <w:szCs w:val="14"/>
                <w:b w:val="1"/>
                <w:bCs w:val="1"/>
                <w:color w:val="auto"/>
                <w:w w:val="95"/>
              </w:rPr>
              <w:t>January 3,</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840" w:type="dxa"/>
            <w:vAlign w:val="bottom"/>
          </w:tcPr>
          <w:p>
            <w:pPr>
              <w:spacing w:after="0"/>
              <w:rPr>
                <w:sz w:val="13"/>
                <w:szCs w:val="13"/>
                <w:color w:val="auto"/>
              </w:rPr>
            </w:pPr>
          </w:p>
        </w:tc>
        <w:tc>
          <w:tcPr>
            <w:tcW w:w="10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w w:val="98"/>
              </w:rPr>
              <w:t>$ Change</w:t>
            </w:r>
          </w:p>
        </w:tc>
        <w:tc>
          <w:tcPr>
            <w:tcW w:w="10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ind w:right="639"/>
              <w:spacing w:after="0"/>
              <w:rPr>
                <w:sz w:val="20"/>
                <w:szCs w:val="20"/>
                <w:color w:val="auto"/>
              </w:rPr>
            </w:pPr>
            <w:r>
              <w:rPr>
                <w:rFonts w:ascii="Arial" w:cs="Arial" w:eastAsia="Arial" w:hAnsi="Arial"/>
                <w:sz w:val="14"/>
                <w:szCs w:val="14"/>
                <w:i w:val="1"/>
                <w:iCs w:val="1"/>
                <w:color w:val="auto"/>
              </w:rPr>
              <w:t>($ in millions)</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8,274</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100.0 %</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9,261</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100.0 %  $</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(987)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6,581</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79.5</w:t>
            </w:r>
          </w:p>
        </w:tc>
        <w:tc>
          <w:tcPr>
            <w:tcW w:w="2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6,553</w:t>
            </w:r>
          </w:p>
        </w:tc>
        <w:tc>
          <w:tcPr>
            <w:tcW w:w="540" w:type="dxa"/>
            <w:vAlign w:val="bottom"/>
          </w:tcPr>
          <w:p>
            <w:pPr>
              <w:spacing w:after="0"/>
              <w:rPr>
                <w:sz w:val="20"/>
                <w:szCs w:val="20"/>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70.8</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28</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20.5</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2,708</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29.2</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(1,015)</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4"/>
        </w:trPr>
        <w:tc>
          <w:tcPr>
            <w:tcW w:w="4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13.9</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1,115</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12.0</w:t>
            </w:r>
          </w:p>
        </w:tc>
        <w:tc>
          <w:tcPr>
            <w:tcW w:w="100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37</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9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603</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665</w:t>
            </w:r>
          </w:p>
        </w:tc>
        <w:tc>
          <w:tcPr>
            <w:tcW w:w="540" w:type="dxa"/>
            <w:vAlign w:val="bottom"/>
          </w:tcPr>
          <w:p>
            <w:pPr>
              <w:spacing w:after="0"/>
              <w:rPr>
                <w:sz w:val="20"/>
                <w:szCs w:val="20"/>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7.2</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(62)</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0.7</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498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1,772</w:t>
            </w:r>
          </w:p>
        </w:tc>
        <w:tc>
          <w:tcPr>
            <w:tcW w:w="48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21.4</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1,846</w:t>
            </w:r>
          </w:p>
        </w:tc>
        <w:tc>
          <w:tcPr>
            <w:tcW w:w="5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19.9</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(74)</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862</w:t>
            </w: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9.3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(941)</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4"/>
        </w:trPr>
        <w:tc>
          <w:tcPr>
            <w:tcW w:w="498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9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w:t>
            </w:r>
          </w:p>
        </w:tc>
        <w:tc>
          <w:tcPr>
            <w:tcW w:w="480" w:type="dxa"/>
            <w:vAlign w:val="bottom"/>
          </w:tcPr>
          <w:p>
            <w:pPr>
              <w:spacing w:after="0"/>
              <w:rPr>
                <w:sz w:val="20"/>
                <w:szCs w:val="20"/>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w:t>
            </w:r>
          </w:p>
        </w:tc>
        <w:tc>
          <w:tcPr>
            <w:tcW w:w="54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(2.5)</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0.1</w:t>
            </w:r>
          </w:p>
        </w:tc>
        <w:tc>
          <w:tcPr>
            <w:tcW w:w="100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498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4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54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664</w:t>
            </w: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7.2</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(941)</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640</w:t>
            </w:r>
          </w:p>
        </w:tc>
        <w:tc>
          <w:tcPr>
            <w:tcW w:w="540" w:type="dxa"/>
            <w:vAlign w:val="bottom"/>
          </w:tcPr>
          <w:p>
            <w:pPr>
              <w:spacing w:after="0"/>
              <w:rPr>
                <w:sz w:val="20"/>
                <w:szCs w:val="20"/>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rPr>
              <w:t>6.9</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(502)</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0.3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(439)</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bl>
    <w:p>
      <w:pPr>
        <w:ind w:left="340" w:hanging="332"/>
        <w:spacing w:after="0" w:line="20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rFonts w:ascii="Arial" w:cs="Arial" w:eastAsia="Arial" w:hAnsi="Arial"/>
          <w:sz w:val="25"/>
          <w:szCs w:val="25"/>
          <w:color w:val="auto"/>
          <w:vertAlign w:val="superscript"/>
        </w:rPr>
      </w:pPr>
    </w:p>
    <w:p>
      <w:pPr>
        <w:spacing w:after="0" w:line="21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sets forth, for the periods presented, summary information regarding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-541655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-541655</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2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January 3,</w:t>
            </w:r>
          </w:p>
        </w:tc>
        <w:tc>
          <w:tcPr>
            <w:tcW w:w="14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32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28, 2018</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Product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Hard disk drives (“HDD”)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4,707</w:t>
            </w:r>
          </w:p>
        </w:tc>
        <w:tc>
          <w:tcPr>
            <w:tcW w:w="0" w:type="dxa"/>
            <w:vAlign w:val="bottom"/>
          </w:tcPr>
          <w:p>
            <w:pPr>
              <w:spacing w:after="0"/>
              <w:rPr>
                <w:sz w:val="1"/>
                <w:szCs w:val="1"/>
                <w:color w:val="auto"/>
              </w:rPr>
            </w:pP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73"/>
        </w:trPr>
        <w:tc>
          <w:tcPr>
            <w:tcW w:w="51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5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Revenue by End Market</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284"/>
        </w:trPr>
        <w:tc>
          <w:tcPr>
            <w:tcW w:w="5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40"/>
              <w:spacing w:after="0"/>
              <w:rPr>
                <w:sz w:val="20"/>
                <w:szCs w:val="20"/>
                <w:color w:val="auto"/>
              </w:rPr>
            </w:pPr>
            <w:r>
              <w:rPr>
                <w:rFonts w:ascii="Arial" w:cs="Arial" w:eastAsia="Arial" w:hAnsi="Arial"/>
                <w:sz w:val="16"/>
                <w:szCs w:val="16"/>
                <w:color w:val="auto"/>
              </w:rPr>
              <w:t>Revenue by Geography</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5,264</w:t>
            </w:r>
          </w:p>
        </w:tc>
        <w:tc>
          <w:tcPr>
            <w:tcW w:w="0" w:type="dxa"/>
            <w:vAlign w:val="bottom"/>
          </w:tcPr>
          <w:p>
            <w:pPr>
              <w:spacing w:after="0"/>
              <w:rPr>
                <w:sz w:val="1"/>
                <w:szCs w:val="1"/>
                <w:color w:val="auto"/>
              </w:rPr>
            </w:pP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8,274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Net revenue was essentially flat in the three months ended January 3, 2020 from the comparable period in the prior year. Higher volumes of memory for HDD and flash products contributed approximately 20 and 9 percentage points of growth, respectively, which were largely offset by lower average selling prices. Client Devices revenue decreased 19% year over year, due to lower average selling prices, predominantly in flash products, which drove 33 percentage points of the decrease. The decrease in Client Devices revenue was partially offset by higher volumes of flash and HDD memory, which contributed approximately 10 and 4 percentage points of growth, respectively. Our revenue for Data Center Devices and Solutions increased 39% year over year, with volumes essentially doubling due to strength in both capacity enterprise HDD and SSD, partially offset by lower average selling prices with more efficient form factors. Client Solutions revenue was relatively flat year over year, with higher volumes of HDD and flash products contributing approximately 7 and 19 percentage points of growth, respectively, which were largely offset by lower average selling prices. While pricing for flash products remains down compared to the prior year, pricing has stabilized compared to last quarter and we expect flash pricing to improve during fiscal 2020, if supply and demand become more closely aligned as expected.</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Net revenue decreased $987 million, or 11%, in the six months ended January 3, 2020 from the comparable period in the prior year. Lower average selling prices generated approximately 32 percentage points of the year-over-year decline, with the majority of that decline attributed to flash-based products. This decline was partially offset by growth in HDD and flash products volumes, with higher HDD volumes contributing approximately 15 percentage points of growth and higher volumes of flash products contributing approximately 5 percentage points of growth. Client Devices revenue decreased 30% year over year, with approximately 32 percentage points due to lower average selling prices, predominantly related to flash products, partially offset by slightly higher volumes for flash products. Our revenue for Data Center Devices and Solutions increased 20% year over year, resulting from an approximately 27 percentage points of growth in volume of memory, primarily driven by strength in capacity enterprise HDD, partially offset by lower average selling prices in flash products. Client Solutions revenue decreased 2% year over year, which predominantly reflects lower prices on retail products.</w:t>
      </w:r>
    </w:p>
    <w:p>
      <w:pPr>
        <w:spacing w:after="0" w:line="166" w:lineRule="exact"/>
        <w:rPr>
          <w:sz w:val="20"/>
          <w:szCs w:val="20"/>
          <w:color w:val="auto"/>
        </w:rPr>
      </w:pPr>
    </w:p>
    <w:p>
      <w:pPr>
        <w:jc w:val="both"/>
        <w:ind w:right="520" w:firstLine="324"/>
        <w:spacing w:after="0" w:line="342" w:lineRule="auto"/>
        <w:rPr>
          <w:sz w:val="20"/>
          <w:szCs w:val="20"/>
          <w:color w:val="auto"/>
        </w:rPr>
      </w:pPr>
      <w:r>
        <w:rPr>
          <w:rFonts w:ascii="Arial" w:cs="Arial" w:eastAsia="Arial" w:hAnsi="Arial"/>
          <w:sz w:val="16"/>
          <w:szCs w:val="16"/>
          <w:color w:val="auto"/>
        </w:rPr>
        <w:t>The changes in net revenue by geography reflect a decrease in Asia primarily driven by our decision to limit our participation in the mobile market resulting in lower sales to manufacturers in the Asia region and a slight increase in the Americas driven by increased sales of capacity enterprise HDD.</w:t>
      </w:r>
    </w:p>
    <w:p>
      <w:pPr>
        <w:spacing w:after="0" w:line="124"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Company’s top 10 customers accounted for 44% and 43% of its net revenue for the three and six months ended January 3, 2020, respectively, and 47% of its net revenue for both the three and six months ended December 28, 2018. For the three and six months ended January 3, 2020 and December 28, 2018, no single customer accounted for 10% or more of the Company’s net revenue.</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six months ended January 3, 2020, these programs represented 17% and 16%, respectively, of gross revenues. For the three and six months ended December 28, 2018, these programs represented 16% and 14%,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Substantially all of the decrease in Gross profit for both the three and six months ended January 3, 2020 from the comparable periods in the prior year was due to the lower average selling prices noted above, partially offset by lower aggregate charges for amortization expense on acquired intangible assets, manufacturing underutilization charges, and charges related to the power outage incident. These charges aggregated $157 million and $264 million for the three-month periods ended January 3, 2020 and December 28, 2018, respectively, and $389 million and $499 million, respectively, for the six-month periods then ended. Gross margin declined 3 and 9 percentage points for the three and six months ended January 3, 2020, respectively, from the comparable periods in the prior year, with substantially all of the decline attributable to the lower average selling prices noted above, partially offset by cost reductions in our manufacturing processes.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Research and development (“R&amp;D”) expense increased $39 million for the three months ended January 3, 2020 from the comparable period in the prior year primarily due to increased variable compensation, partially offset by savings from our cost reduction actions. R&amp;D expense increased $37 million for the six months ended January 3, 2020 from the comparable period in the prior year primarily due to approximately $30 million of additional expense related to the additional week in the current year.</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Selling, general and administrative (“SG&amp;A”) expense decreased $11 million for the three months ended January 3, 2020 from the comparable period in the prior year primarily due to savings realized from our cost reduction actions. SG&amp;A expense decreased $62 million for the six months ended January 3, 2020 from the comparable period in the prior year primarily due to savings realized from our cost reduction actions, partially offset by approximately $10 million of additional expense related to the additional week in the current year.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Employee termination, asset impairment and other charges decreased from the comparable periods in the prior year as many of the actions initiated in the prior year have been substantially completed. For additional information regarding employee termination, asset impairment and other charges, see Part I, Item 1, Note 14,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10-Q.</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decreases in total interest and other expense, net for both the three and six months ended January 3, 2020 primarily reflect decreases in interest expense resulting from the pay-down of principal on our debt and lower index rates, partially offset by decreases in Interest income resulting from lower invested cash.</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16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January 3,</w:t>
            </w:r>
          </w:p>
        </w:tc>
        <w:tc>
          <w:tcPr>
            <w:tcW w:w="26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3"/>
                <w:szCs w:val="13"/>
                <w:color w:val="auto"/>
              </w:rPr>
            </w:pPr>
          </w:p>
        </w:tc>
        <w:tc>
          <w:tcPr>
            <w:tcW w:w="134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January 3,</w:t>
            </w:r>
          </w:p>
        </w:tc>
        <w:tc>
          <w:tcPr>
            <w:tcW w:w="260" w:type="dxa"/>
            <w:vAlign w:val="bottom"/>
          </w:tcPr>
          <w:p>
            <w:pPr>
              <w:spacing w:after="0"/>
              <w:rPr>
                <w:sz w:val="13"/>
                <w:szCs w:val="13"/>
                <w:color w:val="auto"/>
              </w:rPr>
            </w:pPr>
          </w:p>
        </w:tc>
        <w:tc>
          <w:tcPr>
            <w:tcW w:w="128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r>
      <w:tr>
        <w:trPr>
          <w:trHeight w:val="237"/>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center"/>
              <w:ind w:right="340"/>
              <w:spacing w:after="0"/>
              <w:rPr>
                <w:sz w:val="20"/>
                <w:szCs w:val="20"/>
                <w:color w:val="auto"/>
              </w:rPr>
            </w:pPr>
            <w:r>
              <w:rPr>
                <w:rFonts w:ascii="Arial" w:cs="Arial" w:eastAsia="Arial" w:hAnsi="Arial"/>
                <w:sz w:val="16"/>
                <w:szCs w:val="16"/>
                <w:i w:val="1"/>
                <w:iCs w:val="1"/>
                <w:color w:val="auto"/>
                <w:w w:val="91"/>
              </w:rPr>
              <w:t>(in millions, except percentages)</w:t>
            </w:r>
          </w:p>
        </w:tc>
        <w:tc>
          <w:tcPr>
            <w:tcW w:w="280" w:type="dxa"/>
            <w:vAlign w:val="bottom"/>
          </w:tcPr>
          <w:p>
            <w:pPr>
              <w:spacing w:after="0"/>
              <w:rPr>
                <w:sz w:val="20"/>
                <w:szCs w:val="20"/>
                <w:color w:val="auto"/>
              </w:rPr>
            </w:pPr>
          </w:p>
        </w:tc>
        <w:tc>
          <w:tcPr>
            <w:tcW w:w="2880" w:type="dxa"/>
            <w:vAlign w:val="bottom"/>
            <w:gridSpan w:val="3"/>
          </w:tcPr>
          <w:p>
            <w:pPr>
              <w:jc w:val="right"/>
              <w:ind w:right="423"/>
              <w:spacing w:after="0"/>
              <w:rPr>
                <w:sz w:val="20"/>
                <w:szCs w:val="20"/>
                <w:color w:val="auto"/>
              </w:rPr>
            </w:pPr>
            <w:r>
              <w:rPr>
                <w:rFonts w:ascii="Arial" w:cs="Arial" w:eastAsia="Arial" w:hAnsi="Arial"/>
                <w:sz w:val="16"/>
                <w:szCs w:val="16"/>
                <w:i w:val="1"/>
                <w:iCs w:val="1"/>
                <w:color w:val="auto"/>
              </w:rPr>
              <w:t>(in millions, except percentages)</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664</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1340" w:type="dxa"/>
            <w:vAlign w:val="bottom"/>
          </w:tcPr>
          <w:p>
            <w:pPr>
              <w:jc w:val="right"/>
              <w:ind w:right="183"/>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20"/>
                <w:szCs w:val="20"/>
                <w:color w:val="auto"/>
              </w:rPr>
            </w:pP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640</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4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primary drivers of the difference between the effective tax rate for the three and six months ended January 3, 2020 and the U.S. Federal statutory rate of 21% are the relative mix of earnings and losses by jurisdiction, the deduction for foreign derived intangible income, credits and tax holidays in Malaysia, Philippines and Thailand that will expire at various dates during fiscal years 2020 through 2030. In addition, the effective tax rate for the six months ended January 3, 2020 includes the discrete effect of a de-recognition of $33 million for certain deferred tax assets associated with creditable foreign withholding taxes due to the issuance of final regulatory guidance. The regulatory guidance does not preclude us from potentially claiming these creditable taxes as a period benefit when paid.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primary drivers of the difference between the effective tax rate for the three and six months ended December 28, 2018 and the U.S. Federal statutory rate of 21% is the discrete effect of the finalization of the accounting for the tax effects of the enactment of the 2017 Act. For the three months ended December 28, 2018, these discrete effects consist of $230 million related to the mandatory deemed repatriation tax and $134 million related to the decision to change our indefinite reinvestment assertion. For the six months ended December 28, 2018, these discrete effects consist of $178 million related to the mandatory deemed repatriation tax and $144 million related to the decision to change our indefinite reinvestment assertion. For both periods, the remaining difference is attributable primarily to the changes in the relative mix of our U.S. earnings compared to foreign earnings.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7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w w:val="90"/>
              </w:rPr>
              <w:t>December 28,</w:t>
            </w:r>
          </w:p>
        </w:tc>
      </w:tr>
      <w:tr>
        <w:trPr>
          <w:trHeight w:val="192"/>
        </w:trPr>
        <w:tc>
          <w:tcPr>
            <w:tcW w:w="8340" w:type="dxa"/>
            <w:vAlign w:val="bottom"/>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080" w:type="dxa"/>
            <w:vAlign w:val="bottom"/>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1,174</w:t>
            </w:r>
          </w:p>
        </w:tc>
      </w:tr>
      <w:tr>
        <w:trPr>
          <w:trHeight w:val="33"/>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(985)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33"/>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(318)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w:t>
      </w:r>
    </w:p>
    <w:p>
      <w:pPr>
        <w:spacing w:after="0" w:line="18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During fiscal 2020, we expect expenditures for property, plant and equipment for our company plus our portion of the capital expenditures by our Flash Ventures joint venture with Kioxia for its operations to aggregate between $2.0 billion and $2.5 billion. After consideration of the Flash Ventures’ lease financing of its capital expenditures and cash flow from operations, we expect the Flash Ventures to continue to return cash to our company through net payments on our notes receivable during the remainder of fiscal 2020. As such, we expect net cash used for our purchases of property, plant and equipment and net activity in notes receivable relating to Flash Ventures to be close to zero. The total expected cash to be used could vary depending on the timing and completion of various capital projects and the availability, timing and terms of related financing</w:t>
      </w:r>
      <w:r>
        <w:rPr>
          <w:rFonts w:ascii="Arial" w:cs="Arial" w:eastAsia="Arial" w:hAnsi="Arial"/>
          <w:sz w:val="17"/>
          <w:szCs w:val="17"/>
          <w:u w:val="single" w:color="auto"/>
          <w:color w:val="7030A0"/>
        </w:rPr>
        <w:t>.</w:t>
      </w:r>
    </w:p>
    <w:p>
      <w:pPr>
        <w:spacing w:after="0" w:line="17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 total of $2.28 billion and $2.37 billion of our Cash and cash equivalents was held outside of the U.S. as of January 3, 2020 and June 28, 2019, respectively. During fiscal 2019, the IRS issued interpretative guidance affecting the taxation of a certain portion of our foreign undistributed earnings, which could result in additional federal taxes. After consideration of this interpretative guidance, we made the determination that we do not intend to repatriate this portion of our foreign undistributed earnings and did not establish an accrual for this liability.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Cash flow from operating activities primarily consists of net income, adjusted for non-cash charges, plus or minus changes in operating assets and liabilities. This represents our principal source of cash. Net cash provided by changes in operating assets and liabilities was $20 million for the six months ended January 3, 2020, as compared to $298 million net cash used for changes in operating assets and liabilities for the six months ended December 28, 2018.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18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w w:val="98"/>
              </w:rPr>
              <w:t>January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42"/>
              <w:spacing w:after="0"/>
              <w:rPr>
                <w:sz w:val="20"/>
                <w:szCs w:val="20"/>
                <w:color w:val="auto"/>
              </w:rPr>
            </w:pPr>
            <w:r>
              <w:rPr>
                <w:rFonts w:ascii="Arial" w:cs="Arial" w:eastAsia="Arial" w:hAnsi="Arial"/>
                <w:sz w:val="14"/>
                <w:szCs w:val="14"/>
                <w:b w:val="1"/>
                <w:bCs w:val="1"/>
                <w:color w:val="auto"/>
                <w:w w:val="96"/>
              </w:rPr>
              <w:t>December 28,</w:t>
            </w:r>
          </w:p>
        </w:tc>
      </w:tr>
      <w:tr>
        <w:trPr>
          <w:trHeight w:val="192"/>
        </w:trPr>
        <w:tc>
          <w:tcPr>
            <w:tcW w:w="9460" w:type="dxa"/>
            <w:vAlign w:val="bottom"/>
            <w:gridSpan w:val="2"/>
          </w:tcPr>
          <w:p>
            <w:pPr>
              <w:ind w:left="894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i w:val="1"/>
                <w:iCs w:val="1"/>
                <w:color w:val="auto"/>
              </w:rPr>
              <w:t>(in days)</w:t>
            </w:r>
          </w:p>
        </w:tc>
        <w:tc>
          <w:tcPr>
            <w:tcW w:w="1220" w:type="dxa"/>
            <w:vAlign w:val="bottom"/>
            <w:tcBorders>
              <w:top w:val="single" w:sz="8" w:color="auto"/>
            </w:tcBorders>
          </w:tcPr>
          <w:p>
            <w:pPr>
              <w:spacing w:after="0"/>
              <w:rPr>
                <w:sz w:val="21"/>
                <w:szCs w:val="21"/>
                <w:color w:val="auto"/>
              </w:rPr>
            </w:pPr>
          </w:p>
        </w:tc>
      </w:tr>
      <w:tr>
        <w:trPr>
          <w:trHeight w:val="256"/>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r>
      <w:tr>
        <w:trPr>
          <w:trHeight w:val="237"/>
        </w:trPr>
        <w:tc>
          <w:tcPr>
            <w:tcW w:w="9460" w:type="dxa"/>
            <w:vAlign w:val="bottom"/>
            <w:gridSpan w:val="2"/>
          </w:tcPr>
          <w:p>
            <w:pPr>
              <w:ind w:left="40"/>
              <w:spacing w:after="0"/>
              <w:rPr>
                <w:sz w:val="20"/>
                <w:szCs w:val="20"/>
                <w:color w:val="auto"/>
              </w:rPr>
            </w:pPr>
            <w:r>
              <w:rPr>
                <w:rFonts w:ascii="Arial" w:cs="Arial" w:eastAsia="Arial" w:hAnsi="Arial"/>
                <w:sz w:val="16"/>
                <w:szCs w:val="16"/>
                <w:color w:val="auto"/>
              </w:rPr>
              <w:t>Days in inventory</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98</w:t>
            </w:r>
          </w:p>
        </w:tc>
      </w:tr>
      <w:tr>
        <w:trPr>
          <w:trHeight w:val="33"/>
        </w:trPr>
        <w:tc>
          <w:tcPr>
            <w:tcW w:w="8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71</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For the three months ended January 3, 2020, DSOs increased by 1 day over the prior year, primarily reflecting the timing of shipments and customer collections. DIOs decreased by 12 days over the prior year, primarily reflecting reduced levels of HDD inventory. DPOs decreased by 6 days over the prior year, primarily reflecting resumptions of normal flash production volumes as well as routine variations in the timing of purchases and payments during the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Net cash provided by investing activities for the six months ended January 3, 2020 primarily consisted of a $466 million net decrease in notes receivable issuances to Flash Ventures, partially offset by $305 million of capital expenditures and $22 million for acquisitions. Net cash used in investing activities for the six months ended December 28, 2018 primarily consisted of $500 million of capital expenditures and a net $196 million increase in notes receivable issuances to Flash Ventures to fund its capital expansion.</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January 3, 2020, net cash used in financing activities primarily consisted of $707 million for repayment of debt,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$296 million to pay dividends on our common stock and $54 million for taxes paid on vested stock awards under employee stock plans. Net cash used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 for the six months ended December 28, 2018 primarily consisted of $575 million for the repayment of our revolving credit facility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debt, $563 million for share repurchases and $292 million to pay dividends on our common stock. In the near term, we may use available cash on hand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cash from operations to further reduce our debt. In this regard, on January 31, 2020, we made an incremental voluntary prepayment of $150 million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Term Loan B-4.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 Item 1, Note 9,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January 3,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(2021-</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(2023-</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6 months of 2020)</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2024)</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9,986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5,939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620" w:hanging="332"/>
        <w:spacing w:after="0" w:line="232"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 xml:space="preserve">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Condensed Consolidated Financial Statements in this Quarterly Report on Form 10-Q and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10-K for the fiscal year ended June 28, 2019. The credit agreement governing our revolving credit facility and Term Loan A-1 requires us to comply with certain financial covenants, consisting of a leverage ratio and an interest coverage ratio. As of January 3, 2020, we were in compliance with these financial covenants.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January 3, 2020, we were in compliance with all covenants under these Japanese lease facilities. See Part I, Item 1, Note 9,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Condensed Consolidated Financial Statements included in this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10-Q for information regarding Flash Ventures.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41"/>
              <w:spacing w:after="0"/>
              <w:rPr>
                <w:sz w:val="20"/>
                <w:szCs w:val="20"/>
                <w:color w:val="auto"/>
              </w:rPr>
            </w:pPr>
            <w:r>
              <w:rPr>
                <w:rFonts w:ascii="Arial" w:cs="Arial" w:eastAsia="Arial" w:hAnsi="Arial"/>
                <w:sz w:val="14"/>
                <w:szCs w:val="14"/>
                <w:b w:val="1"/>
                <w:bCs w:val="1"/>
                <w:color w:val="auto"/>
              </w:rPr>
              <w:t>January 3,</w:t>
            </w:r>
          </w:p>
        </w:tc>
      </w:tr>
      <w:tr>
        <w:trPr>
          <w:trHeight w:val="192"/>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six months of 2020</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248</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2026</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310</w:t>
            </w:r>
          </w:p>
        </w:tc>
      </w:tr>
      <w:tr>
        <w:trPr>
          <w:trHeight w:val="244"/>
        </w:trPr>
        <w:tc>
          <w:tcPr>
            <w:tcW w:w="994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1,056</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13,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fiscal year ended June 28, 2019.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January 3, 2020, the liability for unrecognized tax benefits (excluding accrued interest and penalties) was approximately $696 million. Accrued interest and penalties related to unrecognized tax benefits as of January 3, 2020 was approximately $131 million. Of these amounts, approximately $708 million could result in potential cash payments. We are not able to provide a reasonable estimate of the timing of future tax payments related to these obligations.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have generally held a balance of fixed and variable rate debt. At January 3, 2020, we had $6.55 billion of variable rate debt, comprising 66%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$4.55 billion of Long-term debt subject to variations in interest rates and a one percent increase in the variable rate of interest would increase annual expense by $46 million.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Board of Directors has authorized a stock repurchase program for the repurchase of up to $5.00 billion of our common stock, which authorization is effective through July 25, 2023. For the six months ended January 3, 2020, we did not make any stock repurchases. The remaining amount available to be repurchased under our current stock repurchase program as of January 3, 2020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Since the first quarter of 2013, we have issued a quarterly cash dividend. During the six months ended January 3, 2020, we declared aggregate cash dividends of $1.00 per share on our outstanding common stock totaling $298 million, of which $149 million was paid on January 21, 2020. We may modify, suspend, or cancel our cash dividend policy in any manner and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8"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7"/>
          <w:szCs w:val="17"/>
          <w:color w:val="auto"/>
        </w:rPr>
        <w:t xml:space="preserve">See Part I, Item 1, Note 2,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Leases and Other Commitments</w:t>
      </w:r>
      <w:r>
        <w:rPr>
          <w:rFonts w:ascii="Arial" w:cs="Arial" w:eastAsia="Arial" w:hAnsi="Arial"/>
          <w:sz w:val="17"/>
          <w:szCs w:val="17"/>
          <w:color w:val="auto"/>
        </w:rPr>
        <w:t>, of the Notes to Condensed Consolidated Financial Statements included in this Quarterly Report on Form 10-Q for a discussion of a recently adopted accounting pronouncement that affects our accounting for lease obligations. There have been no other material changes in our critical accounting policies and estimates from those disclosed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Please refer to Part II, Item 7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for a discussion of our critical accounting policies and estimates.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have been no material changes t</w:t>
      </w:r>
      <w:r>
        <w:rPr>
          <w:rFonts w:ascii="Arial" w:cs="Arial" w:eastAsia="Arial" w:hAnsi="Arial"/>
          <w:sz w:val="16"/>
          <w:szCs w:val="16"/>
          <w:color w:val="212529"/>
        </w:rPr>
        <w:t>o our market risk during the six months ended</w:t>
      </w:r>
      <w:r>
        <w:rPr>
          <w:rFonts w:ascii="Arial" w:cs="Arial" w:eastAsia="Arial" w:hAnsi="Arial"/>
          <w:sz w:val="16"/>
          <w:szCs w:val="16"/>
          <w:color w:val="auto"/>
        </w:rPr>
        <w:t xml:space="preserve"> January 3, 2020</w:t>
      </w:r>
      <w:r>
        <w:rPr>
          <w:rFonts w:ascii="Arial" w:cs="Arial" w:eastAsia="Arial" w:hAnsi="Arial"/>
          <w:sz w:val="16"/>
          <w:szCs w:val="16"/>
          <w:color w:val="212529"/>
        </w:rPr>
        <w:t>. For a discussion of our exposure to market risk, see</w:t>
      </w:r>
      <w:r>
        <w:rPr>
          <w:rFonts w:ascii="Arial" w:cs="Arial" w:eastAsia="Arial" w:hAnsi="Arial"/>
          <w:sz w:val="16"/>
          <w:szCs w:val="16"/>
          <w:color w:val="auto"/>
        </w:rPr>
        <w:t xml:space="preserve"> </w:t>
      </w:r>
      <w:r>
        <w:rPr>
          <w:rFonts w:ascii="Arial" w:cs="Arial" w:eastAsia="Arial" w:hAnsi="Arial"/>
          <w:sz w:val="16"/>
          <w:szCs w:val="16"/>
          <w:color w:val="212529"/>
        </w:rPr>
        <w:t>Part II, Item 7A, “Quantitative and Qualitative Disclosures About Market Risk” in our Annual Report on Form 10-K for the fiscal year ended June 28, 2019.</w:t>
      </w:r>
    </w:p>
    <w:p>
      <w:pPr>
        <w:spacing w:after="0" w:line="3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9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represent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 results of operations and financial condition.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large portion of our revenue is derived from our international operations, and many of our products and components are produced overseas. As a result, our business, results of operations and financial condition depend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and changes to social conditions, policies, rules and regulations, could significantly harm demand for our products, increase credit and collectability risks, result in revenue reductions, cause us to change our business practices, increase manufacturing and operating costs or result in impairment charges or other expenses.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revenue and future growth are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and changes in foreign laws and regulations;</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embargoes, sanctions, license and certification requirements (including semiconductor, encryption and other technology), new or increased tariffs and fees and complex customs regulations;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225"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our business ventures with Kioxia for the development and supply of flash-based memory, which subjects us to risks and uncertainties that could harm our business, financial condition and operating results.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depend on our ventures with Kioxia to develop and manufacture our flash-based memory. We partner with Kioxia on the development of flash-based technology, including future generations of 3D NAND,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On the other hand, if we under-invest in Flash Ventures or otherwise grow or transition Flash Ventures’ capacity more slowly than we expect or than the rest of the industry, we may not have enough supply of the right type of memory or at all to meet demand on a timely and cost effective basis and we may lose opportunities for revenue, gross margin and market share as a result. If our supply is limited, we may make strategic decisions with respect to the allocation of our supply among our products and customers, and these strategic allocation decisions may result in less favorable gross margin or damage certain customer relationships. We are contractually obligated to pay for 50% of the fixed costs of Flash Ventures regardless of whether we purchase any wafers from Flash Ventures. Furthermore, purchase orders placed with Flash Ventures and under the foundry arrangements with Kioxia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Under the Flash Ventures agreements, we have limited power to unilaterally direct most of the activities that most significantly impact Flash Ventures’ performance and we have limited ability to source or fabricate flash-based memory outside of Flash Ventures. Lack of alignment with Kioxia with respect to Flash Ventures could adversely impact our ability to stay at the forefront of technological advancement and our investment in Flash Ventures and otherwise harm our business. Misalignment could arise due to changes in Kioxia’s strategic priorities, management and/or ownership, which has changed significantly recently and could continue to change. Kioxia’s stakeholders may include, or have included in the past, flash and HDD competitors, customers, a private equity firm and a bank owned by the Government of Japan. Kioxia’s management changes, ownership and capital structure could lead to delays in decision-making, disputes, or changes in strategic direction that could adversely impact Flash Ventures and/or adversely affect our business prospects, results of operations and financial condition. There may exist conflicts of interest between Kioxia’s stakeholders and Flash Ventures or us with respect to, among other things, protecting and growing Flash Ventures’ business, IP and competitively sensitive confidential information.</w:t>
      </w:r>
    </w:p>
    <w:p>
      <w:pPr>
        <w:spacing w:after="0" w:line="16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Flash Ventures requires significant investments by both Kioxia and us for technology transitions, including the transition to 3D NAND, and capacity expansions. In May 2019, Kioxia’s parent company, Kioxia Holdings Corporation (“KHC”), announced new financing in the amount of 1.2 trillion Japanese yen. KHC’s financing agreements and/or its high level of debt could limit Kioxia’s ability to timely fund or finance investments in Flash Ventures or our joint development efforts, as well as limit Flash Ventures’ ability to enter into lease financings. Availability of lease financings for Flash Ventures could also be limited by our and/or Kioxia’s financial performance. To the extent that lease financings for Flash Ventures are not accessible on favorable terms or at all, more cash would be required to fund investments. If Kioxia does not or we do not provide sufficient resources, or have adequate access to credit, to timely fund investments in Flash Ventures, our investments could be delayed or reduced. Delayed or reduced investment in manufacturing capacity or R&amp;D could harm Flash Ventures’ competitiveness and/or our investment in Flash Ventures. In addition, KHC’s financing arrangements might be secured by Kioxia’s equity interests in Flash Ventures, permitting the lenders to foreclose on those equity interests under certain circumstances.</w:t>
      </w:r>
    </w:p>
    <w:p>
      <w:pPr>
        <w:spacing w:after="0" w:line="16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May 2019, we entered into definitive agreements with Kioxia regarding a new 3D NAND wafer fabrication facility in Kitakami, Iwate, Japan, known as “K1.” Under the K1 agreement, we agreed to, among other things, fund 50% of K1’s initial production line. Output from the initial production line, which began in the second half of fiscal year 2020, could be delayed, reduced or otherwise fail to meet our expectations. As K1 is located at a new manufacturing site, K1 could be particularly susceptible to delays and other challenges in the production ramp and yields, qualification of wafers, shipment of samples to customers and customer approval process. Further, although we intend to continue to jointly invest with Kioxia to ramp up manufacturing capacity at K1, there is no certainty as to when, and on what terms, we will do so. If and for so long as our share of the K1 capacity falls below a specified threshold, we will be responsible for bearing fixed costs associated with K1’s operations at that threshold, which could adversely affect our financial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demand, rapid technological change and industry consolidation, all of which could adversely affect our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adversely affect our ability to recover the cost of product development, and periods of excess capacity, which can lead to liquidation of excess inventories, significant reductions in ASPs and adverse impacts on our revenue and gross margins.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our ASPs and gross margins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Further consolidation across the industry could enhance the capacity, abilities and resources and lower the cost structure of some of our competitors, causing us to be at a competitive disadvantage. These factors may result in significant shifts in market share among the industry’s major participants, including a substantial decrease in our market share, all of which could adversely impact our operating results and financial condition.</w:t>
      </w:r>
    </w:p>
    <w:p>
      <w:pPr>
        <w:spacing w:after="0" w:line="17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products and service features. As we compete in new product areas, the overall complexity of our business may increase at an accelerated rate and may result in increases in R&amp;D expenses and substantial investments in manufacturing capability, technology enhancements and go-to-market capability. We must also qualify our products with customers through potentially lengthy testing processes, which may result in delayed, reduced or lost product sales. Some of our competitors offer products and technologies that we do not offer and may be able to use their broader product and technology portfolio to win sales from us, and some of our customers may be developing storage solutions internally, which may reduce their demand for our products. We expect that competition will continue to be intense, and there is a risk that our competitors may be able to gain a product offering or cost structure advantage over us, which may result in a loss of business to us. Further, some of our competitors may utilize certain pricing strategies, including offering products at prices at or below cost, that we may be unable to competitively match. We may also have difficulty effectively competing with manufacturers benefitting from governmental investments.</w:t>
      </w:r>
    </w:p>
    <w:p>
      <w:pPr>
        <w:spacing w:after="0" w:line="16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7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existing products or develop new products to address in a timely manner. If we fail to implement new technologies successfully, if we are slower than our competitors at implementing new technologies, or if our technology transitions or product development are more costly to complete than anticipated, we may not be able to offer products our customers desire and our costs may not remain competitive, which would harm revenues, our gross margin and operating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success of our technology transitions and product development and introduction depends on a number of other factors, including:</w:t>
      </w:r>
    </w:p>
    <w:p>
      <w:pPr>
        <w:spacing w:after="0" w:line="23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25"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5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Additionally, new technologies and products could substitute for or replace our current technologies and products and make them obsolete. We also develop products to meet certain industry and technical standards, which may change. We could incur substantial costs as a result of shifts in technology and standards, such as adopting new standards or investing in different capital equipment or manufacturing processes to remain competitive.</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additional technology transition risks related to Flash Ventures, see the risk factor entitled “</w:t>
      </w:r>
      <w:r>
        <w:rPr>
          <w:rFonts w:ascii="Arial" w:cs="Arial" w:eastAsia="Arial" w:hAnsi="Arial"/>
          <w:sz w:val="18"/>
          <w:szCs w:val="18"/>
          <w:i w:val="1"/>
          <w:iCs w:val="1"/>
          <w:color w:val="auto"/>
        </w:rPr>
        <w:t>We rely substantially on our business ventures with Kioxia</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development and supply of flash-based memory, which subjects us to risks and uncertainties that could harm our business, financial condition and operating results.</w:t>
      </w:r>
      <w:r>
        <w:rPr>
          <w:rFonts w:ascii="Arial" w:cs="Arial" w:eastAsia="Arial" w:hAnsi="Arial"/>
          <w:sz w:val="18"/>
          <w:szCs w:val="18"/>
          <w:color w:val="auto"/>
        </w:rPr>
        <w: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Kioxia for flash-based memory development and manufacturing. These strategic relationships are subject to various risks that could adversely affect the value of our investments and our results of operations and financial condition. These risks include, but are not limited to, the following:</w:t>
      </w:r>
    </w:p>
    <w:p>
      <w:pPr>
        <w:spacing w:after="0" w:line="171" w:lineRule="exact"/>
        <w:rPr>
          <w:sz w:val="20"/>
          <w:szCs w:val="20"/>
          <w:color w:val="auto"/>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70"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b w:val="1"/>
          <w:bCs w:val="1"/>
          <w:i w:val="1"/>
          <w:iCs w:val="1"/>
          <w:color w:val="auto"/>
        </w:rPr>
        <w:t>We are dependent on a limited number of qualified suppliers who provide critical materials or components, and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i w:val="1"/>
          <w:iCs w:val="1"/>
          <w:color w:val="auto"/>
        </w:rPr>
        <w:t>.</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depend on an external supply base for technologies, software (including firmware), preamps, controllers, DRAM,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meet our business needs including dedicating adequate engineering resources to develop components that can be successfully integrated into our products, technology and equipment.</w:t>
      </w:r>
    </w:p>
    <w:p>
      <w:pPr>
        <w:spacing w:after="0" w:line="17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suppliers have in the past been, and may in the future be, unable or unwilling to meet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operating results.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When we do have contractual commitments with component suppliers in an effort to increase and stabilize the supply of those components, those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political instability, civil unrest, localized labor unrest or other employment issues, or a health epidemic that adversely affects any of these facilities, the employees, the technology infrastructure or logistics operators at these facilities, would significantly affect our ability to manufacture or sell our products and source components,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right="280" w:firstLine="162"/>
        <w:spacing w:after="0" w:line="308" w:lineRule="auto"/>
        <w:rPr>
          <w:sz w:val="20"/>
          <w:szCs w:val="20"/>
          <w:color w:val="auto"/>
        </w:rPr>
      </w:pPr>
      <w:r>
        <w:rPr>
          <w:rFonts w:ascii="Arial" w:cs="Arial" w:eastAsia="Arial" w:hAnsi="Arial"/>
          <w:sz w:val="17"/>
          <w:szCs w:val="17"/>
          <w:b w:val="1"/>
          <w:bCs w:val="1"/>
          <w:i w:val="1"/>
          <w:iCs w:val="1"/>
          <w:color w:val="auto"/>
        </w:rPr>
        <w:t>We experience sales seasonality and cyclicality, which could cause our operating results to fluctuate. In addition, accurately forecasting demand has become more difficult, which could adversely affect our business and financial results or operating efficiencies.</w:t>
      </w:r>
    </w:p>
    <w:p>
      <w:pPr>
        <w:spacing w:after="0" w:line="1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Sales of computer systems, mobile devices, storage subsystems, gaming consoles and consumer electronics tend to be seasonal and subject to supply-demand cycles, and therefore we expect to continue to experience seasonality and cyclicality in our business as we respond to variations in supply dynamics and customer demand. Changes in seasonal and cyclical supply and demand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actions by competitors, new product introductions and macroeconomic conditions.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related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versus other companies that may pay a relatively higher portion of base compensation. If we are unable to hire and retain key management, staff or skilled employees, our operating results would likely be harmed.</w:t>
      </w:r>
    </w:p>
    <w:p>
      <w:pPr>
        <w:spacing w:after="0" w:line="178"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7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Any cost saving initiatives, restructurings or divestitures that we undertake may result in disruptions to our operations and may not deliver the results we expect, which may adversely affect our business.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From time to time, we engage in cost saving initiatives, restructurings and divestitures that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 If our operating costs are higher than we expect or if we do not maintain adequate control of our costs and expenses, our operating results could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adversely impact our liquidity, restrict our operations and ability to respond to business opportunities, and increase our vulnerability to adverse economic and industry conditions.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January 3, 2020, our total indebtedness was $9.99 billion in aggregate principal, and we had $2.25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25" w:lineRule="exact"/>
        <w:rPr>
          <w:rFonts w:ascii="Arial" w:cs="Arial" w:eastAsia="Arial" w:hAnsi="Arial"/>
          <w:sz w:val="18"/>
          <w:szCs w:val="18"/>
          <w:color w:val="auto"/>
        </w:rPr>
      </w:pPr>
    </w:p>
    <w:p>
      <w:pPr>
        <w:ind w:left="660" w:right="44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46" w:lineRule="exact"/>
        <w:rPr>
          <w:rFonts w:ascii="Arial" w:cs="Arial" w:eastAsia="Arial" w:hAnsi="Arial"/>
          <w:sz w:val="16"/>
          <w:szCs w:val="16"/>
          <w:color w:val="auto"/>
        </w:rPr>
      </w:pPr>
    </w:p>
    <w:p>
      <w:pPr>
        <w:ind w:left="660" w:right="9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ability to meet the debt service obligations and to comply with our debt covenants depends on our cash flows and financial performance, which are affected by financial, business, economic and other factors.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credit agreement uses LIBOR as a reference rate for our term loans and revolving credit facility, such that the applicable interest rate may, at our option, be calculated based on LIBOR. In July 2017, the U.K.’s Financial Conduct Authority, which regulates LIBOR, announced that it intends to phase out LIBOR by the end of 2021. In April 2018, the Federal Reserve Bank of New York began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 In addition, replacing LIBOR with an alternative reference rate for any of our debt could be a taxable event.</w:t>
      </w:r>
    </w:p>
    <w:p>
      <w:pPr>
        <w:spacing w:after="0" w:line="19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which may dilute our existing shareholders, reduce the value of our common stock, or both.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Our determination of our tax liability in the U.S. and other jurisdictions is subject to review by applicable domestic and foreign tax authorities. For example, as disclosed in Part I, Item 1, Note 12,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Condensed Consolidated Financial Statements included in this Quarterly Report on Form 10-Q,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9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the six months ended January 3, 2020, 43%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would likely harm our operating results and financial condition.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or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successfully implement technology transitions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costs due to warranty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b w:val="1"/>
          <w:bCs w:val="1"/>
          <w:i w:val="1"/>
          <w:iCs w:val="1"/>
          <w:color w:val="auto"/>
        </w:rPr>
        <w:t>If our technology infrastructure, systems or products are compromised, damaged or interrupted by cyber attacks, data security breaches, other security problems, design defects or sustain system failures, our operating results and financial condition could be adversely affected.</w:t>
      </w:r>
    </w:p>
    <w:p>
      <w:pPr>
        <w:spacing w:after="0" w:line="1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16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b w:val="1"/>
          <w:bCs w:val="1"/>
          <w:color w:val="auto"/>
        </w:rPr>
        <w:t>.</w:t>
      </w:r>
    </w:p>
    <w:p>
      <w:pPr>
        <w:spacing w:after="0" w:line="1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Laws and regulations relating to the collection, use, and security and privacy of third-party data change over time and new laws and regulations become effective from time to time. For example, the California Consumer Privacy Act (“CCPA”), which became effective January 1, 2020, imposes new obligations on certain companies doing business in California with respect to the personal information of California residents. These obligations include new notice and privacy policy requirements, as well as new obligations to respond to requests to know and access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b w:val="1"/>
          <w:bCs w:val="1"/>
          <w:i w:val="1"/>
          <w:iCs w:val="1"/>
          <w:color w:val="auto"/>
        </w:rPr>
        <w:t>We are subject to state, federal and international legal and regulatory requirements, such as environmental, labor, trade, health, safety, anti-corruption and tax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have a material adverse effect on our business, operating results and financial condition.</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Flash Ventures sells to and leases back a portion of its equipment from a consortium of financial institutions. Most of the lease obligations are guaranteed 50% by us and 50% by Kioxia. Some of the lease obligations are guaranteed in full by us. As of January 3, 2020, the portion of outstanding obligations covered by our guarantees totaled approximately $1.75 billion, based upon the Japanese yen to U.S. dollar exchange rate at January 3, 2020. The leases are subject to customary covenants and cancellation events that relate to Flash Ventures and each of the guarantors. Cancellation events include, among other things, an assignment of all or a substantial part of a guarantor’s business and acceleration of other monetary debts of Flash Ventures or a guarantor above a specified threshold.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right="28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start, stop or vary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If any of these events occur, they could have a negative impact on our operating results.</w:t>
      </w:r>
    </w:p>
    <w:p>
      <w:pPr>
        <w:spacing w:after="0" w:line="18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6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From time to time, our investment portfolio may include various holdings, security types, and maturities. Our investment portfolio is subject to general credit, liquidity, market, political, sovereign and interest rate risks, which may be exacerbated by unusual events that affect global financial markets. Our investment portfolio may include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January 3,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shares of our common stock during the quarter ended January 3, 2020.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00" w:firstLine="8"/>
        <w:spacing w:after="0" w:line="281"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140" w:firstLine="8"/>
        <w:spacing w:after="0" w:line="261"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5"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29475" cy="317500"/>
                    </a:xfrm>
                    <a:prstGeom prst="rect">
                      <a:avLst/>
                    </a:prstGeom>
                    <a:noFill/>
                  </pic:spPr>
                </pic:pic>
              </a:graphicData>
            </a:graphic>
          </wp:anchor>
        </w:drawing>
      </w:r>
    </w:p>
    <w:p>
      <w:pPr>
        <w:spacing w:after="0" w:line="57"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Amended and Restated Certificate of Incorporation of Western Digital Corporation, as amended to date (Filed as Exhibit 3.1 to the Company’s Quarterly Report on Form 10-Q (File No. 1-08703) with the Securities and Exchange Commission on February 8, 2006)</w:t>
      </w:r>
    </w:p>
    <w:p>
      <w:pPr>
        <w:spacing w:after="0" w:line="1"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740" w:type="dxa"/>
            <w:vAlign w:val="bottom"/>
            <w:gridSpan w:val="4"/>
          </w:tcPr>
          <w:p>
            <w:pPr>
              <w:jc w:val="center"/>
              <w:ind w:left="310"/>
              <w:spacing w:after="0" w:line="190" w:lineRule="exact"/>
              <w:rPr>
                <w:rFonts w:ascii="Arial" w:cs="Arial" w:eastAsia="Arial" w:hAnsi="Arial"/>
                <w:sz w:val="18"/>
                <w:szCs w:val="18"/>
                <w:color w:val="0000FF"/>
                <w:w w:val="87"/>
              </w:rPr>
            </w:pPr>
            <w:hyperlink r:id="rId4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60" w:type="dxa"/>
            <w:vAlign w:val="bottom"/>
          </w:tcPr>
          <w:p>
            <w:pPr>
              <w:spacing w:after="0"/>
              <w:rPr>
                <w:sz w:val="16"/>
                <w:szCs w:val="16"/>
                <w:color w:val="auto"/>
              </w:rPr>
            </w:pPr>
          </w:p>
        </w:tc>
        <w:tc>
          <w:tcPr>
            <w:tcW w:w="10280" w:type="dxa"/>
            <w:vAlign w:val="bottom"/>
          </w:tcPr>
          <w:p>
            <w:pPr>
              <w:ind w:left="180"/>
              <w:spacing w:after="0" w:line="190" w:lineRule="exact"/>
              <w:rPr>
                <w:sz w:val="20"/>
                <w:szCs w:val="20"/>
                <w:color w:val="auto"/>
              </w:rPr>
            </w:pPr>
            <w:r>
              <w:rPr>
                <w:rFonts w:ascii="Arial" w:cs="Arial" w:eastAsia="Arial" w:hAnsi="Arial"/>
                <w:sz w:val="18"/>
                <w:szCs w:val="18"/>
                <w:color w:val="auto"/>
                <w:w w:val="95"/>
              </w:rPr>
              <w:t>Amended and Restated By-Laws of Western Digital Corporation, as amended effective as of May 2, 2018 (Filed as Exhibit 3.1 to the</w:t>
            </w:r>
          </w:p>
        </w:tc>
      </w:tr>
      <w:tr>
        <w:trPr>
          <w:trHeight w:val="237"/>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Western Digital Corporation Amended and Restated 2017 Performance Incentive Plan (Filed as Exhibit 10.1 to the Company’s Current</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 on Form 8-K (File No. 1-08703) with the Securities and Exchange Commission on November 14, 2019)*</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7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0280" w:type="dxa"/>
            <w:vAlign w:val="bottom"/>
          </w:tcPr>
          <w:p>
            <w:pPr>
              <w:spacing w:after="0"/>
              <w:rPr>
                <w:sz w:val="4"/>
                <w:szCs w:val="4"/>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7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28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7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2002**</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Instance Document - formatted in Inline XBRL†</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43"/>
        </w:trPr>
        <w:tc>
          <w:tcPr>
            <w:tcW w:w="11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300" w:hanging="84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306"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020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 w:lineRule="exact"/>
        <w:rPr>
          <w:sz w:val="20"/>
          <w:szCs w:val="20"/>
          <w:color w:val="auto"/>
        </w:rPr>
      </w:pPr>
    </w:p>
    <w:p>
      <w:pPr>
        <w:ind w:left="340" w:right="8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 Zamiska</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Vice President, Global Accounting and Chief Accounting Officer</w:t>
      </w:r>
    </w:p>
    <w:p>
      <w:pPr>
        <w:spacing w:after="0" w:line="7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2020</w:t>
      </w:r>
    </w:p>
    <w:p>
      <w:pPr>
        <w:sectPr>
          <w:pgSz w:w="11900" w:h="16838" w:orient="portrait"/>
          <w:cols w:equalWidth="0" w:num="1">
            <w:col w:w="11420"/>
          </w:cols>
          <w:pgMar w:left="240" w:top="553"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0"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2020</w:t>
      </w:r>
    </w:p>
    <w:p>
      <w:pPr>
        <w:sectPr>
          <w:pgSz w:w="11900" w:h="16838" w:orient="portrait"/>
          <w:cols w:equalWidth="0" w:num="1">
            <w:col w:w="11420"/>
          </w:cols>
          <w:pgMar w:left="240" w:top="553" w:right="239" w:bottom="1440" w:gutter="0" w:footer="0" w:header="0"/>
        </w:sectPr>
      </w:pPr>
    </w:p>
    <w:bookmarkStart w:id="78" w:name="page79"/>
    <w:bookmarkEnd w:id="7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40" w:firstLine="332"/>
        <w:spacing w:after="0" w:line="308" w:lineRule="auto"/>
        <w:tabs>
          <w:tab w:leader="none" w:pos="5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2020</w:t>
      </w:r>
    </w:p>
    <w:p>
      <w:pPr>
        <w:sectPr>
          <w:pgSz w:w="11900" w:h="16838" w:orient="portrait"/>
          <w:cols w:equalWidth="0" w:num="1">
            <w:col w:w="11420"/>
          </w:cols>
          <w:pgMar w:left="240" w:top="553" w:right="23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40" w:firstLine="332"/>
        <w:spacing w:after="0" w:line="308" w:lineRule="auto"/>
        <w:tabs>
          <w:tab w:leader="none" w:pos="53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96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5"/>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Roman"/>
      <w:start w:val="2"/>
    </w:lvl>
  </w:abstractNum>
  <w:abstractNum w:abstractNumId="20">
    <w:nsid w:val="75A2A8D4"/>
    <w:multiLevelType w:val="hybridMultilevel"/>
    <w:lvl w:ilvl="0">
      <w:lvlJc w:val="left"/>
      <w:lvlText w:val="(%1)"/>
      <w:numFmt w:val="lowerRoman"/>
      <w:start w:val="4"/>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8" Type="http://schemas.openxmlformats.org/officeDocument/2006/relationships/hyperlink" Target="http://www.sec.gov/Archives/edgar/data/106040/000095013706001502/a17011exv3w1.htm" TargetMode="External"/><Relationship Id="rId40" Type="http://schemas.openxmlformats.org/officeDocument/2006/relationships/hyperlink" Target="http://www.sec.gov/Archives/edgar/data/106040/000119312518153458/d577779dex31.htm" TargetMode="External"/><Relationship Id="rId41" Type="http://schemas.openxmlformats.org/officeDocument/2006/relationships/hyperlink" Target="http://www.sec.gov/Archives/edgar/data/106040/000119312519292358/d8290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2020-02-11T05:08:59Z</dcterms:created>
  <dcterms:modified xsi:type="dcterms:W3CDTF">2020-02-11T05:08:59Z</dcterms:modified>
</cp:coreProperties>
</file>