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Davis Brian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Sales &amp; Mrktng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3"/>
        <w:gridCol w:w="900"/>
        <w:gridCol w:w="772"/>
        <w:gridCol w:w="597"/>
        <w:gridCol w:w="336"/>
        <w:gridCol w:w="1038"/>
        <w:gridCol w:w="420"/>
        <w:gridCol w:w="829"/>
        <w:gridCol w:w="1421"/>
        <w:gridCol w:w="955"/>
        <w:gridCol w:w="90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8.386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4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100,454.386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963.034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441.36</w:t>
            </w:r>
          </w:p>
        </w:tc>
        <w:tc>
          <w:tcPr>
            <w:tcW w:w="14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99,491.352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9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816"/>
        <w:gridCol w:w="71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9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16.8107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16.8107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174.0694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8.3863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8.3863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165.6831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dividend equivalent rights were converted into, and paid in the form of, shares of the Issuer's common stock on a one-for-one basis in connection with the vesting of restricted stock units to which the dividend equivalent rights relate. A cash amount was also paid to the holder to settle a fractional dividend equivalent right.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Payment of tax obligation by withholding securities incident to the vesting of securities in accordance with Rule 16b-3(e).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Brian Scott Davis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7091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734</Words>
  <Characters>3980</Characters>
  <CharactersWithSpaces>4612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