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-224155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-127635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January 2,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326390</wp:posOffset>
            </wp:positionV>
            <wp:extent cx="82359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359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167640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33-0956711</w:t>
            </w:r>
          </w:p>
        </w:tc>
      </w:tr>
      <w:tr>
        <w:trPr>
          <w:trHeight w:val="180"/>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42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3355 Michelson Drive, Suite 100</w:t>
            </w:r>
          </w:p>
        </w:tc>
        <w:tc>
          <w:tcPr>
            <w:tcW w:w="3080" w:type="dxa"/>
            <w:vAlign w:val="bottom"/>
          </w:tcPr>
          <w:p>
            <w:pPr>
              <w:spacing w:after="0"/>
              <w:rPr>
                <w:sz w:val="24"/>
                <w:szCs w:val="24"/>
                <w:color w:val="auto"/>
              </w:rPr>
            </w:pPr>
          </w:p>
        </w:tc>
      </w:t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6"/>
              </w:rPr>
              <w:t>Irvine, California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92612</w:t>
            </w:r>
          </w:p>
        </w:tc>
      </w:tr>
      <w:tr>
        <w:trPr>
          <w:trHeight w:val="218"/>
        </w:trPr>
        <w:tc>
          <w:tcPr>
            <w:tcW w:w="44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(949) 672-7000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20" w:space="720"/>
            <w:col w:w="3960" w:space="720"/>
            <w:col w:w="2500" w:space="720"/>
            <w:col w:w="54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5">
            <w:col w:w="2220" w:space="720"/>
            <w:col w:w="160" w:space="100"/>
            <w:col w:w="3700" w:space="720"/>
            <w:col w:w="2500" w:space="720"/>
            <w:col w:w="540"/>
          </w:cols>
          <w:pgMar w:left="240" w:top="233" w:right="27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00"/>
          </w:cols>
          <w:pgMar w:left="240" w:top="233" w:right="27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As of the close of business on February 5, 2015, 231,031,533 shares of common stock, par value $.01 per share,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4340" w:type="dxa"/>
            <w:vAlign w:val="bottom"/>
            <w:tcBorders>
              <w:bottom w:val="single" w:sz="8" w:color="0000FF"/>
            </w:tcBorders>
            <w:gridSpan w:val="11"/>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5100" w:type="dxa"/>
            <w:vAlign w:val="bottom"/>
            <w:gridSpan w:val="7"/>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378"/>
        </w:trPr>
        <w:tc>
          <w:tcPr>
            <w:tcW w:w="94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Balance Sheets — </w:t>
              </w:r>
            </w:hyperlink>
            <w:r>
              <w:rPr>
                <w:rFonts w:ascii="Arial" w:cs="Arial" w:eastAsia="Arial" w:hAnsi="Arial"/>
                <w:sz w:val="18"/>
                <w:szCs w:val="18"/>
                <w:color w:val="0000FF"/>
                <w:w w:val="88"/>
              </w:rPr>
              <w:t>January 2, 2015 and June 27, 2014</w:t>
            </w:r>
          </w:p>
        </w:tc>
        <w:tc>
          <w:tcPr>
            <w:tcW w:w="3380" w:type="dxa"/>
            <w:vAlign w:val="bottom"/>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 xml:space="preserve">Condensed Consolidated Statements of Income — Three </w:t>
              </w:r>
            </w:hyperlink>
            <w:r>
              <w:rPr>
                <w:rFonts w:ascii="Arial" w:cs="Arial" w:eastAsia="Arial" w:hAnsi="Arial"/>
                <w:sz w:val="18"/>
                <w:szCs w:val="18"/>
                <w:color w:val="0000FF"/>
                <w:w w:val="93"/>
              </w:rPr>
              <w:t>and Six Months Ended January 2, 2015 and December 27, 2013</w:t>
            </w:r>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340" w:type="dxa"/>
            <w:vAlign w:val="bottom"/>
          </w:tcPr>
          <w:p>
            <w:pPr>
              <w:spacing w:after="0"/>
              <w:rPr>
                <w:sz w:val="24"/>
                <w:szCs w:val="24"/>
                <w:color w:val="auto"/>
              </w:rPr>
            </w:pPr>
          </w:p>
        </w:tc>
        <w:tc>
          <w:tcPr>
            <w:tcW w:w="8740" w:type="dxa"/>
            <w:vAlign w:val="bottom"/>
            <w:tcBorders>
              <w:top w:val="single" w:sz="8" w:color="0000FF"/>
            </w:tcBorders>
            <w:gridSpan w:val="16"/>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 xml:space="preserve">Condensed Consolidated Statements of Comprehensive Income — Three </w:t>
              </w:r>
            </w:hyperlink>
            <w:r>
              <w:rPr>
                <w:rFonts w:ascii="Arial" w:cs="Arial" w:eastAsia="Arial" w:hAnsi="Arial"/>
                <w:sz w:val="18"/>
                <w:szCs w:val="18"/>
                <w:color w:val="0000FF"/>
                <w:w w:val="92"/>
              </w:rPr>
              <w:t>and Six Months Ended January 2, 2015 and</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846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December 27, 2013</w:t>
            </w:r>
          </w:p>
        </w:tc>
        <w:tc>
          <w:tcPr>
            <w:tcW w:w="640" w:type="dxa"/>
            <w:vAlign w:val="bottom"/>
            <w:gridSpan w:val="2"/>
          </w:tcPr>
          <w:p>
            <w:pPr>
              <w:spacing w:after="0"/>
              <w:rPr>
                <w:sz w:val="17"/>
                <w:szCs w:val="17"/>
                <w:color w:val="auto"/>
              </w:rPr>
            </w:pPr>
          </w:p>
        </w:tc>
        <w:tc>
          <w:tcPr>
            <w:tcW w:w="194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 xml:space="preserve">Condensed Consolidated Statements of Cash Flows — </w:t>
              </w:r>
            </w:hyperlink>
            <w:r>
              <w:rPr>
                <w:rFonts w:ascii="Arial" w:cs="Arial" w:eastAsia="Arial" w:hAnsi="Arial"/>
                <w:sz w:val="18"/>
                <w:szCs w:val="18"/>
                <w:color w:val="0000FF"/>
                <w:w w:val="98"/>
              </w:rPr>
              <w:t>Six Months Ended January 2, 2015 and December 27, 2013</w:t>
            </w:r>
          </w:p>
        </w:tc>
        <w:tc>
          <w:tcPr>
            <w:tcW w:w="19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340" w:type="dxa"/>
            <w:vAlign w:val="bottom"/>
          </w:tcPr>
          <w:p>
            <w:pPr>
              <w:spacing w:after="0"/>
              <w:rPr>
                <w:sz w:val="24"/>
                <w:szCs w:val="24"/>
                <w:color w:val="auto"/>
              </w:rPr>
            </w:pPr>
          </w:p>
        </w:tc>
        <w:tc>
          <w:tcPr>
            <w:tcW w:w="8280" w:type="dxa"/>
            <w:vAlign w:val="bottom"/>
            <w:tcBorders>
              <w:top w:val="single" w:sz="8" w:color="0000FF"/>
            </w:tcBorders>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820" w:type="dxa"/>
            <w:vAlign w:val="bottom"/>
            <w:gridSpan w:val="3"/>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900" w:type="dxa"/>
            <w:vAlign w:val="bottom"/>
            <w:gridSpan w:val="12"/>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800" w:type="dxa"/>
            <w:vAlign w:val="bottom"/>
            <w:gridSpan w:val="5"/>
          </w:tcPr>
          <w:p>
            <w:pPr>
              <w:ind w:left="40"/>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Controls and Procedures</w:t>
              </w:r>
            </w:hyperlink>
          </w:p>
        </w:tc>
        <w:tc>
          <w:tcPr>
            <w:tcW w:w="2580" w:type="dxa"/>
            <w:vAlign w:val="bottom"/>
            <w:gridSpan w:val="5"/>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1.</w:t>
              </w:r>
            </w:hyperlink>
          </w:p>
        </w:tc>
        <w:tc>
          <w:tcPr>
            <w:tcW w:w="2240" w:type="dxa"/>
            <w:vAlign w:val="bottom"/>
            <w:gridSpan w:val="6"/>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6680" w:type="dxa"/>
            <w:vAlign w:val="bottom"/>
            <w:gridSpan w:val="10"/>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8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7560" w:type="dxa"/>
            <w:vAlign w:val="bottom"/>
            <w:gridSpan w:val="1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Unregistered Sales of Equity Securities and Use of Proceeds</w:t>
              </w:r>
            </w:hyperlink>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6.</w:t>
              </w:r>
            </w:hyperlink>
          </w:p>
        </w:tc>
        <w:tc>
          <w:tcPr>
            <w:tcW w:w="640" w:type="dxa"/>
            <w:vAlign w:val="bottom"/>
          </w:tcPr>
          <w:p>
            <w:pPr>
              <w:ind w:left="40"/>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Exhibits</w:t>
              </w:r>
            </w:hyperlink>
          </w:p>
        </w:tc>
        <w:tc>
          <w:tcPr>
            <w:tcW w:w="3740" w:type="dxa"/>
            <w:vAlign w:val="bottom"/>
            <w:gridSpan w:val="9"/>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fiscal year ends on the Friday nearest to June 30 and typically consists of 52 weeks. Approximately every six years, we report a 53-week fiscal year to align our fiscal year with the foregoing policy. Our fiscal second quarters ended January 2, 2015 and December 27, 2013 both consisted of 13 weeks. Fiscal year 2014 was comprised of 52 weeks and ended on June 27, 2014. Fiscal year 2015 will be comprised of 53 weeks and will end on July 3, 2015. Fiscal year 2016 will be comprised of 52 weeks and will end on July 1, 2016. 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11"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WDC, a Delaware corporation, is the parent company of our storage business, which operates under two independent subsidiaries – HGST and WD. Our principal executive offices are located at 3355 Michelson Drive, Suite 100, Irvine, California 92612. Our telephone number is (949) 672-7000 and our website is www.westerndigital.com. The information on our website is not incorporated in this Quarterly Report on Form 10-Q.</w:t>
      </w:r>
    </w:p>
    <w:p>
      <w:pPr>
        <w:spacing w:after="0" w:line="1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Western Digital, WD and the WD logo are trademarks of Western Digital Technologies, Inc. and/or its affiliates. All other trademarks mentioned are the property of their respective owners.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2,</w:t>
            </w:r>
          </w:p>
        </w:tc>
        <w:tc>
          <w:tcPr>
            <w:tcW w:w="340" w:type="dxa"/>
            <w:vAlign w:val="bottom"/>
          </w:tcPr>
          <w:p>
            <w:pPr>
              <w:spacing w:after="0"/>
              <w:rPr>
                <w:sz w:val="14"/>
                <w:szCs w:val="14"/>
                <w:color w:val="auto"/>
              </w:rPr>
            </w:pPr>
          </w:p>
        </w:tc>
        <w:tc>
          <w:tcPr>
            <w:tcW w:w="1360" w:type="dxa"/>
            <w:vAlign w:val="bottom"/>
          </w:tcPr>
          <w:p>
            <w:pPr>
              <w:jc w:val="right"/>
              <w:ind w:right="53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arbitration award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warranty</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(Notes 4 and 5)</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$.01 par value; authorized — 5 shares; issued and outstanding — none</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$.01 par value; authorized — 450 shares; issued — 261 shares; outstanding — 232 and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234 shares,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 common shares at cost; 29 and 27 shares,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10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related to arbitration award</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w w:val="95"/>
              </w:rPr>
              <w:t>Employee termination, asset impairment and other charges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920" w:type="dxa"/>
            <w:vAlign w:val="bottom"/>
          </w:tcPr>
          <w:p>
            <w:pPr>
              <w:spacing w:after="0"/>
              <w:rPr>
                <w:sz w:val="13"/>
                <w:szCs w:val="13"/>
                <w:color w:val="auto"/>
              </w:rPr>
            </w:pPr>
          </w:p>
        </w:tc>
        <w:tc>
          <w:tcPr>
            <w:tcW w:w="126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January 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3"/>
                <w:szCs w:val="13"/>
                <w:color w:val="auto"/>
              </w:rPr>
            </w:pPr>
          </w:p>
        </w:tc>
        <w:tc>
          <w:tcPr>
            <w:tcW w:w="118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w w:val="96"/>
              </w:rPr>
              <w:t>December 27,</w:t>
            </w:r>
          </w:p>
        </w:tc>
      </w:tr>
      <w:tr>
        <w:trPr>
          <w:trHeight w:val="192"/>
        </w:trPr>
        <w:tc>
          <w:tcPr>
            <w:tcW w:w="49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 on foreign exchange contracts</w:t>
            </w:r>
          </w:p>
        </w:tc>
        <w:tc>
          <w:tcPr>
            <w:tcW w:w="1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w w:val="93"/>
              </w:rPr>
              <w:t>Six Months Ended</w:t>
            </w:r>
          </w:p>
        </w:tc>
      </w:tr>
      <w:tr>
        <w:trPr>
          <w:trHeight w:val="152"/>
        </w:trPr>
        <w:tc>
          <w:tcPr>
            <w:tcW w:w="79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79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629</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from insurance recovery</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Loss on disposal of assets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portion of employee termination, asset impairment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arbitration award</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1,070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1,406</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Acquisitions, net of cash acquired</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Issuance of stock under employee stock plans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on vested stock awards under employee stock plans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Excess tax benefits from employee stock plans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Dividends paid to shareholders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4,902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4,655</w:t>
            </w:r>
          </w:p>
        </w:tc>
      </w:tr>
      <w:tr>
        <w:trPr>
          <w:trHeight w:val="67"/>
        </w:trPr>
        <w:tc>
          <w:tcPr>
            <w:tcW w:w="79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(received) for income taxes</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of cash dividend declared</w:t>
            </w: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7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74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accounting policies followed by Western Digital Corporation (the “Company”) are set forth in Part II, Item 8, Note 1 of the Notes to Consolidated Financial Statements included in the Company’s Annual Report on Form 10-K for the year ended June 27, 2014.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for the year ended June 27, 2014. The results of operations for interim periods are not necessarily indicative of results to be expected for the full year. The Company's fiscal year ends on the Friday nearest to June 30 and typically consists of 52 weeks. Approximately every six years, the Company reports a 53-week fiscal year to align its fiscal year with the foregoing policy. The Company's fiscal second quarters ended January 2, 2015 and December 27, 2013 both consisted of 13 weeks. Fiscal year 2015 will be comprised of 53 weeks and will end on July 3, 2015.</w:t>
      </w:r>
    </w:p>
    <w:p>
      <w:pPr>
        <w:spacing w:after="0" w:line="1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Statement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Inventories; Property, Plant and Equipment; and Other Intangible Assets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January 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right"/>
              <w:ind w:right="593"/>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Raw materials and component parts</w:t>
            </w:r>
          </w:p>
        </w:tc>
        <w:tc>
          <w:tcPr>
            <w:tcW w:w="1240" w:type="dxa"/>
            <w:vAlign w:val="bottom"/>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2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inventories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1"/>
              </w:rPr>
              <w:t>(5,254)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intangible assets: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The warranty provision considers estimated product failure rates and trends, estimated replacement costs, estimated repair costs which include scrap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hard drive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returned products or costs of customer compensatory claims differ significantly from estimates, future results of operations could be materially affected.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warranty accrual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January 2,</w:t>
            </w:r>
          </w:p>
        </w:tc>
        <w:tc>
          <w:tcPr>
            <w:tcW w:w="140" w:type="dxa"/>
            <w:vAlign w:val="bottom"/>
          </w:tcPr>
          <w:p>
            <w:pPr>
              <w:spacing w:after="0"/>
              <w:rPr>
                <w:sz w:val="13"/>
                <w:szCs w:val="13"/>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27, 2013</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w w:val="99"/>
              </w:rPr>
              <w:t>Warranty liability assumed as a result of acquisition</w:t>
            </w:r>
          </w:p>
        </w:tc>
        <w:tc>
          <w:tcPr>
            <w:tcW w:w="12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Utilization</w:t>
            </w:r>
          </w:p>
        </w:tc>
        <w:tc>
          <w:tcPr>
            <w:tcW w:w="1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Changes in estimate related to pre-existing warranties</w:t>
            </w:r>
          </w:p>
        </w:tc>
        <w:tc>
          <w:tcPr>
            <w:tcW w:w="1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Warranty accrual, end of period</w:t>
            </w:r>
          </w:p>
        </w:tc>
        <w:tc>
          <w:tcPr>
            <w:tcW w:w="1260" w:type="dxa"/>
            <w:vAlign w:val="bottom"/>
            <w:tcBorders>
              <w:top w:val="single" w:sz="8" w:color="auto"/>
            </w:tcBorders>
          </w:tcPr>
          <w:p>
            <w:pPr>
              <w:jc w:val="right"/>
              <w:ind w:right="105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long-term portion of the warranty accrual classified in other liabilities was $77 million as of January 2, 2015 and $63 million as of June 27, 2014.</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by major type, the fair value and cost basis of the Company’s investments as of January 2, 2015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38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97"/>
        </w:trPr>
        <w:tc>
          <w:tcPr>
            <w:tcW w:w="538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w:t>
            </w:r>
          </w:p>
        </w:tc>
      </w:tr>
      <w:tr>
        <w:trPr>
          <w:trHeight w:val="311"/>
        </w:trPr>
        <w:tc>
          <w:tcPr>
            <w:tcW w:w="5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other non-current assets</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r>
      <w:tr>
        <w:trPr>
          <w:trHeight w:val="257"/>
        </w:trPr>
        <w:tc>
          <w:tcPr>
            <w:tcW w:w="5380" w:type="dxa"/>
            <w:vAlign w:val="bottom"/>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w:t>
            </w:r>
          </w:p>
        </w:tc>
      </w:tr>
      <w:tr>
        <w:trPr>
          <w:trHeight w:val="20"/>
        </w:trPr>
        <w:tc>
          <w:tcPr>
            <w:tcW w:w="5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January 2, 2015,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Cost Basis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jc w:val="center"/>
              <w:ind w:right="2050"/>
              <w:spacing w:after="0"/>
              <w:rPr>
                <w:sz w:val="20"/>
                <w:szCs w:val="20"/>
                <w:color w:val="auto"/>
              </w:rPr>
            </w:pPr>
            <w:r>
              <w:rPr>
                <w:rFonts w:ascii="Arial" w:cs="Arial" w:eastAsia="Arial" w:hAnsi="Arial"/>
                <w:sz w:val="18"/>
                <w:szCs w:val="18"/>
                <w:color w:val="auto"/>
                <w:w w:val="88"/>
              </w:rPr>
              <w:t>Due in less than one year:</w:t>
            </w:r>
          </w:p>
        </w:tc>
        <w:tc>
          <w:tcPr>
            <w:tcW w:w="478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080" w:type="dxa"/>
            <w:vAlign w:val="bottom"/>
          </w:tcPr>
          <w:p>
            <w:pPr>
              <w:ind w:left="720"/>
              <w:spacing w:after="0"/>
              <w:rPr>
                <w:sz w:val="20"/>
                <w:szCs w:val="20"/>
                <w:color w:val="auto"/>
              </w:rPr>
            </w:pPr>
            <w:r>
              <w:rPr>
                <w:rFonts w:ascii="Arial" w:cs="Arial" w:eastAsia="Arial" w:hAnsi="Arial"/>
                <w:sz w:val="18"/>
                <w:szCs w:val="18"/>
                <w:color w:val="auto"/>
              </w:rPr>
              <w:t>Due in one to five years:</w:t>
            </w:r>
          </w:p>
        </w:tc>
        <w:tc>
          <w:tcPr>
            <w:tcW w:w="3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jc w:val="center"/>
              <w:ind w:right="2090"/>
              <w:spacing w:after="0"/>
              <w:rPr>
                <w:sz w:val="20"/>
                <w:szCs w:val="20"/>
                <w:color w:val="auto"/>
              </w:rPr>
            </w:pPr>
            <w:r>
              <w:rPr>
                <w:rFonts w:ascii="Arial" w:cs="Arial" w:eastAsia="Arial" w:hAnsi="Arial"/>
                <w:sz w:val="18"/>
                <w:szCs w:val="18"/>
                <w:color w:val="auto"/>
                <w:w w:val="94"/>
              </w:rPr>
              <w:t>Total</w:t>
            </w:r>
          </w:p>
        </w:tc>
        <w:tc>
          <w:tcPr>
            <w:tcW w:w="4780" w:type="dxa"/>
            <w:vAlign w:val="bottom"/>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8</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by major type, the fair value and cost basis of the Company’s investments as of June 27, 2014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38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97"/>
        </w:trPr>
        <w:tc>
          <w:tcPr>
            <w:tcW w:w="538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499</w:t>
            </w:r>
          </w:p>
        </w:tc>
      </w:tr>
      <w:tr>
        <w:trPr>
          <w:trHeight w:val="311"/>
        </w:trPr>
        <w:tc>
          <w:tcPr>
            <w:tcW w:w="5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other non-current assets</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r>
      <w:tr>
        <w:trPr>
          <w:trHeight w:val="257"/>
        </w:trPr>
        <w:tc>
          <w:tcPr>
            <w:tcW w:w="5380" w:type="dxa"/>
            <w:vAlign w:val="bottom"/>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499</w:t>
            </w:r>
          </w:p>
        </w:tc>
      </w:tr>
      <w:tr>
        <w:trPr>
          <w:trHeight w:val="20"/>
        </w:trPr>
        <w:tc>
          <w:tcPr>
            <w:tcW w:w="5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as of June 27, 2014,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jc w:val="center"/>
              <w:ind w:right="5410"/>
              <w:spacing w:after="0"/>
              <w:rPr>
                <w:sz w:val="20"/>
                <w:szCs w:val="20"/>
                <w:color w:val="auto"/>
              </w:rPr>
            </w:pPr>
            <w:r>
              <w:rPr>
                <w:rFonts w:ascii="Arial" w:cs="Arial" w:eastAsia="Arial" w:hAnsi="Arial"/>
                <w:sz w:val="18"/>
                <w:szCs w:val="18"/>
                <w:color w:val="auto"/>
                <w:w w:val="88"/>
              </w:rPr>
              <w:t>Due in less than one year:</w:t>
            </w:r>
          </w:p>
        </w:tc>
        <w:tc>
          <w:tcPr>
            <w:tcW w:w="142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Due in one to five years:</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215</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jc w:val="center"/>
              <w:ind w:right="5450"/>
              <w:spacing w:after="0"/>
              <w:rPr>
                <w:sz w:val="20"/>
                <w:szCs w:val="20"/>
                <w:color w:val="auto"/>
              </w:rPr>
            </w:pPr>
            <w:r>
              <w:rPr>
                <w:rFonts w:ascii="Arial" w:cs="Arial" w:eastAsia="Arial" w:hAnsi="Arial"/>
                <w:sz w:val="18"/>
                <w:szCs w:val="18"/>
                <w:color w:val="auto"/>
                <w:w w:val="94"/>
              </w:rPr>
              <w:t>Total</w:t>
            </w:r>
          </w:p>
        </w:tc>
        <w:tc>
          <w:tcPr>
            <w:tcW w:w="1420" w:type="dxa"/>
            <w:vAlign w:val="bottom"/>
            <w:tcBorders>
              <w:bottom w:val="single" w:sz="8" w:color="auto"/>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Company determined no available-for-sale securities were other-than-temporarily impaired in the three and six months ended January 2, 2015. For more information on the Company's available-for-sale securities, see Note 7 below.</w:t>
      </w:r>
    </w:p>
    <w:p>
      <w:pPr>
        <w:spacing w:after="0" w:line="18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addition, the Company enters into certain strategic investments for the promotion of business and strategic objectives. These strategic investments are recorded at cost within other non-current assets in the consolidated balance sheets and were not material to the condensed consolidated financial statements as of January 2, 2015 and June 27, 2014.</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52"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Other comprehensive income (loss) refers to revenue, expenses, gains and losses that are recorded as an element of shareholders’ equity but are excluded from net income. The Company’s other comprehensive income (loss) is comprised of unrealized gains and losses on foreign exchange contracts. There were no unrealized gains or losses on the Company's available-for-sale securities or actuarial gains and losses related to pensions in the six months ended January 2, 2015. In addition, the income tax impact on components of other comprehensive income (loss) is immaterial for all periods presented.</w:t>
      </w:r>
    </w:p>
    <w:p>
      <w:pPr>
        <w:spacing w:after="0" w:line="18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six months ended January 2, 2015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Actuarial Pension</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 (Loss) on</w:t>
            </w:r>
          </w:p>
        </w:tc>
        <w:tc>
          <w:tcPr>
            <w:tcW w:w="16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Foreign Exchange</w:t>
            </w: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2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34"/>
        </w:trPr>
        <w:tc>
          <w:tcPr>
            <w:tcW w:w="6260" w:type="dxa"/>
            <w:vAlign w:val="bottom"/>
          </w:tcPr>
          <w:p>
            <w:pPr>
              <w:ind w:left="566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six months ended December 27, 2013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Actuarial Pension</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 (Loss) on</w:t>
            </w:r>
          </w:p>
        </w:tc>
        <w:tc>
          <w:tcPr>
            <w:tcW w:w="140" w:type="dxa"/>
            <w:vAlign w:val="bottom"/>
          </w:tcPr>
          <w:p>
            <w:pPr>
              <w:spacing w:after="0"/>
              <w:rPr>
                <w:sz w:val="14"/>
                <w:szCs w:val="14"/>
                <w:color w:val="auto"/>
              </w:rPr>
            </w:pPr>
          </w:p>
        </w:tc>
        <w:tc>
          <w:tcPr>
            <w:tcW w:w="16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Foreign Exchange</w:t>
            </w:r>
          </w:p>
        </w:tc>
        <w:tc>
          <w:tcPr>
            <w:tcW w:w="140" w:type="dxa"/>
            <w:vAlign w:val="bottom"/>
          </w:tcPr>
          <w:p>
            <w:pPr>
              <w:spacing w:after="0"/>
              <w:rPr>
                <w:sz w:val="12"/>
                <w:szCs w:val="12"/>
                <w:color w:val="auto"/>
              </w:rPr>
            </w:pPr>
          </w:p>
        </w:tc>
        <w:tc>
          <w:tcPr>
            <w:tcW w:w="16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6"/>
                <w:szCs w:val="16"/>
                <w:color w:val="auto"/>
              </w:rPr>
            </w:pPr>
          </w:p>
        </w:tc>
        <w:tc>
          <w:tcPr>
            <w:tcW w:w="166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28, 2013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24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27,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Common Share</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certain dilutive outstanding employee stock options, rights to purchase shares of common stock under the Company’s Employee Stock Purchase Plan (“ESPP”) and restricted stock unit awards (“RSUs”).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January 2,</w:t>
            </w:r>
          </w:p>
        </w:tc>
        <w:tc>
          <w:tcPr>
            <w:tcW w:w="38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3"/>
                <w:szCs w:val="13"/>
                <w:color w:val="auto"/>
              </w:rPr>
            </w:pPr>
          </w:p>
        </w:tc>
        <w:tc>
          <w:tcPr>
            <w:tcW w:w="11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4"/>
              </w:rPr>
              <w:t>December 27,</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Employee stock options and other</w:t>
            </w:r>
          </w:p>
        </w:tc>
        <w:tc>
          <w:tcPr>
            <w:tcW w:w="3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 common shares excluded*</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200" w:hanging="465"/>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On January 9, 2014, Western Digital Ireland, Ltd. (“WDI”) used existing cash to repay the outstanding term loan balance of $1.8 billion under its previous credit agreement, dated March 8, 2012, and the Company, Western Digital Technologies, Inc. (“WDT”) and WDI entered into a new credit agreement with JPMorgan Chase Bank, N.A., as administrative agent, and the lenders party thereto (the "Credit Agreement"). The Credit Agreement provides for $4.0 billion of unsecured loan facilities consisting of a $2.5 billion term loan facility to WDT and a $1.5 billion revolving credit facility to WDT and WDI (the “Borrowers”). The revolving credit facility includes a $100 million sublimit for letters of credit and a $50 million sublimit for swing line loans. Subject to certain conditions, a Borrower may elect to expand the credit facilities by, or obtain incremental term loans of, up to $1.0 billion if existing or new lenders provide additional term or revolving commitments. The loans under the Credit Agreement have a five-year term. The obligations of the Borrowers under the Credit Agreement are guaranteed by the Company and its material domestic subsidiaries, and the obligations of WDI under the Credit Agreement are also guaranteed by WDT.</w:t>
      </w:r>
    </w:p>
    <w:p>
      <w:pPr>
        <w:spacing w:after="0" w:line="14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January 2, 2015, no amounts were outstanding under the revolving credit facility and the term loan facility had an outstanding balance of $2.4 billion and a variable interest rate of 1.66%. The Company is required to make quarterly principal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payments on the term loan facility totaling $63 million for the remainder of fiscal 2015, $156 million in fiscal 2016, $219 million in fiscal 2017, $250 million in fiscal 2018 and the remaining balance of $1.7 billion in fiscal 2019.</w:t>
      </w:r>
    </w:p>
    <w:p>
      <w:pPr>
        <w:spacing w:after="0" w:line="116"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Credit Agreement requires the Company to comply with a leverage ratio and an interest coverage ratio calculated on a consolidated basis for the Company and its subsidiaries. In addition, the Credit Agreement contains customary covenants, including covenants that limit or restrict the Company’s and its subsidiaries’ ability to incur liens, incur indebtedness, make certain restricted payments, merge or consolidate and enter into certain speculative hedging arrangements, and customary events of default. As of January 2, 2015, the Company was in compliance with all 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25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21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HGST Closing Date. HGST refers to Hitachi Global Storage Technologies Holdings Pte. Ltd. or one or more of its subsidiaries as of the HGST Closing Date, and “the Company” refers to Western Digital Corporation and all of its subsidiaries on a consolidated basis including HGST.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252"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June 20, 2008, plaintiff Convolve, Inc. (“Convolve”) filed a complaint in the Eastern District of Texas against WD, HGST, and one other company alleging infringement of U.S. Patent Nos. 6,314,473 and 4,916,635. The complaint sought unspecified monetary damages and injunctive relief. On October 10, 2008, Convolve amended its complaint to allege infringement of only the ‘473 patent. The ‘473 patent allegedly relates to interface technology to select between certain modes of a disk drive’s operations relating to speed and noise. A trial in the matter began on July 18, 2011 and concluded on July 26, 2011 with a verdict against WD and HGST in an amount that is not material to the Company’s financial position, results of operations or cash flows, for which the Company previously recorded an accrual. WD and HGST have filed post-trial motions challenging the verdict. On January 17, 2014, the Court denied the Company’s motion for judgment as a matter of law on invalidity. On May 20, 2014, the Court ordered supplemental briefing on post-trial motions related to infringement. Convolve and the Company filed their supplemental briefs on May 30, 2014 and June 6, 2014, respectively. Additional post-trial motions are pending, and the Company will evaluate its options for appeal after the Court rules on the remaining post-trial motions. The Company intends to continue to defend itself vigorously in this matter.</w:t>
      </w:r>
    </w:p>
    <w:p>
      <w:pPr>
        <w:spacing w:after="0" w:line="20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August 1, 2011, plaintiff Guzik Technical Enterprises (“Guzik”) filed a complaint in the Northern District of California against WD and various of its subsidiaries alleging infringement of U.S. Patent Nos. 6,023,145 and 6,785,085, breach of contract and misappropriation of trade secrets. The complaint seeks injunctive relief and unspecified monetary damages, fees and costs. The patents asserted by Guzik allegedly relate to devices used to test hard disk drive heads and media. On November 30, 2013, WD entered into a settlement agreement for an amount that is not material to the Company’s financial position, results of operations or cash flows, for which the Company recorded an accrual. Guzik is disputing the enforceability of the agreement and on December 27, 2013, WD filed a motion to enforce the agreement. The Court heard oral argument on WD’s motion on January 23, 2014. The Court granted WD’s motion to enforce the settlement agreement on March 21, 2014. On April 14, 2014, Guzik filed a Notice of Appeal to the Federal Circuit. On June 17, 2014, Guzik filed its opening appellate brief. WD filed its appellate brief on August 14, 2014. On September 11, 2014, Guzik filed its reply brief in support of its opening appellate brief. On January 7, 2015, the Federal Circuit heard oral argument on Guzik’ s appeal and on January 9, 2015, the Federal Circuit affirmed the Court’s decision granting WD’s motion to enforce the settlement agreement. WD intends to continue to defend itself vigorously in this matter.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On March 24, 2014, plaintiff Steven F. Reiber (“Reiber”) filed a complaint in the Eastern District of California against the Company, alleging infringement of U.S. Patent Nos. 7,124,927 and 7,389,905. On September 16, 2014, Reiber filed an amended complaint in the Eastern District of California against the Company alleging infringement of three additional patents-U.S. Patent Nos. 6,935,548, 6,651,864, and 6,354,479. Reiber alleges that WD products (including hard disk drive heads, head gimbal assemblies, head stack assemblies and SSDs) infringe these patents based on the allegation that the manufacturing of these products involves the use of certain bonding tools (e.g., wire-bonding tips, capillary tips, and flip-chip handling tools) that have electrically “dissipative” properties, and which are used when bonding components, such as leads, wires and flip chips. The complaint seeks an injunction, unspecified monetary damages, interests, fees and costs. On September 30, 2014, the Company filed a motion to dismiss Reiber’s claims for induced infringement and contributory infringement. Oral argument on the Company’s motion to dismiss occurred on January 16, 2015. The parties' initial case management conference is set for April 16, 2015. The Company intends to defend itself vigorously in this matter.</w:t>
      </w:r>
    </w:p>
    <w:p>
      <w:pPr>
        <w:spacing w:after="0" w:line="167" w:lineRule="exact"/>
        <w:rPr>
          <w:sz w:val="20"/>
          <w:szCs w:val="20"/>
          <w:color w:val="auto"/>
        </w:rPr>
      </w:pPr>
    </w:p>
    <w:p>
      <w:pPr>
        <w:ind w:right="40" w:firstLine="392"/>
        <w:spacing w:after="0" w:line="272" w:lineRule="auto"/>
        <w:rPr>
          <w:sz w:val="20"/>
          <w:szCs w:val="20"/>
          <w:color w:val="auto"/>
        </w:rPr>
      </w:pPr>
      <w:r>
        <w:rPr>
          <w:rFonts w:ascii="Arial" w:cs="Arial" w:eastAsia="Arial" w:hAnsi="Arial"/>
          <w:sz w:val="17"/>
          <w:szCs w:val="17"/>
          <w:color w:val="auto"/>
        </w:rPr>
        <w:t>On October 20, 2014, plaintiff SOTA Semiconductor LLC (“SOTA”) filed a complaint in the Central District of California against the Company, Marvell Semiconductor, Inc., Belkin International, Inc., Dell Inc., Hewlett-Packard Company, Hisense USA Corp., Konica Minolta Business Solutions U.S.A., Inc., Lenovo (United States) Inc., Netgear, Inc., Samsung Electronics America, Inc., and Seagate Technology LLC, alleging infringement of U.S. Patent No. 5,991,545 (“’545 patent”). SOTA alleges that the Company’s devices that incorporate Marvell Thumb Processors, including WD’s My Cloud EX2 network attached storage devices, which include model numbers WDBVKW0080JCH, WDBVKW0060JCH, WDBVKW0040JCH and WDBVKW0000NCH, infringe the ’545 patent. The complaint seeks unspecified monetary damages, interests, fees, costs and expenses. On December 12, 2014, the Company filed an answer and counterclaims to SOTA’s complaint. The Company intends to defend itself vigorously in this matter.</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Seagate Matter</w:t>
      </w:r>
    </w:p>
    <w:p>
      <w:pPr>
        <w:spacing w:after="0" w:line="2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October 4, 2006, plaintiff Seagate Technology LLC ("Seagate") filed an action in the District Court of Hennepin County, Minnesota, naming as defendants WD and one of its now former employees previously employed by Seagate. The complaint in the action alleged claims based on misappropriation of trade secrets and sought injunctive relief and unspecified monetary damages, interest, fees and costs. On June 19, 2007, WD’s former employee filed a demand for arbitration with the American Arbitration Association.</w:t>
      </w:r>
    </w:p>
    <w:p>
      <w:pPr>
        <w:spacing w:after="0" w:line="13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January 23, 2012, the arbitrator issued a total final award, including pre-award interest of $630.4 million. On January 23, 2012, WD filed a petition in the District Court of Hennepin County, Minnesota to have the final arbitration award vacated, and, on October 12, 2012, the District Court of Hennepin County, Minnesota vacated, in full, the $630.4 million final arbitration award, ordering that a rehearing be held concerning the alleged trade secret claims before a new arbitrator.</w:t>
      </w:r>
    </w:p>
    <w:p>
      <w:pPr>
        <w:spacing w:after="0" w:line="1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Seagate appealed the District Court decision to the Minnesota Court of Appeals. On July 22, 2013, the Minnesota Court of Appeals reversed the District Court’s decision and remanded for entry of an order and judgment confirming the arbitration award. On August 20, 2013, the Company filed a petition for review with the Minnesota Supreme Court and, on October 15, 2013, the Minnesota Supreme Court granted the Company’s petition. On October 8, 2014, the Minnesota Supreme Court affirmed the decision of the Minnesota Court of Appeals. Because the Minnesota Supreme Court’s decision is not subject to appeal, on October 14, 2014, the Company paid Seagate $773.4 million to satisfy the full amount of the final arbitration award plus interest accrued through October 13, 2014. This amount was paid during the quarter ended January 2, 2015 by one of the Company’s foreign subsidiaries using cash held outside of the United States.</w:t>
      </w:r>
    </w:p>
    <w:p>
      <w:pPr>
        <w:spacing w:after="0" w:line="13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Seagate disputes the method the Company used for calculating post-award interest and contends that the Company owes Seagate approximately $28.9 million in additional interest. The Company denies Seagate’s contention and believes it calculated interest properly in accordance with the arbitration award. On November 12, 2014, the Company filed a motion with the District Court seeking an order declaring that WD has paid to Seagate all amounts due under the arbitration award, including all pre-award and post-award interest, and all costs and disbursements assessed by the Minnesota Court of Appeals and the Minnesota Supreme Court. On December 23, 2014, Seagate filed a cross-motion seeking entry of judgment in the amount of $28.9 million, plus daily interest from October 15, 2014 until the date any judgment is paid. Both parties’ motions were fully briefed and, on January 9, 2015, the Court heard oral argument on both motions. The Court has not yet ruled on the matter.</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December 22, 2011, the German Central Organization for Private Copying Rights (Zentralstelle für private Überspielungsrechte), (“ZPÜ”), an organization consisting of several levy collecting societies, instituted arbitration proceedings against Western Digital's German subsidiary ("WD Germany") before to the Copyright Arbitration Board (“CAB”) claiming copyright levies for multimedia hard drives, external hard drives and network hard drives sold or introduced into commerce in Germany from January 2008 through December 2010. The CAB, which was required to issue a settlement proposal within one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the initiation of the action, failed to do so and requested the parties consent to continue the deadline. WD Germany declined to provide consent and, on February 1,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(collectively, "Covered Products") sold or introduced into commerce from January 2008 through December 2010 based on tariffs published by ZPÜ on November 3, 2011. On May 22, 2014, oral argument on the pleadings occurred. On January 15, 2015, the Higher Court ruled in favor of ZPÜ. In its ruling, the Higher Court declared that WD Germany must pay certain levies on certain WD products which it sold in Germany between January 1, 2008 and December 31, 2010. The judgment specifies levy amounts on certain WD products sold from 2008 to 2010 and directs WD Germany to provide applicable sales data to the ZPÜ. The exact amount of the judgment has not been determined. WD Germany intends to appeal this decision to the German Federal Court of Justice and defend itself vigorously in this matter.</w:t>
      </w:r>
    </w:p>
    <w:p>
      <w:pPr>
        <w:spacing w:after="0" w:line="11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December 11, 2014, ZPÜ submitted a pleading to the CAB seeking copyright levies for Covered Products sold by WD or introduced into commerce in Germany from January 1, 2012 to December 31, 2013. WD Germany intends to defend itself vigorously in this matter.</w:t>
      </w:r>
    </w:p>
    <w:p>
      <w:pPr>
        <w:spacing w:after="0" w:line="116"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 the three months ended January 2, 2015, the Company recorded an accrual for German copyright levies in an amount that is not material to the Company’s financial position, results of operations or cash flows. It is reasonably possible that the Company may incur losses totaling up to $90 million, including the amount accrued.</w:t>
      </w:r>
    </w:p>
    <w:p>
      <w:pPr>
        <w:spacing w:after="0" w:line="12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and is therefore not predictable with assurance, management believes that any monetary liability or financial impact to the Company from these other matters, individually and in the aggregate, would not be material to the Company’s financial condition, results of operations or cash flows. However, there can be no assurance with respect to such result, and monetary liability or financial impact to the Company from these other matters could differ materially from those projected.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Company’s income tax provision for the three and six months ended January 2, 2015 was $20 million and $57 million, respectively, as compared to $37 million and $74 million in the respective prior-year periods. The Company's tax provision for both the three and six months ended January 2, 2015 reflects a tax benefit of $16 million as a result of the retroactive extension of the U.S. Federal R&amp;D tax credit that was signed into law on December 19, 2014. The differences between the effective tax rate and the U.S. Federal statutory rate are primarily due to tax holidays in Malaysia, the Philippines, Singapore and Thailand that expire at various dates from 2015 through 2025 and the current year generation of income tax credits.</w:t>
      </w:r>
    </w:p>
    <w:p>
      <w:pPr>
        <w:spacing w:after="0" w:line="11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the three months ended January 2, 2015, the Company recorded a net increase of $9 million in its liability for unrecognized tax benefits. In the six months ended January 2, 2015, the Company recorded a net increase of $16 million in its liability for unrecognized tax benefits. As of January 2, 2015, the Company's liability for unrecognized tax benefits was approximately $316 million. Interest and penalties recognized on such amounts were not material to the condensed consolidated financial statements during the three months and six months ended January 2, 2015.</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and 2007, and the Company and the IRS reached agreement with respect to all matters except on the proposed adjustments to income before income taxes relating to intercompany payable balances. The proposed adjustments relating to intercompany payable balances for fiscal years 2006 and 2007 will be addressed in conjunction with the IRS’s examination of the Company’s fiscal years 2008 and 2009, which commenced in January 2012. In addition, in January 2012, the IRS commenced an examination of the 2007 fiscal period ended September 5, 2007 of Komag, Incorporated, which was acquired by the Company on September 5, 2007. The Company anticipates that the IRS fieldwork will be completed in the fourth quarter of fiscal year 2015. With respect to the 2008 and 2009 audit, the Company received a notice of proposed adjustment from the IRS relating to intercompany payable balances. The proposed adjustments to income before income taxes relating to intercompany payable balances for fiscal years 2006, 2007, 2008 and 2009 total approximately $200 million. The Company disagrees with the proposed adjustments, believes that its tax position is properly supported and will vigorously contest the position taken by the IRS. The IRS examined calendar years 2010 and 2011 of HGST, which was acquired by the Company on March 8, 2012, and completed the examination with no material adjustments.</w:t>
      </w:r>
    </w:p>
    <w:p>
      <w:pPr>
        <w:spacing w:after="0" w:line="1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taxes in the period such resolution occurs. As of January 2, 2015, it was not possible to estimate the amount of change, if any, in the unrecognized tax benefits that is reasonably possible within the next twelve months. Any significant change in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amount of the Company’s liability for unrecognized tax benefits would most likely result from additional information or settlements relating to the examination of the Company’s tax returns.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 2015, and indicates the fair value hierarchy of the valuation techniques utilized to determine such value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Reporting Date Using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short-term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long-term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2,177</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2014, and indicates the fair value hierarchy of the valuation techniques utilized to determine such value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Reporting Date Using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Bank acceptances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756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w:t>
            </w:r>
          </w:p>
        </w:tc>
      </w:tr>
      <w:tr>
        <w:trPr>
          <w:trHeight w:val="67"/>
        </w:trPr>
        <w:tc>
          <w:tcPr>
            <w:tcW w:w="56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40" w:firstLine="405"/>
        <w:spacing w:after="0" w:line="342" w:lineRule="auto"/>
        <w:rPr>
          <w:sz w:val="20"/>
          <w:szCs w:val="20"/>
          <w:color w:val="auto"/>
        </w:rPr>
      </w:pPr>
      <w:r>
        <w:rPr>
          <w:rFonts w:ascii="Arial" w:cs="Arial" w:eastAsia="Arial" w:hAnsi="Arial"/>
          <w:sz w:val="16"/>
          <w:szCs w:val="16"/>
          <w:i w:val="1"/>
          <w:iCs w:val="1"/>
          <w:color w:val="auto"/>
        </w:rPr>
        <w:t xml:space="preserve">Money Market Funds. </w:t>
      </w:r>
      <w:r>
        <w:rPr>
          <w:rFonts w:ascii="Arial" w:cs="Arial" w:eastAsia="Arial" w:hAnsi="Arial"/>
          <w:sz w:val="16"/>
          <w:szCs w:val="16"/>
          <w:color w:val="auto"/>
        </w:rPr>
        <w:t>The Company’s money market funds are funds that invest in U.S. Treasury and U.S. Government Agency securities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within cash and cash equivalents in the condensed consolidated balance sheets. Money market funds are valued based on quoted market prices.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and recorded within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condensed consolidated balance sheets. Certificates of deposit are valued using fixed interest rates.</w:t>
      </w:r>
    </w:p>
    <w:p>
      <w:pPr>
        <w:spacing w:after="0" w:line="11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 grade debt issued by corporations which are held in custody by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with original maturities of twelve months or less and are recorded within cash and cash equivalents or short-term investments in the condensed consolidated balance sheets depending on their original maturities. Commercial paper securities are valued using a market approach which is based on observable inputs including market interest rates from multiple pricing sources.</w:t>
      </w:r>
    </w:p>
    <w:p>
      <w:pPr>
        <w:spacing w:after="0" w:line="13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U.S. Government Agency Securities. </w:t>
      </w:r>
      <w:r>
        <w:rPr>
          <w:rFonts w:ascii="Arial" w:cs="Arial" w:eastAsia="Arial" w:hAnsi="Arial"/>
          <w:sz w:val="17"/>
          <w:szCs w:val="17"/>
          <w:color w:val="auto"/>
        </w:rPr>
        <w:t>The Company’s U.S. Government agency securities are investments in fixed income securities sponsored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U.S. Government and are held in custody by a third party and recorded within cash and cash equivalents, short-term investments or other non-current assets in the condensed consolidated balance sheets depending on their original maturities. U.S. Government agency securities are valued using a market approach which is based on observable inputs including market interest rates from multiple pricing sources.</w:t>
      </w:r>
    </w:p>
    <w:p>
      <w:pPr>
        <w:spacing w:after="0" w:line="11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i w:val="1"/>
          <w:iCs w:val="1"/>
          <w:color w:val="auto"/>
        </w:rPr>
        <w:t xml:space="preserve">U.S. Treasury Securities. </w:t>
      </w:r>
      <w:r>
        <w:rPr>
          <w:rFonts w:ascii="Arial" w:cs="Arial" w:eastAsia="Arial" w:hAnsi="Arial"/>
          <w:sz w:val="17"/>
          <w:szCs w:val="17"/>
          <w:color w:val="auto"/>
        </w:rPr>
        <w:t>The Company’s U.S. Treasury securities are direct obligations of the U.S. federal government, are held in custody by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and are recorded within other non-current assets in the condensed consolidated balance sheets. U.S. Treasury securities are valued using a market approach which is based on observable inputs including market interest rates from multiple pricing sources.</w:t>
      </w:r>
    </w:p>
    <w:p>
      <w:pPr>
        <w:spacing w:after="0" w:line="11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Bank Acceptances. </w:t>
      </w:r>
      <w:r>
        <w:rPr>
          <w:rFonts w:ascii="Arial" w:cs="Arial" w:eastAsia="Arial" w:hAnsi="Arial"/>
          <w:sz w:val="18"/>
          <w:szCs w:val="18"/>
          <w:color w:val="auto"/>
        </w:rPr>
        <w:t>The Company’s bank acceptances are held in custody by a third party and recorded within cash and cash equivalents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balance sheets. Bank acceptances are valued using a market approach which is based on observable inputs including market interest rates from multiple pricing sources.</w:t>
      </w:r>
    </w:p>
    <w:p>
      <w:pPr>
        <w:spacing w:after="0" w:line="12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contracts are classified within other current assets and liabilities in the condensed consolidated balance sheets. For contracts that have a right of offset by its individual counterparties under master netting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300"/>
        <w:spacing w:after="0" w:line="373" w:lineRule="auto"/>
        <w:rPr>
          <w:sz w:val="20"/>
          <w:szCs w:val="20"/>
          <w:color w:val="auto"/>
        </w:rPr>
      </w:pPr>
      <w:r>
        <w:rPr>
          <w:rFonts w:ascii="Arial" w:cs="Arial" w:eastAsia="Arial" w:hAnsi="Arial"/>
          <w:sz w:val="16"/>
          <w:szCs w:val="16"/>
          <w:color w:val="auto"/>
        </w:rPr>
        <w:t>arrangements, the Company presents its foreign exchange contracts on a net basis by counterparty in the condensed consolidated balance sheets. For more information on the Company's foreign exchange contracts, see Note 8. Foreign exchange contracts are valued using an income approach that is based on a present value of future cash flows model. The market-based observable inputs for the model include forward rates and credit default swap rates.</w:t>
      </w:r>
    </w:p>
    <w:p>
      <w:pPr>
        <w:spacing w:after="0" w:line="6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carrying amounts of cash, accounts receivable, accounts payable and accrued expenses approximate fair value for all periods presented because of the short-term maturity of these assets and liabilities. The carrying amount of debt approximates fair value because of its variable interest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Foreign Exchange Contracts</w:t>
      </w:r>
    </w:p>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Although the majority of the Company’s transactions are in U.S. dollars, some transactions are based in various foreign currencies. The Company purchases short-term,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trading purposes. As of January 2, 2015, the Company had outstanding foreign exchange contracts with commercial banks for British Pound Sterling, Euro, Japanese Yen, Malaysian Ringgit, Philippine Peso, Singapore Dollar and Thai Baht, which were designated as either cash flow or fair value hedges.</w:t>
      </w:r>
    </w:p>
    <w:p>
      <w:pPr>
        <w:spacing w:after="0" w:line="11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and six months ended January 2, 2015 and December 27, 2013.</w:t>
      </w:r>
    </w:p>
    <w:p>
      <w:pPr>
        <w:spacing w:after="0" w:line="11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 change in the fair value of fair value hedges is recognized in earnings in the period incurred and is reported as a component of operating expenses. All fair value hedges were determined to be effective as of January 2, 2015 and June 27, 2014. The changes in fair value on these contracts were immaterial to the condensed consolidated financial statements during the three and six months ended January 2, 2015 and December 27, 2013.</w:t>
      </w:r>
    </w:p>
    <w:p>
      <w:pPr>
        <w:spacing w:after="0" w:line="111"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As of January 2, 2015, the net amount of unrealized losses with respect to the Company’s foreign exchange contracts that is expected to be reclassified into earnings within the next 12 months was $39 million. In addition, as of January 2, 2015, the Company did not have any foreign exchange contracts with credit-risk-related contingent features. The Company opened $1.0 billion and $2.0 billion, and closed $1.1 billion and $2.1 billion, in foreign exchange contracts in the three and six months ended January 2, 2015, respectively. In addition, the Company opened $1.7 billion and $2.7 billion and closed $1.3 billion and $2.7 billion, in foreign exchange contracts in the three and six months ended December 27, 2013, respectively. The fair value and balance sheet location of the Company's foreign exchange contracts as of January 2, 2015 and June 27, 2014 were as follows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r>
      <w:tr>
        <w:trPr>
          <w:trHeight w:val="358"/>
        </w:trPr>
        <w:tc>
          <w:tcPr>
            <w:tcW w:w="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42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4"/>
                <w:szCs w:val="14"/>
                <w:b w:val="1"/>
                <w:bCs w:val="1"/>
                <w:color w:val="auto"/>
              </w:rPr>
              <w:t>January 2, 2015</w:t>
            </w:r>
          </w:p>
        </w:tc>
        <w:tc>
          <w:tcPr>
            <w:tcW w:w="15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8"/>
              </w:rPr>
              <w:t>June 27, 2014</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406"/>
              <w:spacing w:after="0"/>
              <w:rPr>
                <w:sz w:val="20"/>
                <w:szCs w:val="20"/>
                <w:color w:val="auto"/>
              </w:rPr>
            </w:pPr>
            <w:r>
              <w:rPr>
                <w:rFonts w:ascii="Arial" w:cs="Arial" w:eastAsia="Arial" w:hAnsi="Arial"/>
                <w:sz w:val="14"/>
                <w:szCs w:val="14"/>
                <w:b w:val="1"/>
                <w:bCs w:val="1"/>
                <w:color w:val="auto"/>
              </w:rPr>
              <w:t>January 2, 2015</w:t>
            </w: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8"/>
              </w:rPr>
              <w:t>June 27, 2014</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52"/>
        </w:trPr>
        <w:tc>
          <w:tcPr>
            <w:tcW w:w="214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w:t>
            </w:r>
          </w:p>
        </w:tc>
        <w:tc>
          <w:tcPr>
            <w:tcW w:w="1660" w:type="dxa"/>
            <w:vAlign w:val="bottom"/>
            <w:shd w:val="clear" w:color="auto" w:fill="CCEEFF"/>
          </w:tcPr>
          <w:p>
            <w:pPr>
              <w:jc w:val="center"/>
              <w:ind w:left="66"/>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760" w:type="dxa"/>
            <w:vAlign w:val="bottom"/>
            <w:shd w:val="clear" w:color="auto" w:fill="CCEEFF"/>
          </w:tcPr>
          <w:p>
            <w:pPr>
              <w:jc w:val="right"/>
              <w:ind w:right="126"/>
              <w:spacing w:after="0" w:line="153" w:lineRule="exact"/>
              <w:rPr>
                <w:sz w:val="20"/>
                <w:szCs w:val="20"/>
                <w:color w:val="auto"/>
              </w:rPr>
            </w:pPr>
            <w:r>
              <w:rPr>
                <w:rFonts w:ascii="Arial" w:cs="Arial" w:eastAsia="Arial" w:hAnsi="Arial"/>
                <w:sz w:val="14"/>
                <w:szCs w:val="14"/>
                <w:b w:val="1"/>
                <w:bCs w:val="1"/>
                <w:color w:val="auto"/>
              </w:rPr>
              <w:t>Fair</w:t>
            </w:r>
          </w:p>
        </w:tc>
        <w:tc>
          <w:tcPr>
            <w:tcW w:w="15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center"/>
              <w:ind w:right="143"/>
              <w:spacing w:after="0" w:line="153" w:lineRule="exact"/>
              <w:rPr>
                <w:sz w:val="20"/>
                <w:szCs w:val="20"/>
                <w:color w:val="auto"/>
              </w:rPr>
            </w:pPr>
            <w:r>
              <w:rPr>
                <w:rFonts w:ascii="Arial" w:cs="Arial" w:eastAsia="Arial" w:hAnsi="Arial"/>
                <w:sz w:val="14"/>
                <w:szCs w:val="14"/>
                <w:b w:val="1"/>
                <w:bCs w:val="1"/>
                <w:color w:val="auto"/>
              </w:rPr>
              <w:t>Fair</w:t>
            </w:r>
          </w:p>
        </w:tc>
        <w:tc>
          <w:tcPr>
            <w:tcW w:w="1440" w:type="dxa"/>
            <w:vAlign w:val="bottom"/>
            <w:shd w:val="clear" w:color="auto" w:fill="CCEEFF"/>
          </w:tcPr>
          <w:p>
            <w:pPr>
              <w:jc w:val="center"/>
              <w:ind w:left="26"/>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780" w:type="dxa"/>
            <w:vAlign w:val="bottom"/>
            <w:shd w:val="clear" w:color="auto" w:fill="CCEEFF"/>
          </w:tcPr>
          <w:p>
            <w:pPr>
              <w:jc w:val="center"/>
              <w:ind w:left="6"/>
              <w:spacing w:after="0" w:line="153" w:lineRule="exact"/>
              <w:rPr>
                <w:sz w:val="20"/>
                <w:szCs w:val="20"/>
                <w:color w:val="auto"/>
              </w:rPr>
            </w:pPr>
            <w:r>
              <w:rPr>
                <w:rFonts w:ascii="Arial" w:cs="Arial" w:eastAsia="Arial" w:hAnsi="Arial"/>
                <w:sz w:val="14"/>
                <w:szCs w:val="14"/>
                <w:b w:val="1"/>
                <w:bCs w:val="1"/>
                <w:color w:val="auto"/>
              </w:rPr>
              <w:t>Fair</w:t>
            </w:r>
          </w:p>
        </w:tc>
        <w:tc>
          <w:tcPr>
            <w:tcW w:w="15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center"/>
              <w:ind w:right="43"/>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214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color w:val="auto"/>
              </w:rPr>
              <w:t>Hedging Instruments</w:t>
            </w:r>
          </w:p>
        </w:tc>
        <w:tc>
          <w:tcPr>
            <w:tcW w:w="1660" w:type="dxa"/>
            <w:vAlign w:val="bottom"/>
            <w:shd w:val="clear" w:color="auto" w:fill="CCEEFF"/>
          </w:tcPr>
          <w:p>
            <w:pPr>
              <w:jc w:val="center"/>
              <w:ind w:left="66"/>
              <w:spacing w:after="0" w:line="158" w:lineRule="exact"/>
              <w:rPr>
                <w:sz w:val="20"/>
                <w:szCs w:val="20"/>
                <w:color w:val="auto"/>
              </w:rPr>
            </w:pPr>
            <w:r>
              <w:rPr>
                <w:rFonts w:ascii="Arial" w:cs="Arial" w:eastAsia="Arial" w:hAnsi="Arial"/>
                <w:sz w:val="14"/>
                <w:szCs w:val="14"/>
                <w:b w:val="1"/>
                <w:bCs w:val="1"/>
                <w:color w:val="auto"/>
                <w:w w:val="95"/>
              </w:rPr>
              <w:t>Location</w:t>
            </w:r>
          </w:p>
        </w:tc>
        <w:tc>
          <w:tcPr>
            <w:tcW w:w="760" w:type="dxa"/>
            <w:vAlign w:val="bottom"/>
            <w:shd w:val="clear" w:color="auto" w:fill="CCEEFF"/>
          </w:tcPr>
          <w:p>
            <w:pPr>
              <w:jc w:val="right"/>
              <w:ind w:right="86"/>
              <w:spacing w:after="0" w:line="158" w:lineRule="exact"/>
              <w:rPr>
                <w:sz w:val="20"/>
                <w:szCs w:val="20"/>
                <w:color w:val="auto"/>
              </w:rPr>
            </w:pPr>
            <w:r>
              <w:rPr>
                <w:rFonts w:ascii="Arial" w:cs="Arial" w:eastAsia="Arial" w:hAnsi="Arial"/>
                <w:sz w:val="14"/>
                <w:szCs w:val="14"/>
                <w:b w:val="1"/>
                <w:bCs w:val="1"/>
                <w:color w:val="auto"/>
              </w:rPr>
              <w:t>Value</w:t>
            </w:r>
          </w:p>
        </w:tc>
        <w:tc>
          <w:tcPr>
            <w:tcW w:w="158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92"/>
              </w:rPr>
              <w:t>Location</w:t>
            </w:r>
          </w:p>
        </w:tc>
        <w:tc>
          <w:tcPr>
            <w:tcW w:w="6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96"/>
              </w:rPr>
              <w:t>Value</w:t>
            </w:r>
          </w:p>
        </w:tc>
        <w:tc>
          <w:tcPr>
            <w:tcW w:w="1440" w:type="dxa"/>
            <w:vAlign w:val="bottom"/>
            <w:shd w:val="clear" w:color="auto" w:fill="CCEEFF"/>
          </w:tcPr>
          <w:p>
            <w:pPr>
              <w:jc w:val="center"/>
              <w:ind w:left="26"/>
              <w:spacing w:after="0" w:line="158" w:lineRule="exact"/>
              <w:rPr>
                <w:sz w:val="20"/>
                <w:szCs w:val="20"/>
                <w:color w:val="auto"/>
              </w:rPr>
            </w:pPr>
            <w:r>
              <w:rPr>
                <w:rFonts w:ascii="Arial" w:cs="Arial" w:eastAsia="Arial" w:hAnsi="Arial"/>
                <w:sz w:val="14"/>
                <w:szCs w:val="14"/>
                <w:b w:val="1"/>
                <w:bCs w:val="1"/>
                <w:color w:val="auto"/>
                <w:w w:val="92"/>
              </w:rPr>
              <w:t>Location</w:t>
            </w:r>
          </w:p>
        </w:tc>
        <w:tc>
          <w:tcPr>
            <w:tcW w:w="780" w:type="dxa"/>
            <w:vAlign w:val="bottom"/>
            <w:shd w:val="clear" w:color="auto" w:fill="CCEEFF"/>
          </w:tcPr>
          <w:p>
            <w:pPr>
              <w:jc w:val="center"/>
              <w:ind w:left="6"/>
              <w:spacing w:after="0" w:line="158" w:lineRule="exact"/>
              <w:rPr>
                <w:sz w:val="20"/>
                <w:szCs w:val="20"/>
                <w:color w:val="auto"/>
              </w:rPr>
            </w:pPr>
            <w:r>
              <w:rPr>
                <w:rFonts w:ascii="Arial" w:cs="Arial" w:eastAsia="Arial" w:hAnsi="Arial"/>
                <w:sz w:val="14"/>
                <w:szCs w:val="14"/>
                <w:b w:val="1"/>
                <w:bCs w:val="1"/>
                <w:color w:val="auto"/>
                <w:w w:val="90"/>
              </w:rPr>
              <w:t>Value</w:t>
            </w:r>
          </w:p>
        </w:tc>
        <w:tc>
          <w:tcPr>
            <w:tcW w:w="15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95"/>
              </w:rPr>
              <w:t>Location</w:t>
            </w:r>
          </w:p>
        </w:tc>
        <w:tc>
          <w:tcPr>
            <w:tcW w:w="60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5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17"/>
        </w:trPr>
        <w:tc>
          <w:tcPr>
            <w:tcW w:w="2140" w:type="dxa"/>
            <w:vAlign w:val="bottom"/>
            <w:gridSpan w:val="3"/>
          </w:tcPr>
          <w:p>
            <w:pPr>
              <w:ind w:left="40"/>
              <w:spacing w:after="0"/>
              <w:rPr>
                <w:sz w:val="20"/>
                <w:szCs w:val="20"/>
                <w:color w:val="auto"/>
              </w:rPr>
            </w:pPr>
            <w:r>
              <w:rPr>
                <w:rFonts w:ascii="Arial" w:cs="Arial" w:eastAsia="Arial" w:hAnsi="Arial"/>
                <w:sz w:val="16"/>
                <w:szCs w:val="16"/>
                <w:color w:val="auto"/>
              </w:rPr>
              <w:t>Foreign exchange contracts</w:t>
            </w:r>
          </w:p>
        </w:tc>
        <w:tc>
          <w:tcPr>
            <w:tcW w:w="1660" w:type="dxa"/>
            <w:vAlign w:val="bottom"/>
          </w:tcPr>
          <w:p>
            <w:pPr>
              <w:jc w:val="center"/>
              <w:ind w:left="66"/>
              <w:spacing w:after="0"/>
              <w:rPr>
                <w:sz w:val="20"/>
                <w:szCs w:val="20"/>
                <w:color w:val="auto"/>
              </w:rPr>
            </w:pPr>
            <w:r>
              <w:rPr>
                <w:rFonts w:ascii="Arial" w:cs="Arial" w:eastAsia="Arial" w:hAnsi="Arial"/>
                <w:sz w:val="16"/>
                <w:szCs w:val="16"/>
                <w:color w:val="auto"/>
                <w:w w:val="88"/>
              </w:rPr>
              <w:t>Other current assets</w:t>
            </w:r>
          </w:p>
        </w:tc>
        <w:tc>
          <w:tcPr>
            <w:tcW w:w="760" w:type="dxa"/>
            <w:vAlign w:val="bottom"/>
          </w:tcPr>
          <w:p>
            <w:pPr>
              <w:jc w:val="right"/>
              <w:ind w:right="86"/>
              <w:spacing w:after="0"/>
              <w:rPr>
                <w:sz w:val="20"/>
                <w:szCs w:val="20"/>
                <w:color w:val="auto"/>
              </w:rPr>
            </w:pPr>
            <w:r>
              <w:rPr>
                <w:rFonts w:ascii="Arial" w:cs="Arial" w:eastAsia="Arial" w:hAnsi="Arial"/>
                <w:sz w:val="16"/>
                <w:szCs w:val="16"/>
                <w:color w:val="auto"/>
              </w:rPr>
              <w:t>$   —</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Other current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03"/>
              <w:spacing w:after="0"/>
              <w:rPr>
                <w:sz w:val="20"/>
                <w:szCs w:val="20"/>
                <w:color w:val="auto"/>
              </w:rPr>
            </w:pPr>
            <w:r>
              <w:rPr>
                <w:rFonts w:ascii="Arial" w:cs="Arial" w:eastAsia="Arial" w:hAnsi="Arial"/>
                <w:sz w:val="16"/>
                <w:szCs w:val="16"/>
                <w:color w:val="auto"/>
              </w:rPr>
              <w:t>7</w:t>
            </w:r>
          </w:p>
        </w:tc>
        <w:tc>
          <w:tcPr>
            <w:tcW w:w="1440" w:type="dxa"/>
            <w:vAlign w:val="bottom"/>
          </w:tcPr>
          <w:p>
            <w:pPr>
              <w:jc w:val="center"/>
              <w:ind w:left="26"/>
              <w:spacing w:after="0"/>
              <w:rPr>
                <w:sz w:val="20"/>
                <w:szCs w:val="20"/>
                <w:color w:val="auto"/>
              </w:rPr>
            </w:pPr>
            <w:r>
              <w:rPr>
                <w:rFonts w:ascii="Arial" w:cs="Arial" w:eastAsia="Arial" w:hAnsi="Arial"/>
                <w:sz w:val="16"/>
                <w:szCs w:val="16"/>
                <w:color w:val="auto"/>
                <w:w w:val="89"/>
              </w:rPr>
              <w:t>Accrued expenses</w:t>
            </w:r>
          </w:p>
        </w:tc>
        <w:tc>
          <w:tcPr>
            <w:tcW w:w="780" w:type="dxa"/>
            <w:vAlign w:val="bottom"/>
          </w:tcPr>
          <w:p>
            <w:pPr>
              <w:jc w:val="right"/>
              <w:ind w:right="106"/>
              <w:spacing w:after="0"/>
              <w:rPr>
                <w:sz w:val="20"/>
                <w:szCs w:val="20"/>
                <w:color w:val="auto"/>
              </w:rPr>
            </w:pPr>
            <w:r>
              <w:rPr>
                <w:rFonts w:ascii="Arial" w:cs="Arial" w:eastAsia="Arial" w:hAnsi="Arial"/>
                <w:sz w:val="16"/>
                <w:szCs w:val="16"/>
                <w:color w:val="auto"/>
              </w:rPr>
              <w:t>$  45</w:t>
            </w:r>
          </w:p>
        </w:tc>
        <w:tc>
          <w:tcPr>
            <w:tcW w:w="1540" w:type="dxa"/>
            <w:vAlign w:val="bottom"/>
          </w:tcPr>
          <w:p>
            <w:pPr>
              <w:jc w:val="center"/>
              <w:spacing w:after="0"/>
              <w:rPr>
                <w:sz w:val="20"/>
                <w:szCs w:val="20"/>
                <w:color w:val="auto"/>
              </w:rPr>
            </w:pPr>
            <w:r>
              <w:rPr>
                <w:rFonts w:ascii="Arial" w:cs="Arial" w:eastAsia="Arial" w:hAnsi="Arial"/>
                <w:sz w:val="16"/>
                <w:szCs w:val="16"/>
                <w:color w:val="auto"/>
                <w:w w:val="88"/>
              </w:rPr>
              <w:t>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2</w:t>
            </w: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January 2, 2015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Net Amounts of Assets</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5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0" w:type="dxa"/>
            <w:vAlign w:val="bottom"/>
          </w:tcPr>
          <w:p>
            <w:pPr>
              <w:spacing w:after="0"/>
              <w:rPr>
                <w:sz w:val="1"/>
                <w:szCs w:val="1"/>
                <w:color w:val="auto"/>
              </w:rPr>
            </w:pPr>
          </w:p>
        </w:tc>
      </w:tr>
      <w:tr>
        <w:trPr>
          <w:trHeight w:val="68"/>
        </w:trPr>
        <w:tc>
          <w:tcPr>
            <w:tcW w:w="38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3040" w:type="dxa"/>
            <w:vAlign w:val="bottom"/>
          </w:tcPr>
          <w:p>
            <w:pPr>
              <w:spacing w:after="0"/>
              <w:rPr>
                <w:sz w:val="5"/>
                <w:szCs w:val="5"/>
                <w:color w:val="auto"/>
              </w:rPr>
            </w:pPr>
          </w:p>
        </w:tc>
        <w:tc>
          <w:tcPr>
            <w:tcW w:w="13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Recognized Assets</w:t>
            </w:r>
          </w:p>
        </w:tc>
        <w:tc>
          <w:tcPr>
            <w:tcW w:w="14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Offset in the Balance</w:t>
            </w: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the Balance Sheet</w:t>
            </w:r>
          </w:p>
        </w:tc>
        <w:tc>
          <w:tcPr>
            <w:tcW w:w="0" w:type="dxa"/>
            <w:vAlign w:val="bottom"/>
          </w:tcPr>
          <w:p>
            <w:pPr>
              <w:spacing w:after="0"/>
              <w:rPr>
                <w:sz w:val="1"/>
                <w:szCs w:val="1"/>
                <w:color w:val="auto"/>
              </w:rPr>
            </w:pPr>
          </w:p>
        </w:tc>
      </w:tr>
      <w:tr>
        <w:trPr>
          <w:trHeight w:val="105"/>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(Liabilities)</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Foreign exchange contracts</w:t>
            </w:r>
          </w:p>
        </w:tc>
        <w:tc>
          <w:tcPr>
            <w:tcW w:w="3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assets</w:t>
            </w:r>
          </w:p>
        </w:tc>
        <w:tc>
          <w:tcPr>
            <w:tcW w:w="3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June 27, 2014 (in millions):</w:t>
      </w:r>
    </w:p>
    <w:p>
      <w:pPr>
        <w:sectPr>
          <w:pgSz w:w="11900" w:h="16838" w:orient="portrait"/>
          <w:cols w:equalWidth="0" w:num="1">
            <w:col w:w="11420"/>
          </w:cols>
          <w:pgMar w:left="240" w:top="125" w:right="239" w:bottom="1440" w:gutter="0" w:footer="0" w:header="0"/>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0" w:type="dxa"/>
            <w:vAlign w:val="bottom"/>
          </w:tcPr>
          <w:p>
            <w:pPr>
              <w:spacing w:after="0"/>
              <w:rPr>
                <w:sz w:val="1"/>
                <w:szCs w:val="1"/>
                <w:color w:val="auto"/>
              </w:rPr>
            </w:pPr>
          </w:p>
        </w:tc>
      </w:tr>
      <w:tr>
        <w:trPr>
          <w:trHeight w:val="149"/>
        </w:trPr>
        <w:tc>
          <w:tcPr>
            <w:tcW w:w="6860" w:type="dxa"/>
            <w:vAlign w:val="bottom"/>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Recognized Assets</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(Liabilities)</w:t>
            </w:r>
          </w:p>
        </w:tc>
        <w:tc>
          <w:tcPr>
            <w:tcW w:w="0" w:type="dxa"/>
            <w:vAlign w:val="bottom"/>
          </w:tcPr>
          <w:p>
            <w:pPr>
              <w:spacing w:after="0"/>
              <w:rPr>
                <w:sz w:val="1"/>
                <w:szCs w:val="1"/>
                <w:color w:val="auto"/>
              </w:rPr>
            </w:pPr>
          </w:p>
        </w:tc>
      </w:tr>
      <w:tr>
        <w:trPr>
          <w:trHeight w:val="223"/>
        </w:trPr>
        <w:tc>
          <w:tcPr>
            <w:tcW w:w="68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860" w:type="dxa"/>
            <w:vAlign w:val="bottom"/>
          </w:tcPr>
          <w:p>
            <w:pPr>
              <w:ind w:left="120"/>
              <w:spacing w:after="0"/>
              <w:rPr>
                <w:sz w:val="20"/>
                <w:szCs w:val="20"/>
                <w:color w:val="auto"/>
              </w:rPr>
            </w:pPr>
            <w:r>
              <w:rPr>
                <w:rFonts w:ascii="Arial" w:cs="Arial" w:eastAsia="Arial" w:hAnsi="Arial"/>
                <w:sz w:val="16"/>
                <w:szCs w:val="16"/>
                <w:color w:val="auto"/>
              </w:rPr>
              <w:t>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86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200"/>
              <w:spacing w:after="0"/>
              <w:rPr>
                <w:sz w:val="20"/>
                <w:szCs w:val="20"/>
                <w:color w:val="auto"/>
              </w:rPr>
            </w:pPr>
            <w:r>
              <w:rPr>
                <w:rFonts w:ascii="Arial" w:cs="Arial" w:eastAsia="Arial" w:hAnsi="Arial"/>
                <w:sz w:val="16"/>
                <w:szCs w:val="16"/>
                <w:color w:val="auto"/>
              </w:rPr>
              <w:t>Total derivative instruments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177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1771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88595"/>
                    </a:xfrm>
                    <a:prstGeom prst="rect">
                      <a:avLst/>
                    </a:prstGeom>
                    <a:noFill/>
                  </pic:spPr>
                </pic:pic>
              </a:graphicData>
            </a:graphic>
          </wp:anchor>
        </w:drawing>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on the condensed consolidated financial statements was as follows (in millions):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Net Amounts of Assets</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5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0" w:type="dxa"/>
            <w:vAlign w:val="bottom"/>
          </w:tcPr>
          <w:p>
            <w:pPr>
              <w:spacing w:after="0"/>
              <w:rPr>
                <w:sz w:val="1"/>
                <w:szCs w:val="1"/>
                <w:color w:val="auto"/>
              </w:rPr>
            </w:pPr>
          </w:p>
        </w:tc>
      </w:tr>
      <w:tr>
        <w:trPr>
          <w:trHeight w:val="68"/>
        </w:trPr>
        <w:tc>
          <w:tcPr>
            <w:tcW w:w="14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Offset in the Balance</w:t>
            </w: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the Balance Sheet</w:t>
            </w: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8080" w:space="120"/>
            <w:col w:w="32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0"/>
              </w:rPr>
              <w:t>Amount of Loss Recognized in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5"/>
              </w:rPr>
              <w:t>Accumulated OCI on Derivatives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w w:val="94"/>
              </w:rPr>
              <w:t>Three</w:t>
            </w:r>
          </w:p>
        </w:tc>
        <w:tc>
          <w:tcPr>
            <w:tcW w:w="128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w w:val="93"/>
              </w:rPr>
              <w:t>Six Months</w:t>
            </w:r>
          </w:p>
        </w:tc>
        <w:tc>
          <w:tcPr>
            <w:tcW w:w="10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4"/>
              </w:rPr>
              <w:t>Three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Months</w:t>
            </w:r>
          </w:p>
        </w:tc>
        <w:tc>
          <w:tcPr>
            <w:tcW w:w="1280" w:type="dxa"/>
            <w:vAlign w:val="bottom"/>
            <w:gridSpan w:val="2"/>
            <w:vMerge w:val="continue"/>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Months</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Ended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3"/>
        </w:trPr>
        <w:tc>
          <w:tcPr>
            <w:tcW w:w="1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Derivatives in Cash</w:t>
            </w:r>
          </w:p>
        </w:tc>
        <w:tc>
          <w:tcPr>
            <w:tcW w:w="204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January 2,</w:t>
            </w:r>
          </w:p>
        </w:tc>
        <w:tc>
          <w:tcPr>
            <w:tcW w:w="1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58"/>
        </w:trPr>
        <w:tc>
          <w:tcPr>
            <w:tcW w:w="1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9"/>
              </w:rPr>
              <w:t>Flow Hedging Relationships</w:t>
            </w:r>
          </w:p>
        </w:tc>
        <w:tc>
          <w:tcPr>
            <w:tcW w:w="760" w:type="dxa"/>
            <w:vAlign w:val="bottom"/>
          </w:tcPr>
          <w:p>
            <w:pPr>
              <w:spacing w:after="0"/>
              <w:rPr>
                <w:sz w:val="13"/>
                <w:szCs w:val="13"/>
                <w:color w:val="auto"/>
              </w:rPr>
            </w:pPr>
          </w:p>
        </w:tc>
        <w:tc>
          <w:tcPr>
            <w:tcW w:w="1160" w:type="dxa"/>
            <w:vAlign w:val="bottom"/>
          </w:tcPr>
          <w:p>
            <w:pPr>
              <w:jc w:val="right"/>
              <w:ind w:right="728"/>
              <w:spacing w:after="0" w:line="158"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880" w:type="dxa"/>
            <w:vAlign w:val="bottom"/>
            <w:gridSpan w:val="2"/>
          </w:tcPr>
          <w:p>
            <w:pPr>
              <w:jc w:val="right"/>
              <w:ind w:right="708"/>
              <w:spacing w:after="0" w:line="158"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1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09231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 of</w:t>
      </w:r>
    </w:p>
    <w:p>
      <w:pPr>
        <w:jc w:val="center"/>
        <w:spacing w:after="0" w:line="226" w:lineRule="auto"/>
        <w:rPr>
          <w:sz w:val="20"/>
          <w:szCs w:val="20"/>
          <w:color w:val="auto"/>
        </w:rPr>
      </w:pPr>
      <w:r>
        <w:rPr>
          <w:rFonts w:ascii="Arial" w:cs="Arial" w:eastAsia="Arial" w:hAnsi="Arial"/>
          <w:sz w:val="14"/>
          <w:szCs w:val="14"/>
          <w:b w:val="1"/>
          <w:bCs w:val="1"/>
          <w:color w:val="auto"/>
        </w:rPr>
        <w:t>(Gain) Loss</w:t>
      </w:r>
    </w:p>
    <w:p>
      <w:pPr>
        <w:jc w:val="center"/>
        <w:spacing w:after="0" w:line="222" w:lineRule="auto"/>
        <w:rPr>
          <w:sz w:val="20"/>
          <w:szCs w:val="20"/>
          <w:color w:val="auto"/>
        </w:rPr>
      </w:pPr>
      <w:r>
        <w:rPr>
          <w:rFonts w:ascii="Arial" w:cs="Arial" w:eastAsia="Arial" w:hAnsi="Arial"/>
          <w:sz w:val="14"/>
          <w:szCs w:val="14"/>
          <w:b w:val="1"/>
          <w:bCs w:val="1"/>
          <w:color w:val="auto"/>
        </w:rPr>
        <w:t>Reclassified</w:t>
      </w:r>
    </w:p>
    <w:p>
      <w:pPr>
        <w:jc w:val="center"/>
        <w:spacing w:after="0" w:line="221" w:lineRule="auto"/>
        <w:rPr>
          <w:sz w:val="20"/>
          <w:szCs w:val="20"/>
          <w:color w:val="auto"/>
        </w:rPr>
      </w:pPr>
      <w:r>
        <w:rPr>
          <w:rFonts w:ascii="Arial" w:cs="Arial" w:eastAsia="Arial" w:hAnsi="Arial"/>
          <w:sz w:val="14"/>
          <w:szCs w:val="14"/>
          <w:b w:val="1"/>
          <w:bCs w:val="1"/>
          <w:color w:val="auto"/>
        </w:rPr>
        <w:t>from</w:t>
      </w:r>
    </w:p>
    <w:p>
      <w:pPr>
        <w:jc w:val="center"/>
        <w:spacing w:after="0"/>
        <w:rPr>
          <w:sz w:val="20"/>
          <w:szCs w:val="20"/>
          <w:color w:val="auto"/>
        </w:rPr>
      </w:pPr>
      <w:r>
        <w:rPr>
          <w:rFonts w:ascii="Arial" w:cs="Arial" w:eastAsia="Arial" w:hAnsi="Arial"/>
          <w:sz w:val="13"/>
          <w:szCs w:val="13"/>
          <w:b w:val="1"/>
          <w:bCs w:val="1"/>
          <w:color w:val="auto"/>
        </w:rPr>
        <w:t>Accumulated</w:t>
      </w:r>
    </w:p>
    <w:p>
      <w:pPr>
        <w:jc w:val="center"/>
        <w:spacing w:after="0" w:line="221" w:lineRule="auto"/>
        <w:rPr>
          <w:sz w:val="20"/>
          <w:szCs w:val="20"/>
          <w:color w:val="auto"/>
        </w:rPr>
      </w:pPr>
      <w:r>
        <w:rPr>
          <w:rFonts w:ascii="Arial" w:cs="Arial" w:eastAsia="Arial" w:hAnsi="Arial"/>
          <w:sz w:val="14"/>
          <w:szCs w:val="14"/>
          <w:b w:val="1"/>
          <w:bCs w:val="1"/>
          <w:color w:val="auto"/>
        </w:rPr>
        <w:t>OCI into</w:t>
      </w:r>
    </w:p>
    <w:p>
      <w:pPr>
        <w:jc w:val="center"/>
        <w:spacing w:after="0"/>
        <w:rPr>
          <w:sz w:val="20"/>
          <w:szCs w:val="20"/>
          <w:color w:val="auto"/>
        </w:rPr>
      </w:pPr>
      <w:r>
        <w:rPr>
          <w:rFonts w:ascii="Arial" w:cs="Arial" w:eastAsia="Arial" w:hAnsi="Arial"/>
          <w:sz w:val="14"/>
          <w:szCs w:val="14"/>
          <w:b w:val="1"/>
          <w:bCs w:val="1"/>
          <w:color w:val="auto"/>
        </w:rPr>
        <w:t>Income</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4"/>
          <w:szCs w:val="14"/>
          <w:b w:val="1"/>
          <w:bCs w:val="1"/>
          <w:color w:val="auto"/>
        </w:rPr>
        <w:t>Amount of (Gain) Loss Reclassified</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From Accumulated 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Three</w:t>
            </w:r>
          </w:p>
        </w:tc>
        <w:tc>
          <w:tcPr>
            <w:tcW w:w="124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Three</w:t>
            </w:r>
          </w:p>
        </w:tc>
        <w:tc>
          <w:tcPr>
            <w:tcW w:w="114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7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Months</w:t>
            </w:r>
          </w:p>
        </w:tc>
        <w:tc>
          <w:tcPr>
            <w:tcW w:w="1240" w:type="dxa"/>
            <w:vAlign w:val="bottom"/>
            <w:gridSpan w:val="2"/>
            <w:vMerge w:val="continue"/>
          </w:tcPr>
          <w:p>
            <w:pPr>
              <w:spacing w:after="0"/>
              <w:rPr>
                <w:sz w:val="12"/>
                <w:szCs w:val="12"/>
                <w:color w:val="auto"/>
              </w:rPr>
            </w:pPr>
          </w:p>
        </w:tc>
        <w:tc>
          <w:tcPr>
            <w:tcW w:w="7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Months</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2"/>
        </w:trPr>
        <w:tc>
          <w:tcPr>
            <w:tcW w:w="20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January 2,</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140" w:type="dxa"/>
            <w:vAlign w:val="bottom"/>
          </w:tcPr>
          <w:p>
            <w:pPr>
              <w:jc w:val="right"/>
              <w:ind w:right="7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72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3">
            <w:col w:w="5840" w:space="320"/>
            <w:col w:w="820" w:space="300"/>
            <w:col w:w="4140"/>
          </w:cols>
          <w:pgMar w:left="240" w:top="125" w:right="239" w:bottom="1440" w:gutter="0" w:footer="0" w:header="0"/>
          <w:type w:val="continuous"/>
        </w:sectPr>
      </w:pPr>
    </w:p>
    <w:p>
      <w:pPr>
        <w:ind w:left="40"/>
        <w:spacing w:after="0"/>
        <w:tabs>
          <w:tab w:leader="none" w:pos="2460" w:val="left"/>
          <w:tab w:leader="none" w:pos="2960" w:val="left"/>
          <w:tab w:leader="none" w:pos="3480" w:val="left"/>
          <w:tab w:leader="none" w:pos="3960" w:val="left"/>
          <w:tab w:leader="none" w:pos="4540" w:val="left"/>
          <w:tab w:leader="none" w:pos="4960" w:val="left"/>
          <w:tab w:leader="none" w:pos="5480" w:val="left"/>
          <w:tab w:leader="none" w:pos="6040" w:val="left"/>
          <w:tab w:leader="none" w:pos="7300" w:val="left"/>
          <w:tab w:leader="none" w:pos="7820" w:val="left"/>
          <w:tab w:leader="none" w:pos="8300" w:val="left"/>
          <w:tab w:leader="none" w:pos="8820" w:val="left"/>
          <w:tab w:leader="none" w:pos="9300" w:val="left"/>
          <w:tab w:leader="none" w:pos="9860" w:val="left"/>
          <w:tab w:leader="none" w:pos="10300" w:val="left"/>
          <w:tab w:leader="none" w:pos="10960" w:val="left"/>
        </w:tabs>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w:t>
        <w:tab/>
        <w:t>$</w:t>
      </w:r>
      <w:r>
        <w:rPr>
          <w:sz w:val="20"/>
          <w:szCs w:val="20"/>
          <w:color w:val="auto"/>
        </w:rPr>
        <w:tab/>
      </w:r>
      <w:r>
        <w:rPr>
          <w:rFonts w:ascii="Arial" w:cs="Arial" w:eastAsia="Arial" w:hAnsi="Arial"/>
          <w:sz w:val="18"/>
          <w:szCs w:val="18"/>
          <w:color w:val="auto"/>
        </w:rPr>
        <w:t>(57)</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Cost of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tab/>
        <w:t>$</w:t>
      </w:r>
      <w:r>
        <w:rPr>
          <w:sz w:val="20"/>
          <w:szCs w:val="20"/>
          <w:color w:val="auto"/>
        </w:rPr>
        <w:tab/>
      </w:r>
      <w:r>
        <w:rPr>
          <w:rFonts w:ascii="Arial" w:cs="Arial" w:eastAsia="Arial" w:hAnsi="Arial"/>
          <w:sz w:val="18"/>
          <w:szCs w:val="18"/>
          <w:color w:val="auto"/>
        </w:rPr>
        <w:t>(13)</w:t>
        <w:tab/>
        <w:t>$</w:t>
      </w:r>
      <w:r>
        <w:rPr>
          <w:sz w:val="20"/>
          <w:szCs w:val="20"/>
          <w:color w:val="auto"/>
        </w:rPr>
        <w:tab/>
      </w:r>
      <w:r>
        <w:rPr>
          <w:rFonts w:ascii="Arial" w:cs="Arial" w:eastAsia="Arial" w:hAnsi="Arial"/>
          <w:sz w:val="18"/>
          <w:szCs w:val="18"/>
          <w:color w:val="auto"/>
        </w:rPr>
        <w:t>30</w:t>
        <w:tab/>
        <w:t>$</w:t>
      </w:r>
      <w:r>
        <w:rPr>
          <w:sz w:val="20"/>
          <w:szCs w:val="20"/>
          <w:color w:val="auto"/>
        </w:rPr>
        <w:tab/>
      </w:r>
      <w:r>
        <w:rPr>
          <w:rFonts w:ascii="Arial" w:cs="Arial" w:eastAsia="Arial" w:hAnsi="Arial"/>
          <w:sz w:val="14"/>
          <w:szCs w:val="14"/>
          <w:color w:val="auto"/>
        </w:rPr>
        <w:t>3</w:t>
      </w:r>
    </w:p>
    <w:p>
      <w:pPr>
        <w:spacing w:after="0" w:line="20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condensed consolidated financial statements during the three and six months ended January 2, 2015 and December 27,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During the three and six months ended January 2, 2015, the Company recognized in expense $18 million and $37 million, respectively, for stock-based compensation related to the vesting of options issued under the Company’s stock plans and the ESPP, as compared to $24 million and $45 million in the respective prior-year periods. The tax benefit realized as a result of the aforementioned stock-based compensation expense was $7 million and $12 million in the three and six months ended January 2, 2015, respectively, as compared to $6 million and $11 million in the three and six months ended December 27, 2013, respectively. As of January 2, 2015, total compensation cost related to unvested stock options and ESPP rights issued to employees but not yet recognized was $129 million and will be amortized on a straight-line basis over a weighted average service period of approximately 2.2 years.</w:t>
      </w:r>
    </w:p>
    <w:p>
      <w:pPr>
        <w:spacing w:after="0" w:line="11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During the three and six months ended January 2, 2015, the Company recognized in expense $23 million and $43 million, respectively, for stock-based compensation related to the vesting of awards of RSUs issued under the Company's stock plans, as compared to $18 million and $39 million in the respective prior-year periods. The tax benefit realized as a result of the aforementioned stock-based compensation expense was $6 million and $11 million in the three and six months ended January 2, 2015, respectively, as compared to $5 million and $9 million in the three and six months ended December 27, 2013, respectively. As of January 2, 2015, the aggregate unamortized fair value of all unvested RSUs was $157 million, which will be recognized on a straight-line basis over a weighted average vesting period of approximately 1.7 years. RSUs include performance stock unit awards (“PSUs”). The effect of PSUs was immaterial to the condensed consolidated financial statements in the three and six months ended January 2, 2015 and December 27, 2013.</w:t>
      </w:r>
    </w:p>
    <w:p>
      <w:pPr>
        <w:spacing w:after="0" w:line="11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the three and six months ended January 2, 2015, the Company recognized in expense $8 million and $12 million, respectively, related to adjustments to market value as well as the vesting of stock appreciation rights (“SARs”), as compared to $20 million and $24 million in the respective prior-year periods. The tax benefit realized as a result of the aforementioned SARs expense was $2 million and $3 million in the three and six months ended January 2, 2015, respectively, as compared to $4 million and $5 million in the three and six months ended December 27, 2013, respectively. The SARs will be settled in cash upon exercise. As a result, the Company had a total liability of $63 million related to SARs included in accrued expenses in the condensed consolidated balance sheet as of January 2, 2015. As of January 2, 2015, total compensation cost related to unvested SARs issued to employees but not yet recognized was not material to the Company's consolidated statement of income.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summarizes stock option activity under the Company’s stock option plans (in millions, except per share amounts and remaining contractual lives):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460"/>
              <w:spacing w:after="0" w:line="149" w:lineRule="exact"/>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460"/>
              <w:spacing w:after="0" w:line="149" w:lineRule="exact"/>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460"/>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June 27, 2014</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31.04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at October 3, 2014</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45.16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Canceled or expired</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32.53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2, 2015</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Exercisable at January 2, 2015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940" w:type="dxa"/>
            <w:vAlign w:val="bottom"/>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32.98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Vested and expected to vest after January 2, 2015</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an option has an exercise price that is less than the quoted price of the Company’s common stock at the particular time, the aggregate intrinsic value of that option at that time is calculated based on the difference between the exercise price of the underlying options and the quoted price of the Company’s common stock at that time. As of January 2, 2015, the Company had options outstanding to purchase an aggregate of 8.8 million shares with an exercise price below the quoted price of the Company’s stock on that date resulting in an aggregate intrinsic value of $564 million at that date. During the three and six months ended January 2, 2015, the aggregate intrinsic value of options exercised under the Company’s stock option plans was $76 million and $163 million, respectively, determined as of the date of exercise, as compared to $80 million and $107 million in the respective prior-year periods.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Activity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RSU activity under the Company's stock plans (in millions, except weighted average grant date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260" w:type="dxa"/>
            <w:vAlign w:val="bottom"/>
            <w:tcBorders>
              <w:bottom w:val="single" w:sz="8" w:color="CCEEFF"/>
            </w:tcBorders>
          </w:tcPr>
          <w:p>
            <w:pPr>
              <w:spacing w:after="0"/>
              <w:rPr>
                <w:sz w:val="16"/>
                <w:szCs w:val="16"/>
                <w:color w:val="auto"/>
              </w:rPr>
            </w:pPr>
          </w:p>
        </w:tc>
        <w:tc>
          <w:tcPr>
            <w:tcW w:w="71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7"/>
              </w:rPr>
              <w:t>of Shares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June 27, 2014</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 outstanding at October 3, 2014</w:t>
            </w: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January 2, 2015</w:t>
            </w:r>
          </w:p>
        </w:tc>
        <w:tc>
          <w:tcPr>
            <w:tcW w:w="1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Expected to vest after January 2, 2015</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2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Shares granted were immaterial for rounding purposes.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fair value of each RSU is the market price of the Company’s stock at the date of grant. RSUs are generally payable in an equal number of shares of the Company’s common stock at the time of vesting of the units. The grant-date fair value of the shares underlying the RSU awards at the date of grant was $3 million and $116 million in the three and six months ended January 2, 2015, respectively. These amounts are being recognized to expense over the corresponding vesting periods. The Company has assumed a forfeiture rate of 4.3% and 4.4% for the three and six months ended January 2, 2015, respectively, based on a historical analysis indicating forfeitures for these types of awards.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9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share-based compensation liability for SARs is recognized for the portion of fair value for which service has been rendered at the reporting date. The share-based liability is remeasured at each reporting date, using a binomial option-pricing model, through the requisite service period. As of January 2, 2015, 0.6 million SARs were outstanding with a weighted average exercise price of $8.11. There were no SARs granted and all other SARs activity was immaterial to the condensed consolidated financial statements for the three and six months ended January 2, 2015.</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Binomial Model</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The fair value of stock options granted was estimated using the following weighted average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120" w:type="dxa"/>
            <w:vAlign w:val="bottom"/>
          </w:tcPr>
          <w:p>
            <w:pPr>
              <w:spacing w:after="0"/>
              <w:rPr>
                <w:sz w:val="13"/>
                <w:szCs w:val="13"/>
                <w:color w:val="auto"/>
              </w:rPr>
            </w:pPr>
          </w:p>
        </w:tc>
        <w:tc>
          <w:tcPr>
            <w:tcW w:w="20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January 2,</w:t>
            </w:r>
          </w:p>
        </w:tc>
        <w:tc>
          <w:tcPr>
            <w:tcW w:w="1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January 2,</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27,</w:t>
            </w:r>
          </w:p>
        </w:tc>
      </w:tr>
      <w:tr>
        <w:trPr>
          <w:trHeight w:val="192"/>
        </w:trPr>
        <w:tc>
          <w:tcPr>
            <w:tcW w:w="4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Suboptimal exercise factor</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2.06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Range of risk-free interest rates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0.25% to 1.92%</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0.12% to 2.44%</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0.11% to 2.16%</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0.10% to 2.44%</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expected stock price volatility</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0.23 to 0.46</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0.29 to 0.49</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0.23 to 0.47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0.29 to 0.50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expected volatility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0.35</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0.41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0.36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0.43</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Post-vesting termination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7"/>
              </w:rPr>
              <w:t>1.45%</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1.68%</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1.58%</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$31.96</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$25.29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$32.29</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$24.03</w:t>
            </w:r>
          </w:p>
        </w:tc>
      </w:tr>
      <w:tr>
        <w:trPr>
          <w:trHeight w:val="27"/>
        </w:trPr>
        <w:tc>
          <w:tcPr>
            <w:tcW w:w="4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weighted average expected term of the Company’s stock options granted during the three and six months ended January 2, 2015 was 6.0 years and 5.8 years, respectively, compared to 5.4 years and 5.0 years in the respective prior-year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Black-Scholes-Merton Model</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current ESPP are granted on either June 1 or December 1 of each year. ESPP activity was immaterial to the condensed consolidated financial statements for the three and six months ended January 2, 2015 and December 27,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Since May 21, 2012, the Company's Board of Directors has authorized $3.0 billion for the repurchase of its common stock. The Company repurchased 3.2 million and 5.4 million shares for a total cost of $309 million and $532 million during the three and six months ended January 2, 2015. The remaining amount available to be purchased under the Company’s stock repurchase program as of January 2, 2015 was $622 million. On February 3, 2015, the Company's Board of Directors authorized an additional $2.0 billion for the repurchase of its common stock and approved the extension of its stock repurchase program to February 3, 2020, resulting in a cumulative authorized repurchase amount of $5.0 billion since the inception of the repurchase program. The Company may continue to repurchase its stock as it deems appropriate and market conditions allow. Repurchases under the stock repurchase program may be made in the open market or in privately negotiated transactions and may be made under a Rule 10b5-1 plan. The Company expects stock repurchases to be funded principally by operating cash flows and borrowings under the Company's Credit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9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On September 13, 2012, the Company announced that its Board of Directors had authorized the adoption of a quarterly cash dividend policy. Under the cash dividend policy, holders of the Company’s common stock receive dividends when and as declared by the Company’s Board of Directors. In the three months ended January 2, 2015, the Company declared a cash dividend of $0.40 per share of the Company’s common stock to shareholders of record as of January 2, 2015, totaling $93 million, which was paid on January 15, 2015. In addition, in the three months ended October 3, 2014, the Company declared a cash dividend of $0.40 per share of the Company’s common stock to shareholders of record as of October 3, 2014, totaling $94 million, which was paid on October 15, 2014. On February 3, 2015, the Company declared a cash dividend of $0.50 per share of the Company's common stock to shareholders of record as of April 3, 2015, which will be paid on April 16, 2015. The Company may modify, suspend or cancel its cash dividend policy in any manner and at any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Pensions and Other Post-retirement Benefit Plans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principal pension and other post-retirement benefit plans are in Japan. All pension and other post-retirement benefit plans outside of the Company’s Japanese plans were immaterial to the Company’s condensed consolidated financial statements for the three and six months ended January 2, 2015 and December 27, 2013. The expected long-term rate of return on the Japanese plan assets is 3.5%.</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unfunded status of the benefit obligations and Japanese plan assets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January 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37"/>
              <w:spacing w:after="0"/>
              <w:rPr>
                <w:sz w:val="20"/>
                <w:szCs w:val="20"/>
                <w:color w:val="auto"/>
              </w:rPr>
            </w:pPr>
            <w:r>
              <w:rPr>
                <w:rFonts w:ascii="Arial" w:cs="Arial" w:eastAsia="Arial" w:hAnsi="Arial"/>
                <w:sz w:val="14"/>
                <w:szCs w:val="14"/>
                <w:b w:val="1"/>
                <w:bCs w:val="1"/>
                <w:color w:val="auto"/>
              </w:rPr>
              <w:t>June 27,</w:t>
            </w:r>
          </w:p>
        </w:tc>
      </w:tr>
      <w:tr>
        <w:trPr>
          <w:trHeight w:val="192"/>
        </w:trPr>
        <w:tc>
          <w:tcPr>
            <w:tcW w:w="79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status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unfunded amounts as recognized on the Company’s condensed consolidated balance sheets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00" w:type="dxa"/>
            <w:vAlign w:val="bottom"/>
          </w:tcPr>
          <w:p>
            <w:pPr>
              <w:jc w:val="right"/>
              <w:ind w:right="59"/>
              <w:spacing w:after="0"/>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37"/>
              <w:spacing w:after="0"/>
              <w:rPr>
                <w:sz w:val="20"/>
                <w:szCs w:val="20"/>
                <w:color w:val="auto"/>
              </w:rPr>
            </w:pPr>
            <w:r>
              <w:rPr>
                <w:rFonts w:ascii="Arial" w:cs="Arial" w:eastAsia="Arial" w:hAnsi="Arial"/>
                <w:sz w:val="14"/>
                <w:szCs w:val="14"/>
                <w:b w:val="1"/>
                <w:bCs w:val="1"/>
                <w:color w:val="auto"/>
              </w:rPr>
              <w:t>June 27,</w:t>
            </w:r>
          </w:p>
        </w:tc>
      </w:tr>
      <w:tr>
        <w:trPr>
          <w:trHeight w:val="192"/>
        </w:trPr>
        <w:tc>
          <w:tcPr>
            <w:tcW w:w="79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63</w:t>
            </w:r>
          </w:p>
        </w:tc>
      </w:tr>
      <w:tr>
        <w:trPr>
          <w:trHeight w:val="27"/>
        </w:trPr>
        <w:tc>
          <w:tcPr>
            <w:tcW w:w="7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net periodic benefit cost of the Company’s pension plans was not material to the condensed consolidated financial statements for the three and six months ended January 2, 2015 and December 27, 2013. The Company’s expected employer contribution for its Japanese defined benefit pension plans is $11 million in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75"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condensed consolidated financial statements include the results of operations of acquired companies commencing after their respective acquisition dates. Disclosed below are those acquisitions which have a significant impact to these condensed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Virident</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17, 2013, the Company acquired Virident, a provider of server-side flash storage solutions for virtualization, database, cloud computing and webscale applications. As a result of the acquisition, Virident has been fully integrated into the Company's HGST subsidiary and became a wholly-owned indirect subsidiary of the Company. The acquisition furthered HGST's strategy to address the rapidly changing needs of enterprise customers by delivering intelligent storage solutions that maximize application performance by leveraging the tightly coupled server, storage and network resources of today’s converged datacenter infrastructures.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values assigned to the acquired assets and liabilities were finalized during the three months ended June 27, 2014, and the final purchase price allocation for Virident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37"/>
        </w:trPr>
        <w:tc>
          <w:tcPr>
            <w:tcW w:w="972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9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sTec</w:t>
      </w:r>
    </w:p>
    <w:p>
      <w:pPr>
        <w:spacing w:after="0" w:line="171"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September 12, 2013, the Company completed its acquisition of sTec, a provider of enterprise solid-state drives. As a result of the acquisition, sTec has been fully integrated into the Company's HGST subsidiary and became a wholly-owned indirect subsidiary of the Company. The acquisition augmented HGST's existing solid-state storage capabilities.</w:t>
      </w:r>
    </w:p>
    <w:p>
      <w:pPr>
        <w:spacing w:after="0" w:line="12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values assigned to the acquired assets and liabilities were finalized during the three months ended October 3, 2014, and the final purchase price allocation for sTec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37"/>
        </w:trPr>
        <w:tc>
          <w:tcPr>
            <w:tcW w:w="972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9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Termination, Asset Impairment and Other Charges</w:t>
      </w:r>
    </w:p>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periodically incurs charges to realign its operations with anticipated market demand. The following table summarizes the Company's employee termination, asset impairment and other charges over fiscal year 2015 (in millions):</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20" w:type="dxa"/>
            <w:vAlign w:val="bottom"/>
          </w:tcPr>
          <w:p>
            <w:pPr>
              <w:jc w:val="center"/>
              <w:ind w:left="379"/>
              <w:spacing w:after="0"/>
              <w:rPr>
                <w:sz w:val="20"/>
                <w:szCs w:val="20"/>
                <w:color w:val="auto"/>
              </w:rPr>
            </w:pPr>
            <w:r>
              <w:rPr>
                <w:rFonts w:ascii="Arial" w:cs="Arial" w:eastAsia="Arial" w:hAnsi="Arial"/>
                <w:sz w:val="14"/>
                <w:szCs w:val="14"/>
                <w:b w:val="1"/>
                <w:bCs w:val="1"/>
                <w:color w:val="auto"/>
                <w:w w:val="90"/>
              </w:rPr>
              <w:t>Employee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Impairment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62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w w:val="94"/>
              </w:rPr>
              <w:t>Termination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86"/>
              </w:rPr>
              <w:t>Benefits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of 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Accrual at June 27, 2014</w:t>
            </w:r>
          </w:p>
        </w:tc>
        <w:tc>
          <w:tcPr>
            <w:tcW w:w="162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Charges</w:t>
            </w:r>
          </w:p>
        </w:tc>
        <w:tc>
          <w:tcPr>
            <w:tcW w:w="16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charges</w:t>
            </w:r>
          </w:p>
        </w:tc>
        <w:tc>
          <w:tcPr>
            <w:tcW w:w="16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Accrual at October 3, 2014</w:t>
            </w:r>
          </w:p>
        </w:tc>
        <w:tc>
          <w:tcPr>
            <w:tcW w:w="1620" w:type="dxa"/>
            <w:vAlign w:val="bottom"/>
            <w:tcBorders>
              <w:top w:val="single" w:sz="8" w:color="auto"/>
            </w:tcBorders>
          </w:tcPr>
          <w:p>
            <w:pPr>
              <w:jc w:val="right"/>
              <w:ind w:right="14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9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Cash payments</w:t>
            </w: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charges</w:t>
            </w:r>
          </w:p>
        </w:tc>
        <w:tc>
          <w:tcPr>
            <w:tcW w:w="16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Accrual at January 2, 2015</w:t>
            </w:r>
          </w:p>
        </w:tc>
        <w:tc>
          <w:tcPr>
            <w:tcW w:w="1620" w:type="dxa"/>
            <w:vAlign w:val="bottom"/>
            <w:tcBorders>
              <w:top w:val="single" w:sz="8" w:color="auto"/>
            </w:tcBorders>
          </w:tcPr>
          <w:p>
            <w:pPr>
              <w:jc w:val="right"/>
              <w:ind w:right="14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9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Thailand Flooding</w:t>
      </w:r>
    </w:p>
    <w:p>
      <w:pPr>
        <w:spacing w:after="0" w:line="9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October 2011, severe flooding in Thailand inundated all of the Company’s Thailand manufacturing facilities and submerged certain equipment located there. The Company maintains insurance coverage that provides property and business interruption coverage in the event of losses arising from flooding. As a result, the Company received a total of $50 million of insurance recoveries, of which $13 million was received previously and $37 million was received in the three months ended January 2, 2015 and recorded within the "Selling, general and administrative" line item on the Company's condensed consolidated statements of income. As a result, all claims submitted by the Company to its insurers have been closed as of January 2,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 Accounting Pronouncements</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July 2013, the Financial Accounting Standards Board ("FASB") issued Accounting Standards Update ("ASU") 2013-11, "Income Taxes (Topic 740): Presentation of an Unrecognized Tax Benefit When a Net Operating Loss Carryforward, a Similar Tax Loss, or a Tax Credit Carryforward Exists" ("ASU 2013-11"). The new standard requires the presentation of certain unrecognized tax benefits as reductions to deferred tax assets rather than as liabilities in the consolidated balance sheets when a net operating loss carryforward, a similar tax loss, or a tax credit carryforward exists. The new standard is effective for fiscal years and interim periods within those fiscal years, beginning after December 15, 2013, which for the Company was the first quarter of fiscal 2015. The Company adopted this pronouncement in the first quarter of fiscal 2015, and it did not have a material effect on its condensed consolidated financial statements.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new standard allows for either a full retrospective or a modified retrospective transition method and is effective for fiscal years beginning after December 15, 2016, which for the Company is the first quarter of fiscal 2018. The Company has not yet selected a transition method and is currently evaluating the impact ASU 2014-09 will have on its consolidated financial statements and related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You should read this information in conjunction with the unaudited condensed consolidated financial statements and the notes thereto included in this Quarterly Report on Form 10-Q, and the audited consolidated financial statements and notes thereto and Part II, Item 7, contained in our Annual Report on Form 10-K for the year ended June 27, 2014.</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34" w:lineRule="exact"/>
        <w:rPr>
          <w:sz w:val="20"/>
          <w:szCs w:val="20"/>
          <w:color w:val="auto"/>
        </w:rPr>
      </w:pPr>
    </w:p>
    <w:p>
      <w:pPr>
        <w:ind w:left="1460" w:hanging="723"/>
        <w:spacing w:after="0"/>
        <w:tabs>
          <w:tab w:leader="none" w:pos="14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expectations regarding industry demand and shipments in the quarter ending April 3, 2015 and the expected impact on our revenue;</w:t>
      </w:r>
    </w:p>
    <w:p>
      <w:pPr>
        <w:spacing w:after="0" w:line="128" w:lineRule="exact"/>
        <w:rPr>
          <w:rFonts w:ascii="Arial" w:cs="Arial" w:eastAsia="Arial" w:hAnsi="Arial"/>
          <w:sz w:val="17"/>
          <w:szCs w:val="17"/>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concerning the anticipated benefits of our acquisitions;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demand for our products in the various markets and factors contributing to such demand;</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position in the industry;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belief regarding our ability to capitalize on the expansion in, and our expectations regarding the growth and demand of, digital data;</w:t>
      </w:r>
    </w:p>
    <w:p>
      <w:pPr>
        <w:spacing w:after="0" w:line="140" w:lineRule="exact"/>
        <w:rPr>
          <w:rFonts w:ascii="Arial" w:cs="Arial" w:eastAsia="Arial" w:hAnsi="Arial"/>
          <w:sz w:val="16"/>
          <w:szCs w:val="16"/>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continue to develop new products and expand into new storage markets and into emerging economic markets;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emergence of new storage markets for our products;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emergence of competing storage technologies;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share repurchase plans;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stock price volatility;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our compliance with environmental laws and regulations;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external and internal supply base;</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component availability;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62"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contributions to our pension plans in fiscal 2015; and</w:t>
      </w:r>
    </w:p>
    <w:p>
      <w:pPr>
        <w:spacing w:after="0" w:line="117" w:lineRule="exact"/>
        <w:rPr>
          <w:rFonts w:ascii="Arial" w:cs="Arial" w:eastAsia="Arial" w:hAnsi="Arial"/>
          <w:sz w:val="18"/>
          <w:szCs w:val="18"/>
          <w:i w:val="1"/>
          <w:iCs w:val="1"/>
          <w:color w:val="auto"/>
        </w:rPr>
      </w:pPr>
    </w:p>
    <w:p>
      <w:pPr>
        <w:ind w:left="1460" w:right="300" w:hanging="723"/>
        <w:spacing w:after="0" w:line="277" w:lineRule="auto"/>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cash and cash equivalents to meet our working capital, capital expenditure and other cash needs.</w:t>
      </w:r>
    </w:p>
    <w:p>
      <w:pPr>
        <w:spacing w:after="0" w:line="170" w:lineRule="exact"/>
        <w:rPr>
          <w:sz w:val="20"/>
          <w:szCs w:val="20"/>
          <w:color w:val="auto"/>
        </w:rPr>
      </w:pPr>
    </w:p>
    <w:p>
      <w:pPr>
        <w:ind w:right="300" w:firstLine="729"/>
        <w:spacing w:after="0" w:line="264"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We urge you to carefully review the disclosures we make concerning risks and other factors that may affect our business and operating results, including those made in Part I, Item 1A of this Quarterly</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Report on Form 10-Q, and any of those made in our other reports filed with the SEC. You should not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leading developer, manufacturer and provider of data storage solutions that enable consumers, businesses, governments and other organizations to create, manage, experience and preserve digital content. Our product portfolio includes hard disk drives (“HDDs”) and solid-state drives ("SSDs"), direct attached storage solutions, personal cloud network attached storage solutions, and public and private cloud data center storage solutions. HDDs are our principal products and are today’s primary storage medium for digital content, with the use of solid-state storage products growing rapidly. Our products are marketed under the HGST, WD and G-Technology brand names. We currently operate our global business through two independent subsidiaries due to regulatory requirements - HGST and WD.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Overview</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(“U.S. GAAP”), we include the operating results for acquired companies commencing after their respective acquisition dates. Accordingly, Virident and sTec have been included in our results of operations since their acquisition dates of October 17, 2013, and September 12, 2013, respectively.</w:t>
      </w:r>
    </w:p>
    <w:p>
      <w:pPr>
        <w:spacing w:after="0" w:line="4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Our fiscal second quarters ended January 2, 2015 and December 27, 2013 both consisted of 13 weeks. Fiscal year 2015 will be comprised of 53 weeks and will end on July 3, 2015.</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quarter ended January 2, 2015, we believe that overall hard drive industry shipments totaled approximately 141 million units, down 1% from the prior-year period and down 4% from the first fiscal quarter.</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income by dollars (in millions) and percentage of net revenue: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w w:val="99"/>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16"/>
                <w:szCs w:val="16"/>
                <w:color w:val="auto"/>
              </w:rPr>
            </w:pPr>
          </w:p>
        </w:tc>
      </w:tr>
      <w:tr>
        <w:trPr>
          <w:trHeight w:val="152"/>
        </w:trPr>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620" w:type="dxa"/>
            <w:vAlign w:val="bottom"/>
          </w:tcPr>
          <w:p>
            <w:pPr>
              <w:spacing w:after="0"/>
              <w:rPr>
                <w:sz w:val="13"/>
                <w:szCs w:val="13"/>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3,888</w:t>
            </w: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3,972</w:t>
            </w: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7,831</w:t>
            </w: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7,776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1,110</w:t>
            </w:r>
          </w:p>
        </w:tc>
        <w:tc>
          <w:tcPr>
            <w:tcW w:w="680" w:type="dxa"/>
            <w:vAlign w:val="bottom"/>
          </w:tcPr>
          <w:p>
            <w:pPr>
              <w:jc w:val="right"/>
              <w:ind w:right="133"/>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75"/>
              <w:spacing w:after="0"/>
              <w:rPr>
                <w:sz w:val="20"/>
                <w:szCs w:val="20"/>
                <w:color w:val="auto"/>
              </w:rPr>
            </w:pPr>
            <w:r>
              <w:rPr>
                <w:rFonts w:ascii="Arial" w:cs="Arial" w:eastAsia="Arial" w:hAnsi="Arial"/>
                <w:sz w:val="18"/>
                <w:szCs w:val="18"/>
                <w:color w:val="auto"/>
              </w:rPr>
              <w:t>1,156</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5"/>
              <w:spacing w:after="0"/>
              <w:rPr>
                <w:sz w:val="20"/>
                <w:szCs w:val="20"/>
                <w:color w:val="auto"/>
              </w:rPr>
            </w:pPr>
            <w:r>
              <w:rPr>
                <w:rFonts w:ascii="Arial" w:cs="Arial" w:eastAsia="Arial" w:hAnsi="Arial"/>
                <w:sz w:val="18"/>
                <w:szCs w:val="18"/>
                <w:b w:val="1"/>
                <w:bCs w:val="1"/>
                <w:color w:val="auto"/>
              </w:rPr>
              <w:t>2,259</w:t>
            </w: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55"/>
              <w:spacing w:after="0"/>
              <w:rPr>
                <w:sz w:val="20"/>
                <w:szCs w:val="20"/>
                <w:color w:val="auto"/>
              </w:rPr>
            </w:pPr>
            <w:r>
              <w:rPr>
                <w:rFonts w:ascii="Arial" w:cs="Arial" w:eastAsia="Arial" w:hAnsi="Arial"/>
                <w:sz w:val="18"/>
                <w:szCs w:val="18"/>
                <w:color w:val="auto"/>
              </w:rPr>
              <w:t>2,255</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29.0</w:t>
            </w:r>
          </w:p>
        </w:tc>
      </w:tr>
      <w:tr>
        <w:trPr>
          <w:trHeight w:val="27"/>
        </w:trPr>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644</w:t>
            </w: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678</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1,324</w:t>
            </w: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1,235</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466</w:t>
            </w:r>
          </w:p>
        </w:tc>
        <w:tc>
          <w:tcPr>
            <w:tcW w:w="680" w:type="dxa"/>
            <w:vAlign w:val="bottom"/>
          </w:tcPr>
          <w:p>
            <w:pPr>
              <w:jc w:val="right"/>
              <w:ind w:right="133"/>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75"/>
              <w:spacing w:after="0"/>
              <w:rPr>
                <w:sz w:val="20"/>
                <w:szCs w:val="20"/>
                <w:color w:val="auto"/>
              </w:rPr>
            </w:pPr>
            <w:r>
              <w:rPr>
                <w:rFonts w:ascii="Arial" w:cs="Arial" w:eastAsia="Arial" w:hAnsi="Arial"/>
                <w:sz w:val="18"/>
                <w:szCs w:val="18"/>
                <w:color w:val="auto"/>
              </w:rPr>
              <w:t>478</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5"/>
              <w:spacing w:after="0"/>
              <w:rPr>
                <w:sz w:val="20"/>
                <w:szCs w:val="20"/>
                <w:color w:val="auto"/>
              </w:rPr>
            </w:pPr>
            <w:r>
              <w:rPr>
                <w:rFonts w:ascii="Arial" w:cs="Arial" w:eastAsia="Arial" w:hAnsi="Arial"/>
                <w:sz w:val="18"/>
                <w:szCs w:val="18"/>
                <w:b w:val="1"/>
                <w:bCs w:val="1"/>
                <w:color w:val="auto"/>
              </w:rPr>
              <w:t>935</w:t>
            </w: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55"/>
              <w:spacing w:after="0"/>
              <w:rPr>
                <w:sz w:val="20"/>
                <w:szCs w:val="20"/>
                <w:color w:val="auto"/>
              </w:rPr>
            </w:pPr>
            <w:r>
              <w:rPr>
                <w:rFonts w:ascii="Arial" w:cs="Arial" w:eastAsia="Arial" w:hAnsi="Arial"/>
                <w:sz w:val="18"/>
                <w:szCs w:val="18"/>
                <w:color w:val="auto"/>
              </w:rPr>
              <w:t>1,020</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13.1</w:t>
            </w:r>
          </w:p>
        </w:tc>
      </w:tr>
      <w:tr>
        <w:trPr>
          <w:trHeight w:val="27"/>
        </w:trPr>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438</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430</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861</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925</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7"/>
        </w:trPr>
        <w:tc>
          <w:tcPr>
            <w:tcW w:w="2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financial performance for the second quarter of fiscal 2015:</w:t>
      </w:r>
    </w:p>
    <w:p>
      <w:pPr>
        <w:spacing w:after="0" w:line="11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net revenue totaled $3.9 billion.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derived from enterprise SSDs was $187 million as compared to $155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Hard drive unit shipments decreased 3% from the prior-year period to 61.0 million units.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decreased to 28.5%, compared to 29.1% for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was $466 million, a decrease of $12 million from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$243 million in cash flow from operations and we ended the quarter with $4.9 billion in cash and cash equivalents.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(in millions, except percentages and</w:t>
            </w:r>
          </w:p>
        </w:tc>
        <w:tc>
          <w:tcPr>
            <w:tcW w:w="26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w:t>
            </w:r>
          </w:p>
        </w:tc>
        <w:tc>
          <w:tcPr>
            <w:tcW w:w="260" w:type="dxa"/>
            <w:vAlign w:val="bottom"/>
          </w:tcPr>
          <w:p>
            <w:pPr>
              <w:spacing w:after="0"/>
              <w:rPr>
                <w:sz w:val="13"/>
                <w:szCs w:val="13"/>
                <w:color w:val="auto"/>
              </w:rPr>
            </w:pPr>
          </w:p>
        </w:tc>
        <w:tc>
          <w:tcPr>
            <w:tcW w:w="12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w w:val="96"/>
              </w:rPr>
              <w:t>December 27,</w:t>
            </w:r>
          </w:p>
        </w:tc>
        <w:tc>
          <w:tcPr>
            <w:tcW w:w="100" w:type="dxa"/>
            <w:vAlign w:val="bottom"/>
          </w:tcPr>
          <w:p>
            <w:pPr>
              <w:spacing w:after="0"/>
              <w:rPr>
                <w:sz w:val="13"/>
                <w:szCs w:val="13"/>
                <w:color w:val="auto"/>
              </w:rPr>
            </w:pP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w:t>
            </w:r>
          </w:p>
        </w:tc>
        <w:tc>
          <w:tcPr>
            <w:tcW w:w="3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w w:val="90"/>
              </w:rPr>
              <w:t>December 27,</w:t>
            </w:r>
          </w:p>
        </w:tc>
        <w:tc>
          <w:tcPr>
            <w:tcW w:w="100" w:type="dxa"/>
            <w:vAlign w:val="bottom"/>
          </w:tcPr>
          <w:p>
            <w:pPr>
              <w:spacing w:after="0"/>
              <w:rPr>
                <w:sz w:val="13"/>
                <w:szCs w:val="13"/>
                <w:color w:val="auto"/>
              </w:rPr>
            </w:pPr>
          </w:p>
        </w:tc>
        <w:tc>
          <w:tcPr>
            <w:tcW w:w="10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average selling price)</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7,776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Average selling price (per unit)*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38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 Middle East and</w:t>
            </w:r>
          </w:p>
        </w:tc>
        <w:tc>
          <w:tcPr>
            <w:tcW w:w="2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Africa</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38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380"/>
              <w:spacing w:after="0"/>
              <w:rPr>
                <w:sz w:val="20"/>
                <w:szCs w:val="20"/>
                <w:color w:val="auto"/>
              </w:rPr>
            </w:pPr>
            <w:r>
              <w:rPr>
                <w:rFonts w:ascii="Arial" w:cs="Arial" w:eastAsia="Arial" w:hAnsi="Arial"/>
                <w:sz w:val="18"/>
                <w:szCs w:val="18"/>
                <w:color w:val="auto"/>
              </w:rPr>
              <w:t>OEM</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Distributors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380"/>
              <w:spacing w:after="0"/>
              <w:rPr>
                <w:sz w:val="20"/>
                <w:szCs w:val="20"/>
                <w:color w:val="auto"/>
              </w:rPr>
            </w:pPr>
            <w:r>
              <w:rPr>
                <w:rFonts w:ascii="Arial" w:cs="Arial" w:eastAsia="Arial" w:hAnsi="Arial"/>
                <w:sz w:val="18"/>
                <w:szCs w:val="18"/>
                <w:color w:val="auto"/>
              </w:rPr>
              <w:t>Retailers</w:t>
            </w: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 Shipments*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380"/>
              <w:spacing w:after="0"/>
              <w:rPr>
                <w:sz w:val="20"/>
                <w:szCs w:val="20"/>
                <w:color w:val="auto"/>
              </w:rPr>
            </w:pPr>
            <w:r>
              <w:rPr>
                <w:rFonts w:ascii="Arial" w:cs="Arial" w:eastAsia="Arial" w:hAnsi="Arial"/>
                <w:sz w:val="18"/>
                <w:szCs w:val="18"/>
                <w:color w:val="auto"/>
              </w:rPr>
              <w:t>PC</w:t>
            </w: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Non-PC</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80" w:type="dxa"/>
            <w:vAlign w:val="bottom"/>
          </w:tcPr>
          <w:p>
            <w:pPr>
              <w:ind w:left="580"/>
              <w:spacing w:after="0"/>
              <w:rPr>
                <w:sz w:val="20"/>
                <w:szCs w:val="20"/>
                <w:color w:val="auto"/>
              </w:rPr>
            </w:pPr>
            <w:r>
              <w:rPr>
                <w:rFonts w:ascii="Arial" w:cs="Arial" w:eastAsia="Arial" w:hAnsi="Arial"/>
                <w:sz w:val="18"/>
                <w:szCs w:val="18"/>
                <w:color w:val="auto"/>
              </w:rPr>
              <w:t>Total units shipped</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125.8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65"/>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sales of hard drive units only.</w:t>
      </w:r>
    </w:p>
    <w:p>
      <w:pPr>
        <w:spacing w:after="0" w:line="19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For the quarter ended January 2, 2015, net revenue was $3.9 billion, a decrease of 2% from the prior-year period. This decrease in revenue was primarily due to a decrease in total hard drive shipments, offset by changes in product mix. Total hard drive shipments decreased to 61.0 million units for the quarter ended January 2, 2015 as compared to 63.1 million units in the prior-year period. For the six months ended January 2, 2015, net revenue was $7.8 billion, an increase of 1% from the prior year period. Total hard drive shipments increased to 125.8 million units for the six months ended January 2, 2015 as compared to 125.7 million units in the prior-year period. For the quarter ended January 2, 2015, average selling price ("ASP") remained flat with the prior-year period at $60. For the six months ended January 2, 2015, ASP remained flat with the prior-year period at $59.</w:t>
      </w:r>
    </w:p>
    <w:p>
      <w:pPr>
        <w:spacing w:after="0" w:line="12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Changes in revenue by geography and channel generally reflect normal fluctuations in market demand and competitive dynamics. For both the three and six months ended January 2, 2015, Hewlett-Packard Company accounted for approximately 11% of our net revenue. For the three and six months ended December 27, 2013, Hewlett-Packard Company accounted for approximately 11% and 12% of our net revenue, respectively.</w:t>
      </w:r>
    </w:p>
    <w:p>
      <w:pPr>
        <w:spacing w:after="0" w:line="111"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Generally, total sales incentive and marketing programs range from 7% to 10% of gross revenues per quarter. For the three and six months ended January 2, 2015, these programs represented 10% and 9% of gross revenues, respectively, as compared to 7% in both respective prior-year periods.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0.6% of quarterly gross revenue since the first quarter of fiscal 2013.</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Margin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Ended</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Pr>
          <w:p>
            <w:pPr>
              <w:spacing w:after="0"/>
              <w:rPr>
                <w:sz w:val="13"/>
                <w:szCs w:val="13"/>
                <w:color w:val="auto"/>
              </w:rPr>
            </w:pPr>
          </w:p>
        </w:tc>
        <w:tc>
          <w:tcPr>
            <w:tcW w:w="114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Percentage Change</w:t>
            </w: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9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1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3,888</w:t>
            </w:r>
          </w:p>
        </w:tc>
        <w:tc>
          <w:tcPr>
            <w:tcW w:w="5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3,972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7,776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1320" w:type="dxa"/>
            <w:vAlign w:val="bottom"/>
          </w:tcPr>
          <w:p>
            <w:pPr>
              <w:ind w:left="92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the three months ended January 2, 2015, gross margin decreased to 28.5% as compared to 29.1% for the prior-year period. For the six months ended January 2, 2015, gross margin decreased to 28.8% as compared to 29.0% for the prior-year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93"/>
              </w:rPr>
              <w:t>Ended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3"/>
                <w:szCs w:val="13"/>
                <w:color w:val="auto"/>
              </w:rPr>
            </w:pPr>
          </w:p>
        </w:tc>
        <w:tc>
          <w:tcPr>
            <w:tcW w:w="8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8"/>
              </w:rPr>
              <w:t>January 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33"/>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420" w:type="dxa"/>
            <w:vAlign w:val="bottom"/>
            <w:gridSpan w:val="3"/>
          </w:tcPr>
          <w:p>
            <w:pPr>
              <w:jc w:val="right"/>
              <w:ind w:right="520"/>
              <w:spacing w:after="0" w:line="153" w:lineRule="exact"/>
              <w:rPr>
                <w:sz w:val="20"/>
                <w:szCs w:val="20"/>
                <w:color w:val="auto"/>
              </w:rPr>
            </w:pPr>
            <w:r>
              <w:rPr>
                <w:rFonts w:ascii="Arial" w:cs="Arial" w:eastAsia="Arial" w:hAnsi="Arial"/>
                <w:sz w:val="14"/>
                <w:szCs w:val="14"/>
                <w:b w:val="1"/>
                <w:bCs w:val="1"/>
                <w:color w:val="auto"/>
              </w:rPr>
              <w:t>Percentage</w:t>
            </w: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w:t>
            </w:r>
          </w:p>
        </w:tc>
        <w:tc>
          <w:tcPr>
            <w:tcW w:w="120" w:type="dxa"/>
            <w:vAlign w:val="bottom"/>
          </w:tcPr>
          <w:p>
            <w:pPr>
              <w:spacing w:after="0"/>
              <w:rPr>
                <w:sz w:val="13"/>
                <w:szCs w:val="13"/>
                <w:color w:val="auto"/>
              </w:rPr>
            </w:pPr>
          </w:p>
        </w:tc>
        <w:tc>
          <w:tcPr>
            <w:tcW w:w="100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w w:val="90"/>
              </w:rPr>
              <w:t>December 27,</w:t>
            </w:r>
          </w:p>
        </w:tc>
        <w:tc>
          <w:tcPr>
            <w:tcW w:w="100" w:type="dxa"/>
            <w:vAlign w:val="bottom"/>
          </w:tcPr>
          <w:p>
            <w:pPr>
              <w:spacing w:after="0"/>
              <w:rPr>
                <w:sz w:val="13"/>
                <w:szCs w:val="13"/>
                <w:color w:val="auto"/>
              </w:rPr>
            </w:pPr>
          </w:p>
        </w:tc>
        <w:tc>
          <w:tcPr>
            <w:tcW w:w="10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66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c>
          <w:tcPr>
            <w:tcW w:w="15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2 %  </w:t>
            </w: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SG&amp;A expense</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arbitration award</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080" w:type="dxa"/>
            <w:vAlign w:val="bottom"/>
          </w:tcPr>
          <w:p>
            <w:pPr>
              <w:ind w:left="40"/>
              <w:spacing w:after="0"/>
              <w:rPr>
                <w:sz w:val="20"/>
                <w:szCs w:val="20"/>
                <w:color w:val="auto"/>
              </w:rPr>
            </w:pPr>
            <w:r>
              <w:rPr>
                <w:rFonts w:ascii="Arial" w:cs="Arial" w:eastAsia="Arial" w:hAnsi="Arial"/>
                <w:sz w:val="18"/>
                <w:szCs w:val="18"/>
                <w:color w:val="auto"/>
                <w:w w:val="99"/>
              </w:rPr>
              <w:t>Employee termination, asset impairment and other</w:t>
            </w:r>
          </w:p>
        </w:tc>
        <w:tc>
          <w:tcPr>
            <w:tcW w:w="1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66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15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Research and development (“R&amp;D”) expense was $426 million for the three months ended January 2, 2015, an increase of $10 million from the prior-year period. This increase was primarily due to additional investment in our enterprise SSD business. For the six months ended January 2, 2015, R&amp;D expense was $863 million, an increase of $46 million from the prior-year period. This increase was primarily due to additional investment in our enterprise SSD business and the inclusion of a full six month period of Virident and sTec's R&amp;D expenses, as opposed to a partial six month period of such expenses in the comparative prior-year period, and an additional week of operating expenses due to a 14-week quarter in our first fiscal quarter in the current period. As a percentage of net revenue, R&amp;D expense increased to 11.0% in both the three and six months ended January 2, 2015, as compared to 10.5% in both the respective prior-year periods.</w:t>
      </w:r>
    </w:p>
    <w:p>
      <w:pPr>
        <w:spacing w:after="0" w:line="13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Selling, general and administrative (“SG&amp;A”) expense was $164 million for the three months ended January 2, 2015, a decrease of $62 million from the prior-year period. This decrease was primarily due to a $37 million flood-related insurance recovery during the period, as well as ongoing efforts to reduce our operating expenses. For the six months ended January 2, 2015, SG&amp;A expense was $384 million, an increase of $26 million from the prior-year period. This increase was primarily due to the inclusion of a full six month period of Virident and sTec's SG&amp;A expenses, as opposed to a partial six month period of such expenses in the comparative prior-year period, and an additional week of operating expenses due to a 14-week quarter in our first fiscal quarter in the current period. Additionally, this increase is a result of a $37 million flood-related insurance recovery in the current period compared to a $65 million flood-related insurance recovery in the prior-year period. SG&amp;A expense as a percentage of net revenue was 4.2% and 4.9% in the three and six months ended January 2, 2015, respectively, as compared to 5.7% and 4.6% in the respective prior-year periods.</w:t>
      </w:r>
    </w:p>
    <w:p>
      <w:pPr>
        <w:spacing w:after="0" w:line="1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three and six months ended January 2, 2015, we recorded $1 million and $15 million, respectively, of interest charges related to an arbitration award for claims brought against us and a now former employee of ours by Seagate Technology LLC ("Seagate") as compared to $13 million and $26 million in the respective prior-year periods. For additional information, refer to Part I, Item 1, Note 5 of the Notes to Condensed Consolidated Financial Statements in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three and six months ended January 2, 2015, we recorded employee termination, asset impairment and other charges of $53 million and $62 million, respectively, in order to realign our operations with anticipated market demand as compared to $23 million and $34 million in the respective prior-year periods. For additional information, refer to Part I, Item 1, Note 12 of the Notes to Condensed Consolidated Financial Statements in this Quarterly Report on Form 10-Q.</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Interest income for the three and six months ended January 2, 2015 increased $1 million and $2 million, respectively, as compared to the prior-year periods primarily due to a higher average daily invested cash balance for the periods. Interest and other expense for both the three and six months ended January 2, 2015 decreased $2 million when compared to the respective prior-year periods primarily due to interest on a lower debt balance.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income tax provision for the three months ended January 2, 2015 was $20 million, as compared to $37 million in the prior-year period. Our income tax provision for the six months ended January 2, 2015 was $57 million, as compared to $74 million in the prior-year period. Our tax provision for the three and six months ended January 2, 2015 reflects a tax benefit of $16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million as a result of the retroactive extension of the U.S. Federal R&amp;D tax credit that was signed into law on December 19, 2014. The differences between the effective tax rate and the U.S. Federal statutory rate are primarily due to tax holidays in Malaysia, the Philippines, Singapore and Thailand that expire at various dates from 2015 through 2025 and the current year generation of income tax credits. For additional information, refer to Part I, Item 1, Note 6 of the Notes to Condensed Consolidated Financial Statements in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Award</w:t>
      </w:r>
    </w:p>
    <w:p>
      <w:pPr>
        <w:spacing w:after="0" w:line="229"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In relation to our litigation matter with Seagate, on October 8, 2014, the Minnesota Supreme Court affirmed the decision of the Minnesota Court of Appeals, and as a result, on October 14, 2014, we paid Seagate $773.4 million to satisfy the full amount of the final arbitration award plus interest accrued through October 13, 2014. This amount was paid by one of our foreign subsidiaries using cash held outside the United States. For additional information, refer to Part I, Item 1, Note 5 of the Notes to Condensed Consolidated Financial Statements in this Quarterly Report on Form 10-Q.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ended the second quarter of fiscal 2015 with total cash and cash equivalents of $4.9 billion. The following table summarizes our statements of cash flows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4"/>
                <w:szCs w:val="14"/>
                <w:b w:val="1"/>
                <w:bCs w:val="1"/>
                <w:color w:val="auto"/>
                <w:w w:val="98"/>
              </w:rPr>
              <w:t>Six Months Ended</w:t>
            </w:r>
          </w:p>
        </w:tc>
      </w:tr>
      <w:tr>
        <w:trPr>
          <w:trHeight w:val="152"/>
        </w:trPr>
        <w:tc>
          <w:tcPr>
            <w:tcW w:w="77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77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180" w:type="dxa"/>
            <w:vAlign w:val="bottom"/>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4"/>
              <w:spacing w:after="0"/>
              <w:rPr>
                <w:sz w:val="20"/>
                <w:szCs w:val="20"/>
                <w:color w:val="auto"/>
              </w:rPr>
            </w:pPr>
            <w:r>
              <w:rPr>
                <w:rFonts w:ascii="Arial" w:cs="Arial" w:eastAsia="Arial" w:hAnsi="Arial"/>
                <w:sz w:val="18"/>
                <w:szCs w:val="18"/>
                <w:b w:val="1"/>
                <w:bCs w:val="1"/>
                <w:color w:val="auto"/>
                <w:w w:val="88"/>
              </w:rPr>
              <w:t>1,070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1,406</w:t>
            </w:r>
          </w:p>
        </w:tc>
      </w:tr>
      <w:tr>
        <w:trPr>
          <w:trHeight w:val="27"/>
        </w:trPr>
        <w:tc>
          <w:tcPr>
            <w:tcW w:w="7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65</w:t>
            </w:r>
          </w:p>
        </w:tc>
      </w:tr>
      <w:tr>
        <w:trPr>
          <w:trHeight w:val="27"/>
        </w:trPr>
        <w:tc>
          <w:tcPr>
            <w:tcW w:w="7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investment policy is to manage our investment portfolio to preserve principal and liquidity while maximizing return through the full investment of available funds. We believe our current cash, cash equivalents and cash generated from operations as well as our available credit facilities will be sufficient to meet our working capital, debt, dividend, stock repurchase and capital expenditure needs for at least the next twelve months. Our ability to sustain our working capital position is subject to a number of risks that we discuss in Part II, Item 1A of this Quarterly Report on Form 10-Q.</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 total of $3.5 billion of our cash and cash equivalents was held outside of the United States at both January 2, 2015 and June 27, 2014. Substantially all of the amounts held outside of the United States are intended to be indefinitely reinvested in foreign operations. As described in the section "Arbitration Award" above, the amount of $773.4 million was paid on October 14, 2014 from one of our foreign subsidiaries using cash held outside the United States. On September 13, 2012, our Board of Directors approved a capital allocation plan which includes repurchases of our common stock and the adoption of a quarterly cash dividend policy. Our current plans do not anticipate that we will need funds generated from foreign operations to fund our domestic operations or capital allocation plan. In the event funds from foreign operations are needed in the United States, any repatriation could result in the accrual and payment of additional U.S. income tax.</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cash provided by operating activities was $1.1 billion during the six months ended January 2, 2015. Cash flow from operating activities consists of net income, adjusted for non-cash charges, plus or minus working capital changes. This represents our principal source of cash. Net cash used in working capital changes was $475 million for the six months ended January 2, 2015 as compared to $166 million used by working capital changes in the prior-year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were as follows:</w:t>
      </w:r>
    </w:p>
    <w:p>
      <w:pPr>
        <w:spacing w:after="0" w:line="10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23495</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January 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27,</w:t>
            </w:r>
          </w:p>
        </w:tc>
      </w:tr>
      <w:tr>
        <w:trPr>
          <w:trHeight w:val="192"/>
        </w:trPr>
        <w:tc>
          <w:tcPr>
            <w:tcW w:w="90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42</w:t>
            </w:r>
          </w:p>
        </w:tc>
      </w:tr>
      <w:tr>
        <w:trPr>
          <w:trHeight w:val="27"/>
        </w:trPr>
        <w:tc>
          <w:tcPr>
            <w:tcW w:w="7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Cash conversion cycle</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w:t>
            </w:r>
          </w:p>
        </w:tc>
      </w:tr>
      <w:tr>
        <w:trPr>
          <w:trHeight w:val="27"/>
        </w:trPr>
        <w:tc>
          <w:tcPr>
            <w:tcW w:w="7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For the three months ended January 2, 2015, our average days sales outstanding (“DSOs”) decreased by 1 day, days in inventory (“DIOs”) remained flat, and days payable outstanding (“DPOs”) remained flat compared to the prior year period. Changes in average DSOs and DIOs are generally related to linearity of shipments and the timing of inventory builds, respectively.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modifications through negotiations with our vendors or by granting to, or receiving from, our vendors’ payment term accommodations.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Cash used in investing activities for the six months ended January 2, 2015 was $254 million and consisted of $595 million related to the purchase of investments, $306 million of capital expenditures and $6 million related to an immaterial acquisition, net of cash acquired, partially offset by $630 million of proceeds from sales and maturities of investments, $7 million of proceeds from the sale of property, plant and equipment and $16 million, net for other investing activities. Cash used in investing activities for the six months ended December 27, 2013 was $1.1 billion and consisted of $823 million related to acquisitions, net of cash acquired, and $306 million of capital expenditures, partially offset by a net $4 million for other investing activities.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Net cash used in financing activities for the six months ended January 2, 2015 was $718 million as compared to $65 million provided by financing activities in the prior-year period. Net cash used in financing activities for the six months ended January 2, 2015 consisted of $532 million used to repurchase shares of our common stock, $187 million used to pay dividends on our common stock and $63 million used to make principal payments on the Credit Agreement, partially offset by a net $64 million provided by employee stock plans. Net cash provided by financing activities for the six months ended December 27, 2013 consisted of $500 million of debt proceeds under the revolving credit facility and a net $98 million provided by employee stock plans, partially offset by $300 million used to repurchase shares of our common stock, $118 million used to pay dividends on our common stock and $115 million used to repay long-term debt.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our condensed consolidated financial statements. Additionally, we do not have an interest in, or relationships with, any special-purpose entities.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On January 9, 2014, Western Digital Ireland, Ltd. (“WDI”) used existing cash to repay the outstanding term loan balance of $1.8</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under our previous credit agreement dated March 8, 2012, and we, in our capacity as the parent entity and guarantor, and the Borrowers, entered into a new credit agreement (the "Credit Agreement").</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of January 2, 2015, no amounts were outstanding under the revolving credit facility of the Credit Agreement and the term loan facility had an outstanding balance of $2.4 billion with a variable interest rate of 1.66%. We are required to make quarterly principal payments on the term loan facility totaling $63 million for the remainder of fiscal 2015, $156 million in fiscal 2016, $219 million in fiscal 2017, $250 million in fiscal 2018 and the remaining balance of $1.7 billion in fiscal 2019. For additional information, refer to Part I, Item 1, Note 4 of the Notes to Condensed Consolidated Financial Statements included in this Quarterly Report on Form 10-Q.</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 In the normal course of business, we enter into purchase orders with suppliers for the purchase of components used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11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We have also entered into long-term purchase agreements with various component suppliers that carry fixed volumes and pricing which obligate us to make certain future purchases, contingent on certain conditions of performance, quality and technology of the vendor’s components.</w:t>
      </w:r>
    </w:p>
    <w:p>
      <w:pPr>
        <w:spacing w:after="0" w:line="10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Refer to Part II, Item 7 of our Annual Report on Form 10-K for the year ended June 27, 2014, for further discussion of our purchase orders and purchase agreements and the associated dollar amounts. See Part II, Item 1A of this Quarterly Report on Form 10-Q for a discussion of the risks associated with these commitments.</w:t>
      </w:r>
    </w:p>
    <w:p>
      <w:pPr>
        <w:spacing w:after="0" w:line="127"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 We purchase short-term, foreign exchange contracts to hedge the impact of foreign currency fluctuations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assets, liabilities and commitments for operating expenses and product costs denominated in foreign currencies. See Part I, Item 3, of this Quarterly Report on Form 10-Q under the heading “Disclosure About Foreign Currency Risk,” for a description of our current foreign exchange contract commitments and Part I, Item 1, Note 8 of the Notes to Condensed Consolidated Financial Statements included in this Quarterly Report on Form 10-Q.</w:t>
      </w:r>
    </w:p>
    <w:p>
      <w:pPr>
        <w:spacing w:after="0" w:line="100"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i w:val="1"/>
          <w:iCs w:val="1"/>
          <w:color w:val="auto"/>
        </w:rPr>
        <w:t xml:space="preserve">Indemnifications </w:t>
      </w:r>
      <w:r>
        <w:rPr>
          <w:rFonts w:ascii="Arial" w:cs="Arial" w:eastAsia="Arial" w:hAnsi="Arial"/>
          <w:sz w:val="17"/>
          <w:szCs w:val="17"/>
          <w:color w:val="auto"/>
        </w:rPr>
        <w:t>— In the ordinary course of business, we may provide indemnifications of varying scope and terms to customers, vendors, lessors,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partners and other parties with respect to certain matters, including, but not limited to, losses arising out of our breach of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Unrecognized Tax Benefits </w:t>
      </w:r>
      <w:r>
        <w:rPr>
          <w:rFonts w:ascii="Arial" w:cs="Arial" w:eastAsia="Arial" w:hAnsi="Arial"/>
          <w:sz w:val="17"/>
          <w:szCs w:val="17"/>
          <w:color w:val="auto"/>
        </w:rPr>
        <w:t>— As of January 2, 2015, the cash portion of our total recorded liability for unrecognized tax benefits was $259 million. We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the timing of the future payments of these liabilities to be within the next one to eight years. For additional information, refer to Part I, Item 1, Note 6 of the Notes to Condensed Consolidated Financial Statements included in this Quarterly Report on Form 10-Q.</w:t>
      </w:r>
    </w:p>
    <w:p>
      <w:pPr>
        <w:spacing w:after="0" w:line="11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Stock Repurchase Program </w:t>
      </w:r>
      <w:r>
        <w:rPr>
          <w:rFonts w:ascii="Arial" w:cs="Arial" w:eastAsia="Arial" w:hAnsi="Arial"/>
          <w:sz w:val="17"/>
          <w:szCs w:val="17"/>
          <w:color w:val="auto"/>
        </w:rPr>
        <w:t>— Since May 21, 2012, our Board of Directors has authorized $3.0 billion for the repurchase of our common stock. We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repurchased 3.2 million and 5.4 million shares of our common stock for a total cost of $309 million and $532 million during the three and six months ended January 2, 2015, respectively. On February 3, 2015, our Board of Directors authorized an additional $2.0 billion for the repurchase of our common stock and approved the extension of our stock repurchase program to February 3, 2020, resulting in a cumulative authorized repurchase amount of $5.0 billion since the inception of the repurchase program. Subsequent to January 2, 2015 and through February 5, 2015, we repurchased an additional 2.2 million shares of our common stock for a total cost of $240 million. For additional information, refer to Part I, Item 1, Note 9 of the Notes to Condensed Consolidated Financial Statements in this Quarterly Report on Form 10-Q.</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Cash Dividend Policy </w:t>
      </w:r>
      <w:r>
        <w:rPr>
          <w:rFonts w:ascii="Arial" w:cs="Arial" w:eastAsia="Arial" w:hAnsi="Arial"/>
          <w:sz w:val="18"/>
          <w:szCs w:val="18"/>
          <w:color w:val="auto"/>
        </w:rPr>
        <w:t>— During the three months ended January 2, 2015, we declared a cash dividend of $0.40 per share of our common stock to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as of January 2, 2015, totaling $93 million, which we paid on January 15, 2015. In addition, in the three months ended October 3, 2014, we declared a cash dividend of $0.40 per share of our common stock to our shareholders of record as of October 3, 2014, totaling $94 million, which we paid on October 15, 2014. On February 3, 2015, we declared a cash dividend of $0.50 per share of our common stock to shareholders of record as of April 3, 2015, which will be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paid on April 16, 2015. For additional information, refer to Part I, Item 1, Note 9 of the Notes to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have prepared the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 There have been no material changes in our critical accounting policies and estimates from those disclosed in our Annual Report on Form 10-K for the year ended June 27, 2014. Please refer to Part II, Item 7 of our Annual Report on Form 10-K for the fiscal year ended June 27, 2014 for a discussion of our critical accounting policies and estimates.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refer to Part I, Item 1, Note 14 of the Notes to Condensed Consolidated Financial Statements included in this Quarterly Report on Form 10-Q.</w:t>
      </w:r>
    </w:p>
    <w:p>
      <w:pPr>
        <w:spacing w:after="0" w:line="204" w:lineRule="exact"/>
        <w:rPr>
          <w:sz w:val="20"/>
          <w:szCs w:val="20"/>
          <w:color w:val="auto"/>
        </w:rPr>
      </w:pPr>
    </w:p>
    <w:p>
      <w:pPr>
        <w:ind w:right="4660"/>
        <w:spacing w:after="0" w:line="346"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Disclosure About Foreign Currency Risk</w:t>
      </w:r>
    </w:p>
    <w:p>
      <w:pPr>
        <w:spacing w:after="0" w:line="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trading purposes. For additional information, refer to Part I, Item 1, Note 8 of the Notes to Condensed Consolidated Financial Statements included in this Quarterly Report on Form 10-Q.</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January 2, 2015, we had outstanding the following purchased foreign exchange contracts (in millions, except weighted average contract rate):</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Contract</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Weighted Average</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Contract Rate*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Unrealized</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Losses</w:t>
      </w:r>
    </w:p>
    <w:p>
      <w:pPr>
        <w:spacing w:after="0" w:line="30" w:lineRule="exact"/>
        <w:rPr>
          <w:sz w:val="20"/>
          <w:szCs w:val="20"/>
          <w:color w:val="auto"/>
        </w:rPr>
      </w:pPr>
    </w:p>
    <w:p>
      <w:pPr>
        <w:sectPr>
          <w:pgSz w:w="11900" w:h="16838" w:orient="portrait"/>
          <w:cols w:equalWidth="0" w:num="3">
            <w:col w:w="7480" w:space="720"/>
            <w:col w:w="1320" w:space="720"/>
            <w:col w:w="1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exchange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Cash flow hedges:</w:t>
            </w:r>
          </w:p>
        </w:tc>
        <w:tc>
          <w:tcPr>
            <w:tcW w:w="2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108.67</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Malaysian Ringgit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32.72</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Fair value hedges:</w:t>
            </w:r>
          </w:p>
        </w:tc>
        <w:tc>
          <w:tcPr>
            <w:tcW w:w="2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British Pound Sterling</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Euro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119.82</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44.75</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33.07</w:t>
            </w:r>
          </w:p>
        </w:tc>
        <w:tc>
          <w:tcPr>
            <w:tcW w:w="8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20" w:hanging="58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25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three and six months ended January 2, 2015, total net realized transaction and foreign exchange contract currency gains and losses were not material to the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Borrowings under the Credit Agreement bear interest at a rate equal to, at the option of the applicable Borrower, either (a) a customary London interbank offered rate (a “Eurodollar Rate”) or (b) a customary base rate (a “Base Rate”), in each case plus an applicable margin. The applicable margins range from 1.25% to 2.00% with respect to Eurodollar Rate borrowings and 0.25% to 1.00% with respect to Base Rate borrowings. WDT and WDI are also required to pay a commitment fee for the unused portion of the revolving credit facility, which ranges from 0.175% to 0.300% per annum. The applicable margins for borrowings and the commitment fee ranges are determined based upon a leverage ratio of us and our subsidiaries calculated on a consolidated basis. A one percent increase in the variable rate of interest on the term loan and revolving credit facility would increase interest expense by approximately $24 million annually. For additional information on the Credit Agreement, see Part I, Item 1, Note 4 of the Notes to Condensed Consolidated Financial Statements included in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0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fiscal quarter ended January 2, 2015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a description of our legal proceedings, refer to Part I, Item 1, Note 5 of the Notes to Condensed Consolidated Financial Statements included in this Quarterly Report on Form 10-Q, which is incorporated by reference in response to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the Company’s business, financial condition, results of operations or the market price of its common stock.</w:t>
      </w:r>
    </w:p>
    <w:p>
      <w:pPr>
        <w:spacing w:after="0" w:line="355"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i w:val="1"/>
          <w:iCs w:val="1"/>
          <w:color w:val="auto"/>
        </w:rPr>
        <w:t>If we fail to realize the anticipated benefits from our acquisition of HGST on a timely basis, or at all, our business and financial condition may be adversely affected.</w:t>
      </w:r>
    </w:p>
    <w:p>
      <w:pPr>
        <w:spacing w:after="0" w:line="11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agrees otherwise (with the minimum period being two years from the March 8, 2012 closing date of the acquisition). We worked closely with MOFCOM to finalize an operations plan that outlines in more detail the conditions of the competitive requirement. Compliance with these measures has affected, and may continue to affect, our business and financial conditions in the following ways:</w:t>
      </w:r>
    </w:p>
    <w:p>
      <w:pPr>
        <w:spacing w:after="0" w:line="146" w:lineRule="exact"/>
        <w:rPr>
          <w:sz w:val="20"/>
          <w:szCs w:val="20"/>
          <w:color w:val="auto"/>
        </w:rPr>
      </w:pPr>
    </w:p>
    <w:p>
      <w:pPr>
        <w:ind w:left="1120" w:right="620" w:hanging="32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limits our ability to integrate the businesses of our HGST and WD subsidiaries (and we do not expect to achieve significant operating expense synergies while the hold separate condition continues to exist);</w:t>
      </w:r>
    </w:p>
    <w:p>
      <w:pPr>
        <w:spacing w:after="0" w:line="143" w:lineRule="exact"/>
        <w:rPr>
          <w:rFonts w:ascii="Arial" w:cs="Arial" w:eastAsia="Arial" w:hAnsi="Arial"/>
          <w:sz w:val="18"/>
          <w:szCs w:val="18"/>
          <w:color w:val="auto"/>
        </w:rPr>
      </w:pPr>
    </w:p>
    <w:p>
      <w:pPr>
        <w:ind w:left="1120" w:right="660" w:hanging="32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caused, and could cause further, difficulties in retaining key employees and delays or uncertainties in making decisions about the combined business;</w:t>
      </w:r>
    </w:p>
    <w:p>
      <w:pPr>
        <w:spacing w:after="0" w:line="359" w:lineRule="exact"/>
        <w:rPr>
          <w:rFonts w:ascii="Arial" w:cs="Arial" w:eastAsia="Arial" w:hAnsi="Arial"/>
          <w:sz w:val="18"/>
          <w:szCs w:val="18"/>
          <w:color w:val="auto"/>
        </w:rPr>
      </w:pPr>
    </w:p>
    <w:p>
      <w:pPr>
        <w:ind w:left="1120" w:right="260" w:hanging="32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resulted in, and could result in additional, significant costs (including higher capital expenditures relative to our competitors as a result of maintaining separate functions in several areas); and</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60"/>
          </w:cols>
          <w:pgMar w:left="240" w:top="125"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required, and could require additional, changes in business practices.</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March 2014, we submitted an application to MOFCOM requesting that the regulatory restrictions be lifted. In December 2014, we successfully resolved two non-compliance matters with MOFCOM, relating to: (1) the organization of a WDC department that included several former HGST employees, and (2) the realignment of the ownership structure of an indirect subsidiary of WDC. We cannot predict whether or when the regulatory restrictions will be wholly or partially lifted or whether we will be able to realize the anticipated benefits of our acquisition of HGST even if the restrictions are wholly or partially lifted.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financial and real estate markets, cost increases and other macroeconomic factors. Some of the risks and uncertainties we face as a result of these conditions include the following:</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380"/>
        <w:spacing w:after="0" w:line="251" w:lineRule="auto"/>
        <w:rPr>
          <w:sz w:val="20"/>
          <w:szCs w:val="20"/>
          <w:color w:val="auto"/>
        </w:rPr>
      </w:pPr>
      <w:r>
        <w:rPr>
          <w:rFonts w:ascii="Arial" w:cs="Arial" w:eastAsia="Arial" w:hAnsi="Arial"/>
          <w:sz w:val="18"/>
          <w:szCs w:val="18"/>
          <w:i w:val="1"/>
          <w:iCs w:val="1"/>
          <w:color w:val="auto"/>
        </w:rPr>
        <w:t xml:space="preserve">Volatile Demand. </w:t>
      </w:r>
      <w:r>
        <w:rPr>
          <w:rFonts w:ascii="Arial" w:cs="Arial" w:eastAsia="Arial" w:hAnsi="Arial"/>
          <w:sz w:val="18"/>
          <w:szCs w:val="18"/>
          <w:color w:val="auto"/>
        </w:rPr>
        <w:t>Our direct and indirect customers may delay or reduce their purchases of our products and systems containing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200" w:lineRule="exact"/>
        <w:rPr>
          <w:sz w:val="20"/>
          <w:szCs w:val="20"/>
          <w:color w:val="auto"/>
        </w:rPr>
      </w:pPr>
    </w:p>
    <w:p>
      <w:pPr>
        <w:spacing w:after="0" w:line="267" w:lineRule="exact"/>
        <w:rPr>
          <w:sz w:val="20"/>
          <w:szCs w:val="20"/>
          <w:color w:val="auto"/>
        </w:rPr>
      </w:pPr>
    </w:p>
    <w:p>
      <w:pPr>
        <w:ind w:left="1120" w:right="760" w:hanging="329"/>
        <w:spacing w:after="0" w:line="219" w:lineRule="auto"/>
        <w:tabs>
          <w:tab w:leader="none" w:pos="1120"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Restructuring Activities. </w:t>
      </w:r>
      <w:r>
        <w:rPr>
          <w:rFonts w:ascii="Arial" w:cs="Arial" w:eastAsia="Arial" w:hAnsi="Arial"/>
          <w:sz w:val="16"/>
          <w:szCs w:val="16"/>
          <w:color w:val="auto"/>
        </w:rPr>
        <w:t>If demand for our products slows as a result of a deterioration in economic conditions, we may undertake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activities to realign our cost structure with softening demand. The occurrence of restructuring activities could result in impairment charges and other expenses, which could adversely impact our results of operations or financial condition.</w:t>
      </w:r>
    </w:p>
    <w:p>
      <w:pPr>
        <w:spacing w:after="0" w:line="200" w:lineRule="exact"/>
        <w:rPr>
          <w:sz w:val="20"/>
          <w:szCs w:val="20"/>
          <w:color w:val="auto"/>
        </w:rPr>
      </w:pPr>
    </w:p>
    <w:p>
      <w:pPr>
        <w:spacing w:after="0" w:line="2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220"/>
        <w:spacing w:after="0" w:line="287" w:lineRule="auto"/>
        <w:rPr>
          <w:sz w:val="20"/>
          <w:szCs w:val="20"/>
          <w:color w:val="auto"/>
        </w:rPr>
      </w:pPr>
      <w:r>
        <w:rPr>
          <w:rFonts w:ascii="Arial" w:cs="Arial" w:eastAsia="Arial" w:hAnsi="Arial"/>
          <w:sz w:val="16"/>
          <w:szCs w:val="16"/>
          <w:i w:val="1"/>
          <w:iCs w:val="1"/>
          <w:color w:val="auto"/>
        </w:rPr>
        <w:t xml:space="preserve">Credit Volatility and Loss of Receivables. </w:t>
      </w:r>
      <w:r>
        <w:rPr>
          <w:rFonts w:ascii="Arial" w:cs="Arial" w:eastAsia="Arial" w:hAnsi="Arial"/>
          <w:sz w:val="16"/>
          <w:szCs w:val="16"/>
          <w:color w:val="auto"/>
        </w:rPr>
        <w:t>We extend credit and payment terms to some of our customers. In addition to ongoing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200" w:lineRule="exact"/>
        <w:rPr>
          <w:sz w:val="20"/>
          <w:szCs w:val="20"/>
          <w:color w:val="auto"/>
        </w:rPr>
      </w:pPr>
    </w:p>
    <w:p>
      <w:pPr>
        <w:spacing w:after="0" w:line="239" w:lineRule="exact"/>
        <w:rPr>
          <w:sz w:val="20"/>
          <w:szCs w:val="20"/>
          <w:color w:val="auto"/>
        </w:rPr>
      </w:pPr>
    </w:p>
    <w:p>
      <w:pPr>
        <w:ind w:left="1120" w:right="200" w:hanging="329"/>
        <w:spacing w:after="0" w:line="211" w:lineRule="auto"/>
        <w:tabs>
          <w:tab w:leader="none" w:pos="112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Negative or uncertain global economic conditions could result in circumstances, such as a sustained decline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price and market capitalization or a 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460"/>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the risk of declining ASPs, volatile gross margins and significant shifts in market share, all of which could adversely affect our operating results.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As a result,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 including a substantial decrease in our market share.</w:t>
      </w:r>
    </w:p>
    <w:p>
      <w:pPr>
        <w:spacing w:after="0" w:line="129"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1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of computer systems, storage subsystems, gaming consoles and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22" w:lineRule="exact"/>
        <w:rPr>
          <w:sz w:val="20"/>
          <w:szCs w:val="20"/>
          <w:color w:val="auto"/>
        </w:rPr>
      </w:pPr>
    </w:p>
    <w:p>
      <w:pPr>
        <w:ind w:left="500" w:right="100"/>
        <w:spacing w:after="0" w:line="342" w:lineRule="auto"/>
        <w:rPr>
          <w:sz w:val="20"/>
          <w:szCs w:val="20"/>
          <w:color w:val="auto"/>
        </w:rPr>
      </w:pPr>
      <w:r>
        <w:rPr>
          <w:rFonts w:ascii="Arial" w:cs="Arial" w:eastAsia="Arial" w:hAnsi="Arial"/>
          <w:sz w:val="16"/>
          <w:szCs w:val="16"/>
          <w:i w:val="1"/>
          <w:iCs w:val="1"/>
          <w:color w:val="auto"/>
        </w:rPr>
        <w:t>Our sales to the CE, cloud computing, network attached storage (NAS), surveillance and enterprise markets, representing an increasing percentage of our overall revenue, may grow at a slower rate than current estimates, which could materially adversely impact our operating results.</w:t>
      </w:r>
    </w:p>
    <w:p>
      <w:pPr>
        <w:spacing w:after="0" w:line="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secular growth of digital data is resulting in a more diversified mix of revenue from the CE, cloud computing, NAS, surveillance and enterprise markets. As sales into these markets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214" w:lineRule="exact"/>
        <w:rPr>
          <w:sz w:val="20"/>
          <w:szCs w:val="20"/>
          <w:color w:val="auto"/>
        </w:rPr>
      </w:pPr>
    </w:p>
    <w:p>
      <w:pPr>
        <w:ind w:left="1120" w:right="280" w:hanging="329"/>
        <w:spacing w:after="0" w:line="211" w:lineRule="auto"/>
        <w:tabs>
          <w:tab w:leader="none" w:pos="112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Mobile Devices. </w:t>
      </w:r>
      <w:r>
        <w:rPr>
          <w:rFonts w:ascii="Arial" w:cs="Arial" w:eastAsia="Arial" w:hAnsi="Arial"/>
          <w:sz w:val="18"/>
          <w:szCs w:val="18"/>
          <w:color w:val="auto"/>
        </w:rPr>
        <w:t>There has been and continues to be a rapid growth in devices that do not contain a hard drive such as tablet computers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smart phones. As tablet computers and smart phones provide many of the same capabilities as PCs, they have displaced or materially affected, and may continue to displace or materially affect, the demand for PCs. If we are not successful in adapting our product offerings to include disk drives or alternative storage solutions that address these devices, demand for our products in these markets may decrease and our financial results could be materially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120" w:right="380" w:hanging="329"/>
        <w:spacing w:after="0" w:line="221" w:lineRule="auto"/>
        <w:tabs>
          <w:tab w:leader="none" w:pos="1120" w:val="left"/>
        </w:tabs>
        <w:numPr>
          <w:ilvl w:val="0"/>
          <w:numId w:val="13"/>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Cloud Computing. </w:t>
      </w:r>
      <w:r>
        <w:rPr>
          <w:rFonts w:ascii="Arial" w:cs="Arial" w:eastAsia="Arial" w:hAnsi="Arial"/>
          <w:sz w:val="18"/>
          <w:szCs w:val="18"/>
          <w:color w:val="auto"/>
        </w:rPr>
        <w:t>Consumers traditionally have stored their data on their PC, often supplemented with personal external storage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Most businesses also include similar local storage as a primary or secondary storage location. This storage is typically provided by hard disk drives. Over the last few years, cloud computing has emerged whereby applications and data are hosted, accessed and processed through a third-party provider over a broadband Internet connection, potentially reducing or eliminating the need for, among other things, significant storage inside the accessing computer. If we are not successful in manufacturing compelling products to address the cloud computing opportunity, demand for our products in these markets may decrease and our financial results could be materially adversely affected.</w:t>
      </w:r>
    </w:p>
    <w:p>
      <w:pPr>
        <w:spacing w:after="0" w:line="338" w:lineRule="exact"/>
        <w:rPr>
          <w:rFonts w:ascii="Arial" w:cs="Arial" w:eastAsia="Arial" w:hAnsi="Arial"/>
          <w:sz w:val="36"/>
          <w:szCs w:val="36"/>
          <w:color w:val="auto"/>
          <w:vertAlign w:val="superscript"/>
        </w:rPr>
      </w:pPr>
    </w:p>
    <w:p>
      <w:pPr>
        <w:ind w:left="1120" w:right="780" w:hanging="329"/>
        <w:spacing w:after="0" w:line="182" w:lineRule="auto"/>
        <w:tabs>
          <w:tab w:leader="none" w:pos="1120" w:val="left"/>
        </w:tabs>
        <w:numPr>
          <w:ilvl w:val="0"/>
          <w:numId w:val="13"/>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Obsolete Inventory. </w:t>
      </w:r>
      <w:r>
        <w:rPr>
          <w:rFonts w:ascii="Arial" w:cs="Arial" w:eastAsia="Arial" w:hAnsi="Arial"/>
          <w:sz w:val="17"/>
          <w:szCs w:val="17"/>
          <w:color w:val="auto"/>
        </w:rPr>
        <w:t>In some cases, products we manufacture for these other markets are uniquely configured for a single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creating a risk of obsolete inventory if anticipated demand is not actually realized.</w:t>
      </w:r>
    </w:p>
    <w:p>
      <w:pPr>
        <w:spacing w:after="0" w:line="200" w:lineRule="exact"/>
        <w:rPr>
          <w:rFonts w:ascii="Arial" w:cs="Arial" w:eastAsia="Arial" w:hAnsi="Arial"/>
          <w:sz w:val="34"/>
          <w:szCs w:val="34"/>
          <w:color w:val="auto"/>
          <w:vertAlign w:val="superscript"/>
        </w:rPr>
      </w:pPr>
    </w:p>
    <w:p>
      <w:pPr>
        <w:spacing w:after="0" w:line="354" w:lineRule="exact"/>
        <w:rPr>
          <w:rFonts w:ascii="Arial" w:cs="Arial" w:eastAsia="Arial" w:hAnsi="Arial"/>
          <w:sz w:val="34"/>
          <w:szCs w:val="34"/>
          <w:color w:val="auto"/>
          <w:vertAlign w:val="superscript"/>
        </w:rPr>
      </w:pPr>
    </w:p>
    <w:p>
      <w:pPr>
        <w:ind w:left="1120" w:right="300" w:hanging="329"/>
        <w:spacing w:after="0" w:line="203" w:lineRule="auto"/>
        <w:tabs>
          <w:tab w:leader="none" w:pos="1120" w:val="left"/>
        </w:tabs>
        <w:numPr>
          <w:ilvl w:val="0"/>
          <w:numId w:val="13"/>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Consumer spending has been, and may continue to be, adversely affected in many regions due to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 and high unemployment levels. Please see the risk factor entitled “</w:t>
      </w:r>
      <w:r>
        <w:rPr>
          <w:rFonts w:ascii="Arial" w:cs="Arial" w:eastAsia="Arial" w:hAnsi="Arial"/>
          <w:sz w:val="18"/>
          <w:szCs w:val="18"/>
          <w:i w:val="1"/>
          <w:iCs w:val="1"/>
          <w:color w:val="auto"/>
        </w:rPr>
        <w:t>Adverse global economic conditions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market uncertainty could harm our business, results of operations and financial condition.” </w:t>
      </w:r>
      <w:r>
        <w:rPr>
          <w:rFonts w:ascii="Arial" w:cs="Arial" w:eastAsia="Arial" w:hAnsi="Arial"/>
          <w:sz w:val="18"/>
          <w:szCs w:val="18"/>
          <w:color w:val="auto"/>
        </w:rPr>
        <w:t>for more risks and uncertainties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macroeconomic conditions.</w:t>
      </w:r>
    </w:p>
    <w:p>
      <w:pPr>
        <w:spacing w:after="0" w:line="25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demand in these other markets also could be negatively impacted by developments in the regulation and enforcement of digital rights management and the emergence of new technologies, such as data deduplication,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Furthermore, our ability to accurately read and respond to market trends, such as trends relating to the Internet or big data, could harm our results.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we fail to respond to changes in the client compute market (the “PC market”), our operating results could suffer.</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While sales to the other markets are becoming a more significant source of revenue, sales to the PC market remain an important part of our business. The PC market, however, has been, and may continue to be, adversely affected by the growth of tablet computers, smart phones and similar devices that perform many of the same capabilities as PCs, the lengthening of product life cycles and macroeconomic conditions. If we fail to respond to changes in the PC market, our operating results could suffer. Additionally, if demand in the PC market is worse than expected as a result of these or other conditions, demand for our products in the PC market may decrease at a faster rate and our operating results may be adversely affected.</w:t>
      </w:r>
    </w:p>
    <w:p>
      <w:pPr>
        <w:spacing w:after="0" w:line="10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16"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including traditional retail, e-commerce and online channels.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w:t>
      </w:r>
      <w:r>
        <w:rPr>
          <w:rFonts w:ascii="Arial" w:cs="Arial" w:eastAsia="Arial" w:hAnsi="Arial"/>
          <w:sz w:val="16"/>
          <w:szCs w:val="16"/>
          <w:color w:val="auto"/>
          <w:vertAlign w:val="superscript"/>
        </w:rPr>
        <w:t>®</w:t>
      </w:r>
      <w:r>
        <w:rPr>
          <w:rFonts w:ascii="Arial" w:cs="Arial" w:eastAsia="Arial" w:hAnsi="Arial"/>
          <w:sz w:val="16"/>
          <w:szCs w:val="16"/>
          <w:color w:val="auto"/>
        </w:rPr>
        <w:t>, HGST™ or G-Technology™ brand products, our operating results may be adversely affected.</w:t>
      </w:r>
    </w:p>
    <w:p>
      <w:pPr>
        <w:spacing w:after="0" w:line="97"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1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quarter ended January 2, 2015, 44%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1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1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could be harmed.</w:t>
      </w:r>
    </w:p>
    <w:p>
      <w:pPr>
        <w:spacing w:after="0" w:line="111"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research and development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12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 range of storage products to our customers. We currently offer a variety of 3.5-inch and 2.5-inch hard drives, solid state drives and other products for the PC and other storage markets. As we expand our product line to sell into new markets, the overall complexity of our business increases at an accelerated rate and we become subject to different market dynamics. These dynamics may include, among other things, different demand volume, seasonality, product requirements, sales channels, and warranty and return policies. In addition, expansion into other markets may result in increases in research and development expenses and substantial investments in manufacturing capability or technology enhancements. If we fail to successfully expand into new markets with products that we do not currently offer, we may lose business to our competitors or new entrants who offer these products.</w:t>
      </w:r>
    </w:p>
    <w:p>
      <w:pPr>
        <w:spacing w:after="0" w:line="124"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i w:val="1"/>
          <w:iCs w:val="1"/>
          <w:color w:val="auto"/>
        </w:rPr>
        <w:t>Our vertical integration of head and magnetic media manufacturing makes us dependent on our ability to timely and cost-effectively develop heads and magnetic media with leading technology and overall quality, increasing capital expenditure costs and asset utilization risks for our business.</w:t>
      </w:r>
    </w:p>
    <w:p>
      <w:pPr>
        <w:spacing w:after="0" w:line="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develop and manufacture a substantial portion of the heads and magnetic media used in the hard drive products we produce.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There can be no assurance, however, that we will be 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11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134"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i w:val="1"/>
          <w:iCs w:val="1"/>
          <w:color w:val="auto"/>
        </w:rPr>
        <w:t>We make significant investments in research and development to improve our technology and develop new technologies, and unsuccessful investments could materially adversely affect our business, financial condition and results of operations.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leading supplier of hard drives and a major supplier of enterprise solid state drives, we make significant investments to maintain our existing products and to lead innovation and development of new technologies. This strategy requires us to make significant investments in research and development and, in order to remain competitive, we may increase our capital expenditures and expenses above our historical run-rate model. There can be no assurance that these investments will result in viable technologies or products, or if these investments do result in viable technologies or products, that they will be profitable or accepted by the market. Significant investments in unsuccessful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consolidations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127"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11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qualify our products with our customers, it may have a significant adverse impact on our sales and margins.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original equipment manufacturers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35"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i w:val="1"/>
          <w:iCs w:val="1"/>
          <w:color w:val="auto"/>
        </w:rPr>
        <w:t>We are subject to risks related to product defects or the unintended use of our products, which could result in product recalls or epidemic failures and could subject us to warranty claims in excess of our warranty provisions or which are greater than anticipated.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there can be no assurance that our testing will reveal defects in our products, which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and, if a product recall occurs during the product’s warranty period, we may be required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original design manufacturers ("ODM") customers.</w:t>
      </w:r>
    </w:p>
    <w:p>
      <w:pPr>
        <w:spacing w:after="0" w:line="12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84"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depend on an external supply base for technologies, components, equipment and materials for use in our product design and manufacturing. We also depend on service suppliers for providing technical support for our products. In addition, we use logistics partners to manage our JIT (just-in-time) hubs, distribution centers and freight from suppliers to our factories and from our factories to our customers throughout the world. Many of these components and much of this equipment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However, many of the risks that affect us also affect our supply base, including, but not limited to, having single site manufacturing locations based in high risk regions of the world, macro and local economic conditions, shortages of commodity materials, proper management of technology transitions, natural disasters, geo-political risks, compliance with legal requirements, financial instability and exposure to intellectual property and other litigation, including an injunction or other action that could delay shipping. If any of these risks were to affect our suppliers,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to develop new technologies and, as a result, we may become subject to litigation from our suppliers or third parties.</w:t>
      </w:r>
    </w:p>
    <w:p>
      <w:pPr>
        <w:spacing w:after="0" w:line="13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As PC demand slows, competition increases from NAND and other consumer devices, the total available market for hard disk drives decreases and costs increase, these suppliers may reevaluate their business models.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such as NAND flash. In the case of NAND suppliers, many of which are involved in developing storage products such as SSD that, in some cases, compete with our products. Our success in these new product areas may be dependent on our ability and their willingness to develop close relationships, with preferential agreements. Where this cannot be done, our business and operations may be adversely affected.</w:t>
      </w:r>
    </w:p>
    <w:p>
      <w:pPr>
        <w:spacing w:after="0" w:line="11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Please see the risk factors entitled, “</w:t>
      </w:r>
      <w:r>
        <w:rPr>
          <w:rFonts w:ascii="Arial" w:cs="Arial" w:eastAsia="Arial" w:hAnsi="Arial"/>
          <w:sz w:val="18"/>
          <w:szCs w:val="18"/>
          <w:i w:val="1"/>
          <w:iCs w:val="1"/>
          <w:color w:val="auto"/>
        </w:rPr>
        <w:t>A fundamental change in storage technologies could result in significant increases in our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costs and could put us at a competitive disadvantage” and “If we do not properly manage technology transitions, our competitiveness and operating results may be negatively affected” </w:t>
      </w:r>
      <w:r>
        <w:rPr>
          <w:rFonts w:ascii="Arial" w:cs="Arial" w:eastAsia="Arial" w:hAnsi="Arial"/>
          <w:sz w:val="18"/>
          <w:szCs w:val="18"/>
          <w:color w:val="auto"/>
        </w:rPr>
        <w:t>for a review of some of the risks related to our internal supply.</w:t>
      </w:r>
    </w:p>
    <w:p>
      <w:pPr>
        <w:spacing w:after="0" w:line="10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11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1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7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If product life cycles lengthen, we may need to develop new technologies or programs to reduce our costs on any particular product to maintain competitive pricing for that product.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 fundamental change in storage technologies could result in significant increases in our costs and could put us at a competitive disadvantage.</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Historically, when the industry experiences a fundamental change in storage technologies,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 which could harm our operating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storage markets in which we offer our products continuously undergo technology transitions which we must anticipate and adapt our products to address in a timely manner. If we fail to implement these new technologies successfully, or if we are slower than our competitors at implementing new technologies, we may not be able to competitively offer products that our customers desire, which could harm our operating results.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advances in computer hardware and software are made, our customers have demanded a more diversified portfolio of products with new and additional features. In some cases, this demand results in investments in new products for a particular market that do not necessarily expand overall market opportunity, which may negatively affect our operating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52" w:lineRule="exact"/>
        <w:rPr>
          <w:sz w:val="20"/>
          <w:szCs w:val="20"/>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20" w:hanging="329"/>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 and</w:t>
      </w:r>
    </w:p>
    <w:p>
      <w:pPr>
        <w:spacing w:after="0" w:line="143"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may suffer if we fail to successfully anticipate and manage issues associated with our product development.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develop and introduce new products that are competitive against alternative storage technologies, our business may suffer.</w:t>
      </w:r>
    </w:p>
    <w:p>
      <w:pPr>
        <w:spacing w:after="0" w:line="171" w:lineRule="exact"/>
        <w:rPr>
          <w:sz w:val="20"/>
          <w:szCs w:val="20"/>
          <w:color w:val="auto"/>
        </w:rPr>
      </w:pPr>
    </w:p>
    <w:p>
      <w:pPr>
        <w:ind w:right="320" w:firstLine="648"/>
        <w:spacing w:after="0" w:line="272" w:lineRule="auto"/>
        <w:rPr>
          <w:sz w:val="20"/>
          <w:szCs w:val="20"/>
          <w:color w:val="auto"/>
        </w:rPr>
      </w:pPr>
      <w:r>
        <w:rPr>
          <w:rFonts w:ascii="Arial" w:cs="Arial" w:eastAsia="Arial" w:hAnsi="Arial"/>
          <w:sz w:val="17"/>
          <w:szCs w:val="17"/>
          <w:color w:val="auto"/>
        </w:rPr>
        <w:t>Our success depends in part on our ability to develop and introduce new products in a timely manner in order to keep pace with technology advancements. Newer storage technologies have successfully served mobility markets for products that cannot be serviced using traditional storage technologies. Advances in semiconductor technology have resulted in other emerging technologies that can be competitive with traditional storage technologies for high performance needs in advanced digital computing markets such as enterprise servers and storage. There can be no assurance that we will be successful in anticipating and developing new products for the PC and other storage markets in response to competing storage technologies. If our hard drive and solid state products fail to offer a superior value proposition to alternative storage products, we will be at a competitive disadvantage to companies using alternative technology and our business will suffer.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Manufacturing and marketing our products globally subjects us to numerous risks.</w:t>
      </w:r>
    </w:p>
    <w:p>
      <w:pPr>
        <w:spacing w:after="0" w:line="17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are subject to risks associated with our global manufacturing operations and global marketing efforts, as well as risks associated with our utilization of and reliance on contract manufacturers, including:</w:t>
      </w:r>
    </w:p>
    <w:p>
      <w:pPr>
        <w:spacing w:after="0" w:line="197" w:lineRule="exact"/>
        <w:rPr>
          <w:sz w:val="20"/>
          <w:szCs w:val="20"/>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40" w:hanging="32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transportation availability, delays, and extended time required for shipping, which risks may be compounded in periods of price declines;</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restrictions or higher tariffs;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labor and overhead costs;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Sudden disruptions to the availability of freight lanes could have an impact on our operations.</w:t>
      </w:r>
    </w:p>
    <w:p>
      <w:pPr>
        <w:spacing w:after="0" w:line="17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generally ship our products to our customers, and receive shipments from our suppliers, via air, ocean or land freight. The sudden unavailability or disruption of cargo operations or freight lanes caused by, among other things, labor difficulties or disputes, severe weather patterns or other natural disasters, or political instability or civil unrest, could impact our operating results by impairing our ability to timely and efficiently deliver our products.</w:t>
      </w:r>
    </w:p>
    <w:p>
      <w:pPr>
        <w:spacing w:after="0" w:line="93"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If we sustain system failures, cyber attacks to our systems or to our products or other data security breaches, we could suffer a loss of revenue and increased costs, exposure to significant liability, reputational harm and other serious negative consequences.</w:t>
      </w:r>
    </w:p>
    <w:p>
      <w:pPr>
        <w:spacing w:after="0" w:line="1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heavily dependent on our technology infrastructure to, among other functions, operate our factories, provide and sell our products and services, fulfill orders, manage inventory and bill, collect and make payments and we are subject to laws, rules and regulations in the U.S. and other countries relating to the collection, use and security of user data. Our systems are vulnerable to damage or interruption from natural disasters, power loss, telecommunication failures, cyber attacks such as computer viruses, computer denial-of-service attacks and other events. Our business is also subject to break-ins, sabotage and intentional acts of vandalism by third parties as well as intentional or unintentional acts by employees. Computer programmers, hackers and others may be able to develop and deploy viruses, worms, and other malicious software programs or otherwise attack our products, to discover or exploit any security vulnerabilities or breach or compromise the security schemes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w:t>
      </w:r>
    </w:p>
    <w:p>
      <w:pPr>
        <w:spacing w:after="0" w:line="12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foregoing security problems could result in, among other consequences, loss or theft of our, our customers’ or our business partners’ intellectual property, proprietary business information or personally identifiable information. The costs to us to eliminate or address the foregoing security problems and security vulnerabilities before or after a cyber incident could be significant. Our remediation efforts may not be successful and could result in interruptions, delays or cessation of service and loss of existing or potential customers that may impede our sales, manufacturing, distribution, or other critical functions. We could lose existing or potential customers in connection with any actual or perceived security vulnerabilities in our products. In addition, breaches of our security measures and the unapproved dissemination of proprietary information or sensitive or confidential data or personal data or information about us, our customers or other third parties, could expose us, our customers, or other affected third parties to a risk of loss or misuse of this information, result in litigation, damage our brand and reputation, or otherwise harm our business, operating results and financial condition. Further, we rely on third-party data management providers whose possible security problems and security vulnerabilities may have similar effects on us.</w:t>
      </w:r>
    </w:p>
    <w:p>
      <w:pPr>
        <w:spacing w:after="0" w:line="113"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it may adversely affect our future results.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part of our growth strategy, we have completed, and we may continue to pursue, acquisitions of, investment opportunities in, or other significant transactions with companies that are complementary to our business. For example, we completed the acquisitions of sTec on September 12, 2013 and Virident on October 17,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1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Please also see the risk factor entitled “</w:t>
      </w:r>
      <w:r>
        <w:rPr>
          <w:rFonts w:ascii="Arial" w:cs="Arial" w:eastAsia="Arial" w:hAnsi="Arial"/>
          <w:sz w:val="18"/>
          <w:szCs w:val="18"/>
          <w:i w:val="1"/>
          <w:iCs w:val="1"/>
          <w:color w:val="auto"/>
        </w:rPr>
        <w:t>If we fail to realize the anticipated benefits from our acquisition of HGST on a timely basis, or at all,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financial condition may be adversely affected”</w:t>
      </w:r>
      <w:r>
        <w:rPr>
          <w:rFonts w:ascii="Arial" w:cs="Arial" w:eastAsia="Arial" w:hAnsi="Arial"/>
          <w:sz w:val="18"/>
          <w:szCs w:val="18"/>
          <w:color w:val="auto"/>
        </w:rPr>
        <w: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entered into strategic relationships with various partners to reduce the risk associated with relying on external suppliers for technologies, components, equipment and materials for use in our product design and manufacturing. Please see the risk factor entitled “</w:t>
      </w:r>
      <w:r>
        <w:rPr>
          <w:rFonts w:ascii="Arial" w:cs="Arial" w:eastAsia="Arial" w:hAnsi="Arial"/>
          <w:sz w:val="16"/>
          <w:szCs w:val="16"/>
          <w:i w:val="1"/>
          <w:iCs w:val="1"/>
          <w:color w:val="auto"/>
        </w:rPr>
        <w:t>Because we are dependent on a</w:t>
      </w:r>
      <w:r>
        <w:rPr>
          <w:rFonts w:ascii="Arial" w:cs="Arial" w:eastAsia="Arial" w:hAnsi="Arial"/>
          <w:sz w:val="16"/>
          <w:szCs w:val="16"/>
          <w:color w:val="auto"/>
        </w:rPr>
        <w:t xml:space="preserve"> </w:t>
      </w:r>
      <w:r>
        <w:rPr>
          <w:rFonts w:ascii="Arial" w:cs="Arial" w:eastAsia="Arial" w:hAnsi="Arial"/>
          <w:sz w:val="16"/>
          <w:szCs w:val="16"/>
          <w:i w:val="1"/>
          <w:iCs w:val="1"/>
          <w:color w:val="auto"/>
        </w:rPr>
        <w:t>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 description of the risks associated with our reliance on external suppliers. These strategic relationships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various risks that could adversely affect the value of our investments and our results of operations. These risks include the following:</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520"/>
        <w:spacing w:after="0" w:line="259" w:lineRule="auto"/>
        <w:rPr>
          <w:sz w:val="20"/>
          <w:szCs w:val="20"/>
          <w:color w:val="auto"/>
        </w:rPr>
      </w:pPr>
      <w:r>
        <w:rPr>
          <w:rFonts w:ascii="Arial" w:cs="Arial" w:eastAsia="Arial" w:hAnsi="Arial"/>
          <w:sz w:val="18"/>
          <w:szCs w:val="18"/>
          <w:color w:val="auto"/>
        </w:rPr>
        <w:t>our interests could diverge from our partners’ interests or we may not be able to agree with co-venturers on ongoing activities, or on the amount, timing or nature of further investments in the relationship</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we may experience difficulties and delays in ramping production at, and transferring technology to, such ventures;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our control over the operations of our ventures is limited;</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400"/>
        <w:spacing w:after="0" w:line="259" w:lineRule="auto"/>
        <w:rPr>
          <w:sz w:val="20"/>
          <w:szCs w:val="20"/>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460"/>
        <w:spacing w:after="0" w:line="259" w:lineRule="auto"/>
        <w:rPr>
          <w:sz w:val="20"/>
          <w:szCs w:val="20"/>
          <w:color w:val="auto"/>
        </w:rPr>
      </w:pPr>
      <w:r>
        <w:rPr>
          <w:rFonts w:ascii="Arial" w:cs="Arial" w:eastAsia="Arial" w:hAnsi="Arial"/>
          <w:sz w:val="18"/>
          <w:szCs w:val="18"/>
          <w:color w:val="auto"/>
        </w:rPr>
        <w:t>due to differing business models or long-term business goals, our partners may decide not to join us in funding capital investment by our ventures, which may result in higher levels of cash expenditures by us;</w:t>
      </w:r>
    </w:p>
    <w:p>
      <w:pPr>
        <w:spacing w:after="0" w:line="375" w:lineRule="exact"/>
        <w:rPr>
          <w:sz w:val="20"/>
          <w:szCs w:val="20"/>
          <w:color w:val="auto"/>
        </w:rPr>
      </w:pPr>
    </w:p>
    <w:p>
      <w:pPr>
        <w:ind w:left="1120" w:right="700" w:hanging="329"/>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our partner is acquired by another company, files for bankruptcy or experiences financial or other losses;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we may experience difficulties or delays in collecting amounts due to us from our co-venturers;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the terms of our arrangements may turn out to be unfavorable; and</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adversely affected.</w:t>
      </w:r>
    </w:p>
    <w:p>
      <w:pPr>
        <w:spacing w:after="0" w:line="225"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i w:val="1"/>
          <w:iCs w:val="1"/>
          <w:color w:val="auto"/>
        </w:rPr>
        <w:t>The nature of our industry and its reliance on intellectual property and other proprietary information subjects us and our suppliers and customers to the risk of significant litigation.</w:t>
      </w:r>
    </w:p>
    <w:p>
      <w:pPr>
        <w:spacing w:after="0" w:line="11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data storage industry has been characterized by significant litigation. This includes litigation relating to patent and other intellectual property rights, product liability claims and other types of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 As disclosed in Part I, Item 1, Note 5 in the Notes to Condensed Consolidated Financial Statements included in this Quarterly Report on Form 10-Q, in relation to our litigation matter with Seagate, on October 8, 2014, the Minnesota Supreme Court affirmed the decision of the Minnesota Court of Appeals, and as a result on October 14, 2014, we paid Seagate $773.4 million to satisfy the full amount of the final arbitration award plus interest accrued through October 13, 2014.</w:t>
      </w:r>
    </w:p>
    <w:p>
      <w:pPr>
        <w:spacing w:after="0" w:line="11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and customers are subject to similar risks of litigation, and a material, adverse ruling against a supplier or customer could negatively impact our business.</w:t>
      </w:r>
    </w:p>
    <w:p>
      <w:pPr>
        <w:spacing w:after="0" w:line="113"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1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could harm our operating results.</w:t>
      </w:r>
    </w:p>
    <w:p>
      <w:pPr>
        <w:spacing w:after="0" w:line="110"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financial condition and operating results.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1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August 2012, the SEC adopted new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 first such report was due on June 2, 2014.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proposed conflict minerals legislation is adopted by the European Commission or Canada, these risks could increase.</w:t>
      </w:r>
    </w:p>
    <w:p>
      <w:pPr>
        <w:spacing w:after="0" w:line="126"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or customers could harm our business.</w:t>
      </w:r>
    </w:p>
    <w:p>
      <w:pPr>
        <w:spacing w:after="0" w:line="1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our suppliers and customers to operate in compliance with applicable laws and regulations, including labor and environmental laws, and to otherwise meet our required standards of conduct. While our internal operating guidelines promote ethical business practices, we do not control our suppliers or customers or their labor or environmental practices. The violation of labor, environmental or other laws by any of our suppliers or customers, or divergence of a supplier’s or customer’s business practices from those generally accepted as ethical, could harm our business by:</w:t>
      </w:r>
    </w:p>
    <w:p>
      <w:pPr>
        <w:spacing w:after="0" w:line="144" w:lineRule="exact"/>
        <w:rPr>
          <w:sz w:val="20"/>
          <w:szCs w:val="20"/>
          <w:color w:val="auto"/>
        </w:rPr>
      </w:pPr>
    </w:p>
    <w:p>
      <w:pPr>
        <w:ind w:left="1120" w:hanging="329"/>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or customers’ wrongdoings.</w:t>
      </w:r>
    </w:p>
    <w:p>
      <w:pPr>
        <w:spacing w:after="0" w:line="185" w:lineRule="exact"/>
        <w:rPr>
          <w:sz w:val="20"/>
          <w:szCs w:val="20"/>
          <w:color w:val="auto"/>
        </w:rPr>
      </w:pPr>
    </w:p>
    <w:p>
      <w:pPr>
        <w:ind w:left="500" w:right="740"/>
        <w:spacing w:after="0" w:line="277" w:lineRule="auto"/>
        <w:rPr>
          <w:sz w:val="20"/>
          <w:szCs w:val="20"/>
          <w:color w:val="auto"/>
        </w:rPr>
      </w:pPr>
      <w:r>
        <w:rPr>
          <w:rFonts w:ascii="Arial" w:cs="Arial" w:eastAsia="Arial" w:hAnsi="Arial"/>
          <w:sz w:val="18"/>
          <w:szCs w:val="18"/>
          <w:i w:val="1"/>
          <w:iCs w:val="1"/>
          <w:color w:val="auto"/>
        </w:rPr>
        <w:t>Any decisions to reduce or discontinue paying cash dividends to our shareholders or repurchase shares of our common stock pursuant to our previously announced stock repurchase program could cause the market price for our common stock to decline.</w:t>
      </w:r>
    </w:p>
    <w:p>
      <w:pPr>
        <w:spacing w:after="0" w:line="11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payment of quarterly cash dividends and repurchase shares of our common stock pursuant to our stock purchase program will be subject to, among other things, our financial position and results of operations, available cash and cash flow, capital requirements, and other factors. Any reduction or discontinuance by us of the payment of quarterly cash dividends or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result in a lower market valuation of our common stock.</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10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w:t>
      </w:r>
    </w:p>
    <w:p>
      <w:pPr>
        <w:spacing w:after="0" w:line="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acquisition of HGST has also resulted in an increase to our customer credit risk given that we service many of the same customers.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28"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198" w:lineRule="exact"/>
        <w:rPr>
          <w:sz w:val="20"/>
          <w:szCs w:val="20"/>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prices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customers of competing products in lieu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and other fluctuations in demand for systems that use storage devices often due to technological advances;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33"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1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25" w:right="2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results may differ significantly from our estimates and assumptions. These changes have impacted our financial results in the past and may continue to do so in the future. Key estimates and assumptions for us include:</w:t>
      </w:r>
    </w:p>
    <w:p>
      <w:pPr>
        <w:spacing w:after="0" w:line="197" w:lineRule="exact"/>
        <w:rPr>
          <w:sz w:val="20"/>
          <w:szCs w:val="20"/>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20" w:hanging="329"/>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79"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periods of severe pricing pressures due to oversupply or price erosion resulting from competitive pressures or industry consolidation;</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260" w:hanging="329"/>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conditions and trends in the hard drive, solid state storage, computer, data and content management, storage and communication industries;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1160" w:hanging="329"/>
        <w:spacing w:after="0" w:line="308" w:lineRule="auto"/>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meet analysts’ revenue or earnings estimates or changes in financial estimates or publication of research reports and recommendations by financial analysts relating specifically to us or the storage industry in general; and</w:t>
      </w:r>
    </w:p>
    <w:p>
      <w:pPr>
        <w:spacing w:after="0" w:line="335" w:lineRule="exact"/>
        <w:rPr>
          <w:rFonts w:ascii="Arial" w:cs="Arial" w:eastAsia="Arial" w:hAnsi="Arial"/>
          <w:sz w:val="17"/>
          <w:szCs w:val="17"/>
          <w:color w:val="auto"/>
        </w:rPr>
      </w:pPr>
    </w:p>
    <w:p>
      <w:pPr>
        <w:ind w:left="1120" w:hanging="329"/>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1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424"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12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27"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Ltd. ("Hitachi") in connection with our acquisition of HGST could adversely affect the market price of our common stock.</w:t>
      </w:r>
    </w:p>
    <w:p>
      <w:pPr>
        <w:spacing w:after="0" w:line="11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most recent evaluation resulted in our conclusion that as of January 2, 2015,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which may adversely affect our stock price.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Restrictive covenants in our credit agreement could restrict current and future operations or limit our flexibility to take certain actions.</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credit agreement includes covenants relating to our financial performance and financial position. In addition, our credit agreement restricts our ability to take other actions with respect to our current and future operations, including our ability to incur certain additional indebtedness or consolidate, merge or sell assets. Our ability to meet these restrictive covenants may be affected by events that could be beyond our control, and a breach of these restrictive covenants could result in an event of default under the credit agreement, which, if not cured or waived, could result in the indebtedness becoming immediately due and payable and could result in material adverse consequences that negatively impact our business.</w:t>
      </w:r>
    </w:p>
    <w:p>
      <w:pPr>
        <w:spacing w:after="0" w:line="119"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audits or similar proceedings, and as a result we may incur additional costs and expenses or owe additional taxes, interest and penalties that may negatively impact our operating results.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Revenue Agent Reports seeking certain adjustments to income as disclosed in Part I, Item 1, Note 6 in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Portions of our operations are subject to a reduced tax rate or are free of tax under various tax holidays that expire in whole or in part from time to time. Many of these holidays may be extended when certain conditions are met, or terminated if certain conditions are not met.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about repurchases by us of shares of our common stock during the quarter ended January 2,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7"/>
              </w:rPr>
              <w:t>Total Number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3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Program(1)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 4, 2014—Oct. 31, 2014</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Nov. 1, 2014—Nov. 28, 2014</w:t>
            </w:r>
          </w:p>
        </w:tc>
        <w:tc>
          <w:tcPr>
            <w:tcW w:w="13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 29, 2014—Jan. 2, 2015</w:t>
            </w:r>
          </w:p>
        </w:tc>
        <w:tc>
          <w:tcPr>
            <w:tcW w:w="1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105.32</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3.2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60" w:hanging="332"/>
        <w:spacing w:after="0" w:line="25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Since May 21, 2012, the Company's Board of Directors has authorized $3.0 billion for the repurchase of its common stock. On February 3, 2015, the Company's Board of Directors authorized an additional $2.0 billion for the repurchase of its common stock and approved the extension of its stock repurchase program to February 3, 2020, resulting in a cumulative authorized repurchase amount of $5.0 billion since the inception of the repurchase program. Repurchases under our stock repurchase program may be made in the open market or in privately negotiated transactions and may be made under a Rule 10b5-1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List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6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Stock Purchase Agreement, dated March 7, 2011, among Western Digital Corporation, Western Digital Ireland, Ltd., Hitachi, Ltd., and Viviti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Technologies Ltd. (Filed as Exhibit 2.1 to Company’s Quarterly Report on Form 10-Q (File No. 1-08703) with the Securities and Exchange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Commission on May 2, 2011) ±</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First Amendment to Stock Purchase Agreement, dated May 27, 2011,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Hitachi, Ltd., and Viviti Technologies Ltd. (Filed as Exhibit 2.2 to the Company’s Annual Report on Form 10-K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August 12,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Second Amendment to Stock Purchase Agreement, dated November 23, 2011, among Western Digital Corporation, Western Digital Ireland,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Ltd., Hitachi, Ltd., and Viviti Technologies Ltd. (Filed as Exhibit 2.3 to the Company’s Quarterly Report on Form 10-Q (File No. 1-08703)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January 27,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Third Amendment to Stock Purchase Agreement, dated January 30,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2.4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Fourth Amendment to Stock Purchase Agreement, dated February 15, 2012, among Western Digital Corporation, Western Digital Ireland,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Ltd., Hitachi, Ltd., and Viviti Technologies Ltd. (Filed as Exhibit 2.5 to the Company’s Quarterly Report on Form 10-Q (File No. 1-08703)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Fifth Amendment to Stock Purchase Agreement, dated March 6,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2.6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Sixth Amendment to Stock Purchase Agreement, dated March 6,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2.7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Amendment to Stock Purchase Agreement, dated July 9,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Ltd., and Viviti Technologies Ltd. (Filed as Exhibit 2.8 to the Company’s Annual Report on Form 10-K (File No. 1-08703) with the Securities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and Exchange Commission on August 19, 2013)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Amendment to Stock Purchase Agreement, dated July 27,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Ltd., and Viviti Technologies Ltd. (Filed as Exhibit 2.8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November 2,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2.10</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Amendment to Stock Purchase Agreement, dated August 29,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Ltd., and Viviti Technologies Ltd. (Filed as Exhibit 2.9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November 2,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0"/>
              </w:rPr>
              <w:t>Amended and Restated Certificate of Incorporation of Western Digital Corporation, as amended to date (Filed as Exhibit 3.1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3"/>
                <w:szCs w:val="23"/>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Western Digital Corporation Executive Severance Plan, amended and restated as of February 4, 2015†*</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3"/>
                <w:szCs w:val="23"/>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3"/>
                <w:szCs w:val="23"/>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Furnished with this report.</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60"/>
          </w:cols>
          <w:pgMar w:left="240" w:top="125" w:right="2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hanging="398"/>
        <w:spacing w:after="0" w:line="277" w:lineRule="auto"/>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62" w:lineRule="exact"/>
        <w:rPr>
          <w:rFonts w:ascii="Arial" w:cs="Arial" w:eastAsia="Arial" w:hAnsi="Arial"/>
          <w:sz w:val="18"/>
          <w:szCs w:val="18"/>
          <w:color w:val="auto"/>
        </w:rPr>
      </w:pPr>
    </w:p>
    <w:p>
      <w:pPr>
        <w:ind w:left="340" w:right="320" w:hanging="332"/>
        <w:spacing w:after="0" w:line="277" w:lineRule="auto"/>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WESTERN DIGITAL CORPORATION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10.1</w:t>
      </w:r>
    </w:p>
    <w:p>
      <w:pPr>
        <w:spacing w:after="0" w:line="230" w:lineRule="exact"/>
        <w:rPr>
          <w:sz w:val="20"/>
          <w:szCs w:val="20"/>
          <w:color w:val="auto"/>
        </w:rPr>
      </w:pPr>
    </w:p>
    <w:p>
      <w:pPr>
        <w:ind w:left="3540"/>
        <w:spacing w:after="0"/>
        <w:rPr>
          <w:sz w:val="20"/>
          <w:szCs w:val="20"/>
          <w:color w:val="auto"/>
        </w:rPr>
      </w:pPr>
      <w:r>
        <w:rPr>
          <w:rFonts w:ascii="Arial" w:cs="Arial" w:eastAsia="Arial" w:hAnsi="Arial"/>
          <w:sz w:val="25"/>
          <w:szCs w:val="25"/>
          <w:b w:val="1"/>
          <w:bCs w:val="1"/>
          <w:u w:val="single" w:color="auto"/>
          <w:color w:val="auto"/>
        </w:rPr>
        <w:t>WESTERN DIGITAL CORPORATION</w:t>
      </w:r>
    </w:p>
    <w:p>
      <w:pPr>
        <w:spacing w:after="0" w:line="42" w:lineRule="exact"/>
        <w:rPr>
          <w:sz w:val="20"/>
          <w:szCs w:val="20"/>
          <w:color w:val="auto"/>
        </w:rPr>
      </w:pPr>
    </w:p>
    <w:p>
      <w:pPr>
        <w:ind w:left="3800"/>
        <w:spacing w:after="0"/>
        <w:rPr>
          <w:sz w:val="20"/>
          <w:szCs w:val="20"/>
          <w:color w:val="auto"/>
        </w:rPr>
      </w:pPr>
      <w:r>
        <w:rPr>
          <w:rFonts w:ascii="Arial" w:cs="Arial" w:eastAsia="Arial" w:hAnsi="Arial"/>
          <w:sz w:val="25"/>
          <w:szCs w:val="25"/>
          <w:b w:val="1"/>
          <w:bCs w:val="1"/>
          <w:u w:val="single" w:color="auto"/>
          <w:color w:val="auto"/>
        </w:rPr>
        <w:t>EXECUTIVE SEVERANCE PLAN</w:t>
      </w:r>
    </w:p>
    <w:p>
      <w:pPr>
        <w:spacing w:after="0" w:line="264"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226"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The purpose of the Plan is to provide severance benefits to certain Executives whose employment with the Company or a Subsidiary terminates under certain circumstances as described more fully herein.</w:t>
      </w:r>
    </w:p>
    <w:p>
      <w:pPr>
        <w:spacing w:after="0" w:line="16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p>
    <w:p>
      <w:pPr>
        <w:spacing w:after="0" w:line="226"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All of the policies and practices of the Company and its Subsidiaries regarding severance benefits or similar payments upon employment termination with respect to Executives designated to participate in the Plan, other than written employment, separation or equity award agreements with the Company or a Subsidiary that provide severance benefits or the Company’s Amended and Restated Change of Control Severance Plan, are hereby superseded by the Plan, which shall be known as the Western Digital Corporation Executive Severance Plan, effective as of the Effective Date. The Plan was initially approved by the Board on February 16, 2006 and most recently amended and restated on February 4, 2015.</w:t>
      </w:r>
    </w:p>
    <w:p>
      <w:pPr>
        <w:spacing w:after="0" w:line="17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“Administrator” means the Committee or any delegate of such committee acting within the authority delegated to it pursuant to Section 9.1.</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“Base Pay” means the employee’s wages earned on a monthly basis, determined as of the employment termination date, excluding bonuses and commissions.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means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“Cause” means the occurrence or existence of any of the following with respect to an Executive:</w:t>
      </w:r>
    </w:p>
    <w:p>
      <w:pPr>
        <w:spacing w:after="0" w:line="220" w:lineRule="exact"/>
        <w:rPr>
          <w:sz w:val="20"/>
          <w:szCs w:val="20"/>
          <w:color w:val="auto"/>
        </w:rPr>
      </w:pPr>
    </w:p>
    <w:p>
      <w:pPr>
        <w:ind w:left="660" w:right="120" w:firstLine="645"/>
        <w:spacing w:after="0" w:line="343" w:lineRule="auto"/>
        <w:tabs>
          <w:tab w:leader="none" w:pos="17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Executive’s conviction by, or entry of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in, a court of competent jurisdiction for any crime involving moral turpitude or any felony punishable by imprisonment in the jurisdiction involved;</w:t>
      </w:r>
    </w:p>
    <w:p>
      <w:pPr>
        <w:spacing w:after="0" w:line="104" w:lineRule="exact"/>
        <w:rPr>
          <w:rFonts w:ascii="Arial" w:cs="Arial" w:eastAsia="Arial" w:hAnsi="Arial"/>
          <w:sz w:val="19"/>
          <w:szCs w:val="19"/>
          <w:color w:val="auto"/>
        </w:rPr>
      </w:pPr>
    </w:p>
    <w:p>
      <w:pPr>
        <w:ind w:left="660" w:right="200" w:firstLine="645"/>
        <w:spacing w:after="0" w:line="263" w:lineRule="auto"/>
        <w:tabs>
          <w:tab w:leader="none" w:pos="17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whether prior or subsequent to the Effective Date, the Executive’s willful engaging in dishonest or fraudulent actions or omissions;</w:t>
      </w:r>
    </w:p>
    <w:p>
      <w:pPr>
        <w:spacing w:after="0" w:line="174" w:lineRule="exact"/>
        <w:rPr>
          <w:rFonts w:ascii="Arial" w:cs="Arial" w:eastAsia="Arial" w:hAnsi="Arial"/>
          <w:sz w:val="22"/>
          <w:szCs w:val="22"/>
          <w:color w:val="auto"/>
        </w:rPr>
      </w:pPr>
    </w:p>
    <w:p>
      <w:pPr>
        <w:ind w:left="660" w:right="220" w:firstLine="645"/>
        <w:spacing w:after="0" w:line="263" w:lineRule="auto"/>
        <w:tabs>
          <w:tab w:leader="none" w:pos="1764" w:val="left"/>
        </w:tabs>
        <w:numPr>
          <w:ilvl w:val="0"/>
          <w:numId w:val="27"/>
        </w:numPr>
        <w:rPr>
          <w:rFonts w:ascii="Arial" w:cs="Arial" w:eastAsia="Arial" w:hAnsi="Arial"/>
          <w:sz w:val="22"/>
          <w:szCs w:val="22"/>
          <w:color w:val="auto"/>
        </w:rPr>
      </w:pPr>
      <w:r>
        <w:rPr>
          <w:rFonts w:ascii="Arial" w:cs="Arial" w:eastAsia="Arial" w:hAnsi="Arial"/>
          <w:sz w:val="22"/>
          <w:szCs w:val="22"/>
          <w:color w:val="auto"/>
        </w:rPr>
        <w:t>failure or refusal to perform his or her duties as reasonably required by the Company and/or a Subsidiary that employs the Executive;</w:t>
      </w:r>
    </w:p>
    <w:p>
      <w:pPr>
        <w:spacing w:after="0" w:line="174" w:lineRule="exact"/>
        <w:rPr>
          <w:rFonts w:ascii="Arial" w:cs="Arial" w:eastAsia="Arial" w:hAnsi="Arial"/>
          <w:sz w:val="22"/>
          <w:szCs w:val="22"/>
          <w:color w:val="auto"/>
        </w:rPr>
      </w:pPr>
    </w:p>
    <w:p>
      <w:pPr>
        <w:ind w:left="660" w:right="600" w:firstLine="645"/>
        <w:spacing w:after="0" w:line="263" w:lineRule="auto"/>
        <w:tabs>
          <w:tab w:leader="none" w:pos="17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negligence, insubordination, violation by the Executive of any duty (of loyalty or otherwise) owed to the Company and/or a Subsidiary, or any other misconduct on the part of the Executive;</w:t>
      </w:r>
    </w:p>
    <w:p>
      <w:pPr>
        <w:sectPr>
          <w:pgSz w:w="11900" w:h="16838" w:orient="portrait"/>
          <w:cols w:equalWidth="0" w:num="1">
            <w:col w:w="11420"/>
          </w:cols>
          <w:pgMar w:left="240" w:top="598" w:right="239" w:bottom="1440" w:gutter="0" w:footer="0" w:header="0"/>
        </w:sectPr>
      </w:pPr>
    </w:p>
    <w:bookmarkStart w:id="53" w:name="page54"/>
    <w:bookmarkEnd w:id="53"/>
    <w:p>
      <w:pPr>
        <w:ind w:left="660" w:right="40" w:firstLine="645"/>
        <w:spacing w:after="0" w:line="312" w:lineRule="auto"/>
        <w:tabs>
          <w:tab w:leader="none" w:pos="1764"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repeated non-prescription use of any controlled substance, or the repeated use of alcohol or any other non-controlled substance which in the Administrator’s (or its delegate’s or delegates’) reasonable determination interferes with the Executive’s service as an officer or employee of the Company and/or a Subsidiary;</w:t>
      </w:r>
    </w:p>
    <w:p>
      <w:pPr>
        <w:spacing w:after="0" w:line="133" w:lineRule="exact"/>
        <w:rPr>
          <w:rFonts w:ascii="Arial" w:cs="Arial" w:eastAsia="Arial" w:hAnsi="Arial"/>
          <w:sz w:val="19"/>
          <w:szCs w:val="19"/>
          <w:color w:val="auto"/>
        </w:rPr>
      </w:pPr>
    </w:p>
    <w:p>
      <w:pPr>
        <w:ind w:left="1740" w:hanging="435"/>
        <w:spacing w:after="0"/>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sexual harassment by the Executive that has been reasonably substantiated and investigated;</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involvement in activities representing conflicts of interest with the Company and/or a Subsidiary;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improper disclosure of confidential information;</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conduct endangering, or likely to endanger, the health or safety of another employee;</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falsifying or misrepresenting information on the records of the Company and/or a Subsidiary;</w:t>
      </w:r>
    </w:p>
    <w:p>
      <w:pPr>
        <w:spacing w:after="0" w:line="219" w:lineRule="exact"/>
        <w:rPr>
          <w:rFonts w:ascii="Arial" w:cs="Arial" w:eastAsia="Arial" w:hAnsi="Arial"/>
          <w:sz w:val="22"/>
          <w:szCs w:val="22"/>
          <w:color w:val="auto"/>
        </w:rPr>
      </w:pPr>
    </w:p>
    <w:p>
      <w:pPr>
        <w:ind w:left="660" w:right="700" w:firstLine="645"/>
        <w:spacing w:after="0" w:line="263" w:lineRule="auto"/>
        <w:tabs>
          <w:tab w:leader="none" w:pos="177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Executive’s physical destruction or theft of substantial property or assets of the Company and/or a Subsidiary; or</w:t>
      </w:r>
    </w:p>
    <w:p>
      <w:pPr>
        <w:spacing w:after="0" w:line="174" w:lineRule="exact"/>
        <w:rPr>
          <w:rFonts w:ascii="Arial" w:cs="Arial" w:eastAsia="Arial" w:hAnsi="Arial"/>
          <w:sz w:val="22"/>
          <w:szCs w:val="22"/>
          <w:color w:val="auto"/>
        </w:rPr>
      </w:pPr>
    </w:p>
    <w:p>
      <w:pPr>
        <w:ind w:left="660" w:firstLine="645"/>
        <w:spacing w:after="0" w:line="263" w:lineRule="auto"/>
        <w:tabs>
          <w:tab w:leader="none" w:pos="17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breach of any policy of, or agreement with, the Company and/or a Subsidiary applicable to the Executive or to which the Executive is otherwise bound.</w:t>
      </w:r>
    </w:p>
    <w:p>
      <w:pPr>
        <w:spacing w:after="0" w:line="175"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Review of any determination that a termination is for Cause shall be by the Administrator, in its sole and exclusive judgment and discretion, in accordance with the provisions of Section 8 herein.</w:t>
      </w:r>
    </w:p>
    <w:p>
      <w:pPr>
        <w:spacing w:after="0" w:line="175"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“Change in Control” has the meaning ascribed to such term in the Company’s Amended and Restated Change of Control Severance Plan; provided, however, that a transaction shall not constitute a Change in Control unless it is a “change in the ownership or effective control” of the Company, or a change “in the ownership of a substantial portion of the assets” of the Company within the meaning of Section 409A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United States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“Committee” means the Compensation Committee of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 means Western Digital Corporation, a Delaware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Date” means February 16, 2006.</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“Eligible Employee” means any person classified by the Company or a Subsidiary, in its sole discretion, as a non-temporary, full-time or part-time, salaried or hourly employee (specifically excluding any individual who is not classified by the Company or a Subsidiary as a</w:t>
      </w:r>
    </w:p>
    <w:p>
      <w:pPr>
        <w:sectPr>
          <w:pgSz w:w="11900" w:h="16838" w:orient="portrait"/>
          <w:cols w:equalWidth="0" w:num="1">
            <w:col w:w="11260"/>
          </w:cols>
          <w:pgMar w:left="240" w:top="591" w:right="399" w:bottom="1440" w:gutter="0" w:footer="0" w:header="0"/>
        </w:sectPr>
      </w:pPr>
    </w:p>
    <w:bookmarkStart w:id="54" w:name="page55"/>
    <w:bookmarkEnd w:id="54"/>
    <w:p>
      <w:pPr>
        <w:spacing w:after="0" w:line="288" w:lineRule="auto"/>
        <w:rPr>
          <w:sz w:val="20"/>
          <w:szCs w:val="20"/>
          <w:color w:val="auto"/>
        </w:rPr>
      </w:pPr>
      <w:r>
        <w:rPr>
          <w:rFonts w:ascii="Arial" w:cs="Arial" w:eastAsia="Arial" w:hAnsi="Arial"/>
          <w:sz w:val="19"/>
          <w:szCs w:val="19"/>
          <w:color w:val="auto"/>
        </w:rPr>
        <w:t>common law employee, such as an independent contractor or an individual working through a third-party provider, such as Kelly Services, without regard to the characterization or recharacterization of such individual’s status by any court or governmental agency), who is paid from the United States payroll of the Company or a Subsidiary (each such individual, a “U.S. Eligible Employee”), or who is paid from a payroll of the Company or a Subsidiary outside of the United States (each such individual, a “Non-U.S. Eligible Employee”); provided, however, that in no event shall any employee who is paid from the United States payroll of the Company or a Subsidiary who as of the Effective Date is a party to a written employment agreement with the Company or a Subsidiary (other than an agreement providing for at-will employment by the Company or a Subsidiary and for no specified term) be an Eligible Employee; provided, further, that, as to any employee whose compensation requires approval by the Committee pursuant to the Committee’s charter at the time of such employee’s termination of employment, such employee will be considered a “U.S. Eligible Employee” and not a “Non-U.S. Eligible Employee” for purposes of this Plan.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“ERISA” means the Employee Retirement Income Security Act of 1974, as amended.</w:t>
      </w:r>
    </w:p>
    <w:p>
      <w:pPr>
        <w:spacing w:after="0" w:line="220"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“Executive” means an Eligible Employee who has been designated by the Board or the Committee (with respect to U.S. Eligible Employees) or by the Administrator or its delegate (with respect to Non-U.S. Eligible Employees) as a Participant in the Plan. The Board or the Committee shall designate an Executive as a Tier I Executive, Tier II Executive or Tier III Executive for purposes of participation in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“Participant” means an Executive who is entitled, based on the provisions hereof, to severance benefits under Section 6.</w:t>
      </w:r>
    </w:p>
    <w:p>
      <w:pPr>
        <w:spacing w:after="0" w:line="254"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“Plan” means this Western Digital Corporation Executive Severance Plan, as set forth in this instrument as it may be amended from time to time.</w:t>
      </w:r>
    </w:p>
    <w:p>
      <w:pPr>
        <w:spacing w:after="0" w:line="175" w:lineRule="exact"/>
        <w:rPr>
          <w:sz w:val="20"/>
          <w:szCs w:val="20"/>
          <w:color w:val="auto"/>
        </w:rPr>
      </w:pPr>
    </w:p>
    <w:p>
      <w:pPr>
        <w:ind w:right="520" w:firstLine="648"/>
        <w:spacing w:after="0" w:line="312" w:lineRule="auto"/>
        <w:rPr>
          <w:sz w:val="20"/>
          <w:szCs w:val="20"/>
          <w:color w:val="auto"/>
        </w:rPr>
      </w:pPr>
      <w:r>
        <w:rPr>
          <w:rFonts w:ascii="Arial" w:cs="Arial" w:eastAsia="Arial" w:hAnsi="Arial"/>
          <w:sz w:val="19"/>
          <w:szCs w:val="19"/>
          <w:color w:val="auto"/>
        </w:rPr>
        <w:t>“Separation from Service,” with respect to an Executive, shall mean that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34"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“Subsidiary” means any corporation or other entity a majority of whose outstanding voting stock or voting power is beneficially owned directly or indirectly by the Company.</w:t>
      </w:r>
    </w:p>
    <w:p>
      <w:pPr>
        <w:spacing w:after="0" w:line="169"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p>
    <w:p>
      <w:pPr>
        <w:spacing w:after="0" w:line="226" w:lineRule="exact"/>
        <w:rPr>
          <w:sz w:val="20"/>
          <w:szCs w:val="20"/>
          <w:color w:val="auto"/>
        </w:rPr>
      </w:pPr>
    </w:p>
    <w:p>
      <w:pPr>
        <w:ind w:right="260" w:firstLine="648"/>
        <w:spacing w:after="0" w:line="263" w:lineRule="auto"/>
        <w:rPr>
          <w:sz w:val="20"/>
          <w:szCs w:val="20"/>
          <w:color w:val="auto"/>
        </w:rPr>
      </w:pPr>
      <w:r>
        <w:rPr>
          <w:rFonts w:ascii="Arial" w:cs="Arial" w:eastAsia="Arial" w:hAnsi="Arial"/>
          <w:sz w:val="21"/>
          <w:szCs w:val="21"/>
          <w:color w:val="auto"/>
        </w:rPr>
        <w:t>The Plan’s initial term commenced on the Effective Date and continued in effect through December 31, 2008; provided, however, that on each anniversary of December 31, 2008, the term of the Plan shall extend automatically for one additional year, unless the Committee (or the Board) causes the Company to deliver written notice prior to the end of such extended term to each Executive then covered by the Plan that the term of the Plan will not be further extended, and if such notice is timely given, the Plan shall terminate at the end of the term then in progress.</w:t>
      </w:r>
    </w:p>
    <w:p>
      <w:pPr>
        <w:sectPr>
          <w:pgSz w:w="11900" w:h="16838" w:orient="portrait"/>
          <w:cols w:equalWidth="0" w:num="1">
            <w:col w:w="11400"/>
          </w:cols>
          <w:pgMar w:left="240" w:top="591" w:right="259" w:bottom="1440" w:gutter="0" w:footer="0" w:header="0"/>
        </w:sectPr>
      </w:pPr>
    </w:p>
    <w:bookmarkStart w:id="55" w:name="page56"/>
    <w:bookmarkEnd w:id="55"/>
    <w:p>
      <w:pPr>
        <w:ind w:left="380" w:hanging="372"/>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Upon approval of the Plan, the Committee designated the Executives initially covered by the Plan. The Committee (or, with respect to Non-U.S. Eligible Employees, the Administrator or its delegate) may, from time to time, designate additional Eligible Employees as Executives for purposes of participation in the Plan; provided, that the Committee (or the Administrator or its delegate, as applicable) shall limit the group of all persons eligible to participate in the Plan to a “select group of management or highly compensated employees” within the meaning of 29 C.F.R. 2520-104-23 or any similar successor provision. The Committee (or, with respect to Non-U.S. Eligible Employees, the Administrator) may, in its sole discretion, remove an Executive from participation in the Plan, and the Committee from time to time may approve modifications to the Tier to which one or more Executives have been designated.</w:t>
      </w:r>
    </w:p>
    <w:p>
      <w:pPr>
        <w:spacing w:after="0" w:line="178"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p>
    <w:p>
      <w:pPr>
        <w:spacing w:after="0" w:line="22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Severance Benefits to Executives</w:t>
      </w:r>
      <w:r>
        <w:rPr>
          <w:rFonts w:ascii="Arial" w:cs="Arial" w:eastAsia="Arial" w:hAnsi="Arial"/>
          <w:sz w:val="19"/>
          <w:szCs w:val="19"/>
          <w:color w:val="auto"/>
        </w:rPr>
        <w:t>. An Executive whose employment with the Company or a Subsidiary is terminated by the Company or such Subsidiary, as applicable, without Cause shall become, subject to the conditions set forth in Section 7, a Participant under the Plan and entitled to the benefits set forth in this Section 6. The severance benefits provided under Sections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6.2, 6.3, 6.5 and 6.6 of the Plan shall be the obligations of, and shall be provided to the Executive by, the entity (the Company or a Subsidiary, as applicable) that employs the Executive immediately prior to the Executive’s termination of employment. For avoidance of doubt, in no event shall an Executive become entitled to or receive any payment hereunder if the Executive’s employment with the Company or a Subsidiary is terminated voluntarily by the Executive (for any reason), by the Company or a Subsidiary, as applicable, for Cause, or on account of the Executive’s death or disability (as defined in Section 22(e)(3) of the Code). Notwithstanding anything else contained herein to the contrary, an Executive shall not be deemed to have terminated employment if his or her employment by the Company or a Subsidiary terminates but he or she continues as an employee of the Company or another Subsidiary. The payments set forth in Sections 6.2, 6.3 and 6.6 shall be paid to the Participant in a single lump sum cash payment, subject to applicable tax withholding, during the ten (10) day period commencing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on which the Participant’s Separation from Service occurs (or, in the case of a group termination (as determined by the Administrator), during the ten (10) day period commencing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on which the Participant’s Separation from Service occurs). The payment rules of this paragraph are subject to Section 6.7.</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Cash Severance Payment</w:t>
      </w:r>
      <w:r>
        <w:rPr>
          <w:rFonts w:ascii="Arial" w:cs="Arial" w:eastAsia="Arial" w:hAnsi="Arial"/>
          <w:sz w:val="19"/>
          <w:szCs w:val="19"/>
          <w:color w:val="auto"/>
        </w:rPr>
        <w:t>. A Participant shall receive a severance payment equal to the Participant’s monthly rate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Base Pay multiplied by the number of months set forth below:</w:t>
      </w:r>
    </w:p>
    <w:p>
      <w:pPr>
        <w:spacing w:after="0" w:line="202" w:lineRule="exact"/>
        <w:rPr>
          <w:sz w:val="20"/>
          <w:szCs w:val="20"/>
          <w:color w:val="auto"/>
        </w:rPr>
      </w:pPr>
    </w:p>
    <w:p>
      <w:pPr>
        <w:ind w:left="1600" w:hanging="295"/>
        <w:spacing w:after="0"/>
        <w:tabs>
          <w:tab w:leader="none" w:pos="16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Tier I Executive:  24 months</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Tier II Executive: 18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Tier III Executive: 12 months</w:t>
      </w:r>
    </w:p>
    <w:p>
      <w:pPr>
        <w:sectPr>
          <w:pgSz w:w="11900" w:h="16838" w:orient="portrait"/>
          <w:cols w:equalWidth="0" w:num="1">
            <w:col w:w="11360"/>
          </w:cols>
          <w:pgMar w:left="240" w:top="585" w:right="299" w:bottom="1440" w:gutter="0" w:footer="0" w:header="0"/>
        </w:sectPr>
      </w:pPr>
    </w:p>
    <w:bookmarkStart w:id="56" w:name="page57"/>
    <w:bookmarkEnd w:id="56"/>
    <w:p>
      <w:pPr>
        <w:ind w:right="180" w:firstLine="648"/>
        <w:spacing w:after="0" w:line="247"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Bonus</w:t>
      </w:r>
      <w:r>
        <w:rPr>
          <w:rFonts w:ascii="Arial" w:cs="Arial" w:eastAsia="Arial" w:hAnsi="Arial"/>
          <w:sz w:val="22"/>
          <w:szCs w:val="22"/>
          <w:color w:val="auto"/>
        </w:rPr>
        <w:t>. A Participant shall receive a payment equal to a pro-rata portion of the Participant’s bonus opportunity under the Company’s (or a Subsidiary’s) bonus program in which the Participant participates for the bonus cycle in which the Participant’s date of termination occurs (with such pro-rata portion based on the number of days in the applicable bonus cycle during which the Participant was employed (not to exceed the number of days in such bonus cycle (e.g., six (6) months)) and assuming 100% of the performance target(s) subject to the bonus award are met regardless of actual funding by the Company or a Subsidiary).</w:t>
      </w:r>
    </w:p>
    <w:p>
      <w:pPr>
        <w:spacing w:after="0" w:line="194"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Equity Awards</w:t>
      </w:r>
      <w:r>
        <w:rPr>
          <w:rFonts w:ascii="Arial" w:cs="Arial" w:eastAsia="Arial" w:hAnsi="Arial"/>
          <w:sz w:val="21"/>
          <w:szCs w:val="21"/>
          <w:color w:val="auto"/>
        </w:rPr>
        <w:t>. Notwithstanding anything in the applicable stock incentive plan and/or award agreement to the contrary, upon a Participant’s termination of employment, the Participant’s then outstanding stock options and restricted stock or stock unit awards that are subject to time-based vesting will vest and become exercisable or payable, as applicable, as if the Participant had remained employed with the Company or a Subsidiary for an additional six (6) months. For avoidance of doubt, the foregoing is not intended to apply to any equity awards held by the Participant that are subject to performance-based vesting (which shall continue to be governed by the plan and/or award agreement applicable to such awards) or to supersede any more favorable provision in any stock incentive plan and/or award agreement regarding accelerated vesting in the event of the Participant’s termination of employment. Notwithstanding anything to the contrary herein, the post-termination exercisability of the Participant’s then outstanding stock options shall continue to be governed by the stock incentive plan and stock option agreement applicable to such options.</w:t>
      </w:r>
    </w:p>
    <w:p>
      <w:pPr>
        <w:spacing w:after="0" w:line="18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Outplacement Services</w:t>
      </w:r>
      <w:r>
        <w:rPr>
          <w:rFonts w:ascii="Arial" w:cs="Arial" w:eastAsia="Arial" w:hAnsi="Arial"/>
          <w:sz w:val="22"/>
          <w:szCs w:val="22"/>
          <w:color w:val="auto"/>
        </w:rPr>
        <w:t>. A Participant who is a U.S. Eligible Employee as of the date of such Participant’s termination of employment shall be eligible for outplacement services, provided by a vendor chosen by the Company or applicable Subsidiary and at the Company’s or applicable Subsidiary’s expense, after the Participant’s termination of employment for up to the number of months set forth below:</w:t>
      </w:r>
    </w:p>
    <w:p>
      <w:pPr>
        <w:spacing w:after="0" w:line="188" w:lineRule="exact"/>
        <w:rPr>
          <w:sz w:val="20"/>
          <w:szCs w:val="20"/>
          <w:color w:val="auto"/>
        </w:rPr>
      </w:pPr>
    </w:p>
    <w:p>
      <w:pPr>
        <w:ind w:left="1600" w:hanging="295"/>
        <w:spacing w:after="0"/>
        <w:tabs>
          <w:tab w:leader="none" w:pos="1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Tier I Executive:  12 months</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Tier II Executives: 12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Tier III Executive: 12 months</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A Participant’s right to any benefit provided under this Section 6.5 shall not be subject to liquidation or exchange for another benefit, and the amount of such benefit that the Participant receives in one taxable year shall not affect the amount of such benefits that the Participant receives in any other taxable year.</w:t>
      </w:r>
    </w:p>
    <w:p>
      <w:pPr>
        <w:spacing w:after="0" w:line="186"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Continued Health Care Coverage</w:t>
      </w:r>
      <w:r>
        <w:rPr>
          <w:rFonts w:ascii="Arial" w:cs="Arial" w:eastAsia="Arial" w:hAnsi="Arial"/>
          <w:sz w:val="19"/>
          <w:szCs w:val="19"/>
          <w:color w:val="auto"/>
        </w:rPr>
        <w:t>. With respect to a Participant who is a U.S. Eligible Employee as of the date of such Participant’s termination of employment, the Company or applicable Subsidiary shall pay to the Participant a cash payment in an amount equal to the applicable COBRA premium payments (as reasonably determined by the Administrator as of the time of Participant’s termination of employment) that would be payable by the Participant to continue the Participant’s company-provided medical, dental, and/or vision coverage existing as of the Participant’s termination date for the number of months set forth below:</w:t>
      </w:r>
    </w:p>
    <w:p>
      <w:pPr>
        <w:sectPr>
          <w:pgSz w:w="11900" w:h="16838" w:orient="portrait"/>
          <w:cols w:equalWidth="0" w:num="1">
            <w:col w:w="11420"/>
          </w:cols>
          <w:pgMar w:left="240" w:top="591" w:right="239" w:bottom="1440" w:gutter="0" w:footer="0" w:header="0"/>
        </w:sectPr>
      </w:pPr>
    </w:p>
    <w:bookmarkStart w:id="57" w:name="page58"/>
    <w:bookmarkEnd w:id="57"/>
    <w:p>
      <w:pPr>
        <w:ind w:left="1600" w:hanging="295"/>
        <w:spacing w:after="0"/>
        <w:tabs>
          <w:tab w:leader="none" w:pos="1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Tier I Executive:  18 months</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Tier II Executives: 12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Tier III Executive: 12 months</w:t>
      </w:r>
    </w:p>
    <w:p>
      <w:pPr>
        <w:spacing w:after="0" w:line="220" w:lineRule="exact"/>
        <w:rPr>
          <w:sz w:val="20"/>
          <w:szCs w:val="20"/>
          <w:color w:val="auto"/>
        </w:rPr>
      </w:pPr>
    </w:p>
    <w:p>
      <w:pPr>
        <w:ind w:right="320"/>
        <w:spacing w:after="0" w:line="271" w:lineRule="auto"/>
        <w:rPr>
          <w:sz w:val="20"/>
          <w:szCs w:val="20"/>
          <w:color w:val="auto"/>
        </w:rPr>
      </w:pPr>
      <w:r>
        <w:rPr>
          <w:rFonts w:ascii="Arial" w:cs="Arial" w:eastAsia="Arial" w:hAnsi="Arial"/>
          <w:sz w:val="21"/>
          <w:szCs w:val="21"/>
          <w:color w:val="auto"/>
        </w:rPr>
        <w:t>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spacing w:after="0" w:line="168"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Specified Employees</w:t>
      </w:r>
      <w:r>
        <w:rPr>
          <w:rFonts w:ascii="Arial" w:cs="Arial" w:eastAsia="Arial" w:hAnsi="Arial"/>
          <w:sz w:val="19"/>
          <w:szCs w:val="19"/>
          <w:color w:val="auto"/>
        </w:rPr>
        <w:t>. The provisions of this Section 6.7 shall apply if any severance payments hereunder constitute nonqualified “deferred compensation” (within the meaning of Section 409A of the Code) payable upon the Participant’s Separation from Service and, in such event, such provisions shall apply only to the extent required to avoid the imputation of any tax, penalty or interest pursuant to Section 409A of the Code. It is the Company’s intent that severance payments hereunder should not constitute nonqualified “deferred compensation” payable upon a Separation from Service (because such payments are intended to be exempt from Section 409A as a “short-term deferral” or separation pay due to an involuntary separation from service within the meaning of Code Section 409A or otherwise) based on the guidance available as of the date hereof and, accordingly, should not be subject to the delayed-payment provisions set forth in this Section 6.7. Notwithstanding any other provision of the Plan to the contrary, if the Participant is a “specified employee” within the meaning of Treasury Regulation Section 1.409A-1(i) as of the date of the Participant’s Separation from Service, and the severance payments hereunder constitute non-exempt “deferred compensation” (within the meaning of Section 409A), the Participant shall not be entitled to any severance payments hereunder until the earlier of (i) the date which is six (6) months after the Participant’s Separation from Service for any reason other than death, or (ii) the date of the Participant’s death. Any amounts otherwise payable to the Participant upon or in the six (6) month period following the Participant’s Separation from Service that are not so paid by reason of this Section 6.7 shall be paid (without interest) as soon as practicable (and in all events within thirty (30) days) after the date that is six (6) months after the Participant’s Separation from Service (or, if earlier, as soon as practicable, and in all events within thirty (30) days, after the date of the Participant’s death).</w:t>
      </w:r>
    </w:p>
    <w:p>
      <w:pPr>
        <w:spacing w:after="0" w:line="200" w:lineRule="exact"/>
        <w:rPr>
          <w:sz w:val="20"/>
          <w:szCs w:val="20"/>
          <w:color w:val="auto"/>
        </w:rPr>
      </w:pPr>
    </w:p>
    <w:p>
      <w:pPr>
        <w:spacing w:after="0" w:line="221"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TO SEVERANCE BENEFITS</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Release</w:t>
      </w:r>
      <w:r>
        <w:rPr>
          <w:rFonts w:ascii="Arial" w:cs="Arial" w:eastAsia="Arial" w:hAnsi="Arial"/>
          <w:sz w:val="21"/>
          <w:szCs w:val="21"/>
          <w:color w:val="auto"/>
        </w:rPr>
        <w:t>. Notwithstanding anything to the contrary contained herein, the Company’s or applicable Subsidiary’s obligation to pay benefits to a Participant under Section 6 is subject to the condition precedent that the Participant execute a valid and effective release of any and all claims in a form and manner acceptable to the Company, and such release is received by the Company no earlier than the Participant’s termination date, and no later than the date set forth in the release (or such other period as required by law), and such release is not revoked by the Participant (pursuant to any revocation rights afforded by applicable law) or otherwise rendered unenforceable by the Participant. Notwithstanding anything else contained herein to the contrary, the Company or applicable Subsidiary will have no obligation to pay any benefit to the Participant under the Plan unless and until that Participant’s release (in such form) has been</w:t>
      </w:r>
    </w:p>
    <w:p>
      <w:pPr>
        <w:sectPr>
          <w:pgSz w:w="11900" w:h="16838" w:orient="portrait"/>
          <w:cols w:equalWidth="0" w:num="1">
            <w:col w:w="11400"/>
          </w:cols>
          <w:pgMar w:left="240" w:top="591" w:right="259" w:bottom="1440" w:gutter="0" w:footer="0" w:header="0"/>
        </w:sectPr>
      </w:pPr>
    </w:p>
    <w:bookmarkStart w:id="58" w:name="page59"/>
    <w:bookmarkEnd w:id="58"/>
    <w:p>
      <w:pPr>
        <w:ind w:right="300"/>
        <w:spacing w:after="0" w:line="263" w:lineRule="auto"/>
        <w:rPr>
          <w:sz w:val="20"/>
          <w:szCs w:val="20"/>
          <w:color w:val="auto"/>
        </w:rPr>
      </w:pPr>
      <w:r>
        <w:rPr>
          <w:rFonts w:ascii="Arial" w:cs="Arial" w:eastAsia="Arial" w:hAnsi="Arial"/>
          <w:sz w:val="22"/>
          <w:szCs w:val="22"/>
          <w:color w:val="auto"/>
        </w:rPr>
        <w:t>fully executed by the Participant (and the Participant’s spouse, to the extent required by the Company), has been received by the Company, and has become effective and irrevocable by the Participant.</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Departure and Entitlement Procedure</w:t>
      </w:r>
      <w:r>
        <w:rPr>
          <w:rFonts w:ascii="Arial" w:cs="Arial" w:eastAsia="Arial" w:hAnsi="Arial"/>
          <w:sz w:val="21"/>
          <w:szCs w:val="21"/>
          <w:color w:val="auto"/>
        </w:rPr>
        <w:t>. As a condition to becoming a Participant and receiving the severance benefits described in Section 6, the Executive must return and deliver to the Administrator or his or her designee all Company and Subsidiary property within seven (7) days of the Executive’s termination date. In addition, except as otherwise provided by the Company, if an Executive resigns prior to his/her scheduled termination date, then he/she shall not be entitled to any severance payments or any other severance benefits provided herein.</w:t>
      </w:r>
    </w:p>
    <w:p>
      <w:pPr>
        <w:spacing w:after="0" w:line="21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Other Employment</w:t>
      </w:r>
      <w:r>
        <w:rPr>
          <w:rFonts w:ascii="Arial" w:cs="Arial" w:eastAsia="Arial" w:hAnsi="Arial"/>
          <w:sz w:val="19"/>
          <w:szCs w:val="19"/>
          <w:color w:val="auto"/>
        </w:rPr>
        <w:t xml:space="preserve">. A Participant shall not be required to mitigate the amount of any payments provided for by the Plan by seeking employment or otherwise. All severance payments under the Plan shall be subject to legal deductions, and the Company and/or applicable Subsidiary reserves the right to offset the benefits payable under the Plan by any advanced monies the Participant owes the Company or a Subsidiary. In addition, in no event shall a Participant become entitled to a duplication of benefits under the Plan and any other severance plan or program of the Company or a Subsidiary. Without limiting the generality of the foregoing, in no event shall a Participant receive benefits under the Plan in connection with his or her termination of employment if such Participant is entitled to benefits under the Company’s Amended and Restated Change of Control Severance Plan in connection with such termination of employment.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Arial" w:cs="Arial" w:eastAsia="Arial" w:hAnsi="Arial"/>
          <w:sz w:val="19"/>
          <w:szCs w:val="19"/>
          <w:u w:val="single" w:color="auto"/>
          <w:color w:val="auto"/>
        </w:rPr>
        <w:t>et seq</w:t>
      </w:r>
      <w:r>
        <w:rPr>
          <w:rFonts w:ascii="Arial" w:cs="Arial" w:eastAsia="Arial" w:hAnsi="Arial"/>
          <w:sz w:val="19"/>
          <w:szCs w:val="19"/>
          <w:color w:val="auto"/>
        </w:rPr>
        <w:t>., the benefits and amounts payable under the Plan shall be reduced (but not below zero) by the Base Pay received by the Participant during the period of such paid notice.</w:t>
      </w:r>
    </w:p>
    <w:p>
      <w:pPr>
        <w:sectPr>
          <w:pgSz w:w="11900" w:h="16838" w:orient="portrait"/>
          <w:cols w:equalWidth="0" w:num="1">
            <w:col w:w="11380"/>
          </w:cols>
          <w:pgMar w:left="240" w:top="591" w:right="279" w:bottom="1440" w:gutter="0" w:footer="0" w:header="0"/>
        </w:sectPr>
      </w:pPr>
    </w:p>
    <w:bookmarkStart w:id="59" w:name="page60"/>
    <w:bookmarkEnd w:id="59"/>
    <w:p>
      <w:pPr>
        <w:ind w:right="180" w:firstLine="648"/>
        <w:spacing w:after="0" w:line="25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Employee Rights</w:t>
      </w:r>
      <w:r>
        <w:rPr>
          <w:rFonts w:ascii="Arial" w:cs="Arial" w:eastAsia="Arial" w:hAnsi="Arial"/>
          <w:sz w:val="22"/>
          <w:szCs w:val="22"/>
          <w:color w:val="auto"/>
        </w:rPr>
        <w:t>. The Plan shall not give any employee the right to be retained in the service of the Company or to interfere with or restrict the right of the Company or applicable Subsidiary to discharge any employee at any time, with or without Cause.</w:t>
      </w:r>
    </w:p>
    <w:p>
      <w:pPr>
        <w:spacing w:after="0" w:line="180"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RESOLUTION OF DISPUTES</w:t>
      </w:r>
    </w:p>
    <w:p>
      <w:pPr>
        <w:spacing w:after="0" w:line="22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Claim</w:t>
      </w:r>
      <w:r>
        <w:rPr>
          <w:rFonts w:ascii="Arial" w:cs="Arial" w:eastAsia="Arial" w:hAnsi="Arial"/>
          <w:sz w:val="22"/>
          <w:szCs w:val="22"/>
          <w:color w:val="auto"/>
        </w:rPr>
        <w:t>. If a Participant or any other individual (herein referred to as a “Claimant”) believes that benefits under the Plan are being wrongfully denied, that the Plan is not being operated properly, or that the Claimant’s legal rights are being violated with respect to the Plan, the Claimant must file a formal claim with the Administrator. Any such claim for benefits must be filed in writing within 90 days of the date upon which the Participant first knew or should have known the facts upon which the claim is based.</w:t>
      </w:r>
    </w:p>
    <w:p>
      <w:pPr>
        <w:spacing w:after="0" w:line="192"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Claim Decision</w:t>
      </w:r>
      <w:r>
        <w:rPr>
          <w:rFonts w:ascii="Arial" w:cs="Arial" w:eastAsia="Arial" w:hAnsi="Arial"/>
          <w:sz w:val="22"/>
          <w:szCs w:val="22"/>
          <w:color w:val="auto"/>
        </w:rPr>
        <w:t>. If any claim for benefits under the Plan is denied, in whole or in part, the Claimant shall be so notified by the Administrator within thirty (30) calendar days of the date such person’s claim is delivered to the Administrator. At the same time, the Administrator shall notify the Claimant of his or her right to a review by the Administrator and shall set forth, in a manner calculated to be understood by the Claimant, specific reasons for such decision, specific references to pertinent Plan provisions on which the decision is based, a description of any additional material or information necessary for the Claimant to perfect his or her request for review, an explanation of why such material or information is necessary, and an explanation of the Plan’s review procedure.</w:t>
      </w:r>
    </w:p>
    <w:p>
      <w:pPr>
        <w:spacing w:after="0" w:line="197"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Request for Review</w:t>
      </w:r>
      <w:r>
        <w:rPr>
          <w:rFonts w:ascii="Arial" w:cs="Arial" w:eastAsia="Arial" w:hAnsi="Arial"/>
          <w:sz w:val="19"/>
          <w:szCs w:val="19"/>
          <w:color w:val="auto"/>
        </w:rPr>
        <w:t>. Any Claimant or duly authorized representative may appeal from such decision by submitting to the Administrator within sixty (60) calendar days after the date of such notice of its decision a written statement:</w:t>
      </w:r>
    </w:p>
    <w:p>
      <w:pPr>
        <w:spacing w:after="0" w:line="105" w:lineRule="exact"/>
        <w:rPr>
          <w:sz w:val="20"/>
          <w:szCs w:val="20"/>
          <w:color w:val="auto"/>
        </w:rPr>
      </w:pPr>
    </w:p>
    <w:p>
      <w:pPr>
        <w:ind w:left="1760" w:hanging="455"/>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requesting a review of the claim for benefits by the Administrator;</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setting forth all of the grounds upon which the request for review is based and any facts in support thereof; and</w:t>
      </w:r>
    </w:p>
    <w:p>
      <w:pPr>
        <w:spacing w:after="0" w:line="254" w:lineRule="exact"/>
        <w:rPr>
          <w:rFonts w:ascii="Arial" w:cs="Arial" w:eastAsia="Arial" w:hAnsi="Arial"/>
          <w:sz w:val="19"/>
          <w:szCs w:val="19"/>
          <w:color w:val="auto"/>
        </w:rPr>
      </w:pPr>
    </w:p>
    <w:p>
      <w:pPr>
        <w:ind w:left="1760" w:hanging="455"/>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setting forth any issues or comments which the Claimant deems relevant to the claim.</w:t>
      </w:r>
    </w:p>
    <w:p>
      <w:pPr>
        <w:spacing w:after="0" w:line="220" w:lineRule="exact"/>
        <w:rPr>
          <w:sz w:val="20"/>
          <w:szCs w:val="20"/>
          <w:color w:val="auto"/>
        </w:rPr>
      </w:pPr>
    </w:p>
    <w:p>
      <w:pPr>
        <w:ind w:right="400" w:firstLine="648"/>
        <w:spacing w:after="0" w:line="287" w:lineRule="auto"/>
        <w:rPr>
          <w:sz w:val="20"/>
          <w:szCs w:val="20"/>
          <w:color w:val="auto"/>
        </w:rPr>
      </w:pPr>
      <w:r>
        <w:rPr>
          <w:rFonts w:ascii="Arial" w:cs="Arial" w:eastAsia="Arial" w:hAnsi="Arial"/>
          <w:sz w:val="21"/>
          <w:szCs w:val="21"/>
          <w:color w:val="auto"/>
        </w:rPr>
        <w:t>The Administrator shall act upon such appeal within sixty (60) calendar days after the latter of receipt of the Claimant’s request for review by it or receipt of all additional materials reasonably requested by it from such Claimant.</w:t>
      </w:r>
    </w:p>
    <w:p>
      <w:pPr>
        <w:spacing w:after="0" w:line="15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Review of Decision</w:t>
      </w:r>
      <w:r>
        <w:rPr>
          <w:rFonts w:ascii="Arial" w:cs="Arial" w:eastAsia="Arial" w:hAnsi="Arial"/>
          <w:sz w:val="22"/>
          <w:szCs w:val="22"/>
          <w:color w:val="auto"/>
        </w:rPr>
        <w:t>. The Administrator shall make a full and fair review of an appeal and all written materials submitted by the Claimant in connection therewith and may require the Claimant to submit, within ten (10) calendar days of written notice by the Administrator, such additional facts, documents or other evidence as the Administrator, in its sole discretion, deems necessary or advisable in making such a review. On the basis of its review, the Administrator shall make an independent determination of the Claimant’s eligibility for an</w:t>
      </w:r>
    </w:p>
    <w:p>
      <w:pPr>
        <w:sectPr>
          <w:pgSz w:w="11900" w:h="16838" w:orient="portrait"/>
          <w:cols w:equalWidth="0" w:num="1">
            <w:col w:w="11400"/>
          </w:cols>
          <w:pgMar w:left="240" w:top="591" w:right="259" w:bottom="1440" w:gutter="0" w:footer="0" w:header="0"/>
        </w:sectPr>
      </w:pPr>
    </w:p>
    <w:bookmarkStart w:id="60" w:name="page61"/>
    <w:bookmarkEnd w:id="60"/>
    <w:p>
      <w:pPr>
        <w:ind w:right="80"/>
        <w:spacing w:after="0" w:line="263" w:lineRule="auto"/>
        <w:rPr>
          <w:sz w:val="20"/>
          <w:szCs w:val="20"/>
          <w:color w:val="auto"/>
        </w:rPr>
      </w:pPr>
      <w:r>
        <w:rPr>
          <w:rFonts w:ascii="Arial" w:cs="Arial" w:eastAsia="Arial" w:hAnsi="Arial"/>
          <w:sz w:val="22"/>
          <w:szCs w:val="22"/>
          <w:color w:val="auto"/>
        </w:rPr>
        <w:t>allowance and the amount of such allowance, if any, under this Plan. The decision of the Administrator on any appeal shall be final and conclusive upon all persons if supported by substantial evidence in the record.</w:t>
      </w:r>
    </w:p>
    <w:p>
      <w:pPr>
        <w:spacing w:after="0" w:line="175"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Denial on Review</w:t>
      </w:r>
      <w:r>
        <w:rPr>
          <w:rFonts w:ascii="Arial" w:cs="Arial" w:eastAsia="Arial" w:hAnsi="Arial"/>
          <w:sz w:val="22"/>
          <w:szCs w:val="22"/>
          <w:color w:val="auto"/>
        </w:rPr>
        <w:t>. If on review of a decision, the Administrator denies a claim in whole or in part, it shall give written notice of its decision to the Claimant setting forth, in a manner calculated to be understood by the Claimant, the specific reasons for such denial and specific references to the pertinent Plan provisions on which its decision was based. If a Claimant believes that the Administrator’s determination on appeal is incorrect, the Claimant or duly authorized representative may invoke the arbitration procedures described in Section 8.6 or file suit related to such determination; provided that any legal action must be taken by the Claimant within ninety (90) days after the date upon which the Administrator’s written decision on review was sent to the Claimant.</w:t>
      </w:r>
    </w:p>
    <w:p>
      <w:pPr>
        <w:spacing w:after="0" w:line="197" w:lineRule="exact"/>
        <w:rPr>
          <w:sz w:val="20"/>
          <w:szCs w:val="20"/>
          <w:color w:val="auto"/>
        </w:rPr>
      </w:pPr>
    </w:p>
    <w:p>
      <w:pPr>
        <w:ind w:right="20" w:firstLine="648"/>
        <w:spacing w:after="0" w:line="284"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 Claimant who has followed the procedures in Sections 8.1 through 8.5, but who has not obtained full relief on his or her claim for benefits, may, within ninety (90) days following his or her receipt of the Administrator’s written decision on review pursuant to Section 8.5, apply in writing to the Administrator for expedited and binding arbitration of his or her claim in Orange County, California, before a sole arbitrator selected from Judicial Arbitration and Mediation Services, Inc., Orange County, California, or its successor (“JAMS”), or if JAMS is no longer able to supply the arbitrator, such arbitrator shall be selected from the American Arbitration Association, and shall be conducted in accordance with the provisions of California Code of Civil Procedure §§ 1280 </w:t>
      </w:r>
      <w:r>
        <w:rPr>
          <w:rFonts w:ascii="Arial" w:cs="Arial" w:eastAsia="Arial" w:hAnsi="Arial"/>
          <w:sz w:val="19"/>
          <w:szCs w:val="19"/>
          <w:u w:val="single" w:color="auto"/>
          <w:color w:val="auto"/>
        </w:rPr>
        <w:t>et seq</w:t>
      </w:r>
      <w:r>
        <w:rPr>
          <w:rFonts w:ascii="Arial" w:cs="Arial" w:eastAsia="Arial" w:hAnsi="Arial"/>
          <w:sz w:val="19"/>
          <w:szCs w:val="19"/>
          <w:color w:val="auto"/>
        </w:rPr>
        <w:t>. as the exclusive forum for the resolution of such dispute. Pursuant to California Code of Civil Procedure</w:t>
      </w:r>
    </w:p>
    <w:p>
      <w:pPr>
        <w:spacing w:after="0" w:line="4" w:lineRule="exact"/>
        <w:rPr>
          <w:sz w:val="20"/>
          <w:szCs w:val="20"/>
          <w:color w:val="auto"/>
        </w:rPr>
      </w:pPr>
    </w:p>
    <w:p>
      <w:pPr>
        <w:ind w:firstLine="8"/>
        <w:spacing w:after="0" w:line="256" w:lineRule="auto"/>
        <w:tabs>
          <w:tab w:leader="none" w:pos="162" w:val="left"/>
        </w:tabs>
        <w:numPr>
          <w:ilvl w:val="0"/>
          <w:numId w:val="38"/>
        </w:numPr>
        <w:rPr>
          <w:rFonts w:ascii="Arial" w:cs="Arial" w:eastAsia="Arial" w:hAnsi="Arial"/>
          <w:sz w:val="21"/>
          <w:szCs w:val="21"/>
          <w:color w:val="auto"/>
        </w:rPr>
      </w:pPr>
      <w:r>
        <w:rPr>
          <w:rFonts w:ascii="Arial" w:cs="Arial" w:eastAsia="Arial" w:hAnsi="Arial"/>
          <w:sz w:val="21"/>
          <w:szCs w:val="21"/>
          <w:color w:val="auto"/>
        </w:rPr>
        <w:t>1281.8, provisional injunctive relief may, but need not, be sought by the Company, a Subsidiary or an Executive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Any rights to trial by jury in any action, proceeding or counterclaim brought by any of the Company, a Subsidiary or an Executive in connection with any matter whatsoever arising out of or in any way connected with the Plan are hereby waived. The Company or applicable Subsidiary shall be responsible for payment of the forum costs of any arbitration hereunder, including the Arbitrator’s fee. In any proceeding to enforce the terms of the Plan, the prevailing party shall be entitled to its or his reasonable attorneys’ fees and costs (other than forum costs associated with the arbitration) incurred by it or him in connection with resolution of the dispute in addition to any other relief granted.</w:t>
      </w:r>
    </w:p>
    <w:p>
      <w:pPr>
        <w:spacing w:after="0" w:line="18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Legal Fees and Expenses</w:t>
      </w:r>
      <w:r>
        <w:rPr>
          <w:rFonts w:ascii="Arial" w:cs="Arial" w:eastAsia="Arial" w:hAnsi="Arial"/>
          <w:sz w:val="22"/>
          <w:szCs w:val="22"/>
          <w:color w:val="auto"/>
        </w:rPr>
        <w:t>. If any dispute arises between the parties with respect to the interpretation or performance of the Plan, the prevailing party in any arbitration or proceeding shall be entitled to recover from the other party its attorneys’ fees, arbitration or court</w:t>
      </w:r>
    </w:p>
    <w:p>
      <w:pPr>
        <w:sectPr>
          <w:pgSz w:w="11900" w:h="16838" w:orient="portrait"/>
          <w:cols w:equalWidth="0" w:num="1">
            <w:col w:w="11420"/>
          </w:cols>
          <w:pgMar w:left="240" w:top="591" w:right="239" w:bottom="1440" w:gutter="0" w:footer="0" w:header="0"/>
        </w:sectPr>
      </w:pPr>
    </w:p>
    <w:bookmarkStart w:id="61" w:name="page62"/>
    <w:bookmarkEnd w:id="61"/>
    <w:p>
      <w:pPr>
        <w:ind w:right="660"/>
        <w:spacing w:after="0" w:line="287" w:lineRule="auto"/>
        <w:rPr>
          <w:sz w:val="20"/>
          <w:szCs w:val="20"/>
          <w:color w:val="auto"/>
        </w:rPr>
      </w:pPr>
      <w:r>
        <w:rPr>
          <w:rFonts w:ascii="Arial" w:cs="Arial" w:eastAsia="Arial" w:hAnsi="Arial"/>
          <w:sz w:val="21"/>
          <w:szCs w:val="21"/>
          <w:color w:val="auto"/>
        </w:rPr>
        <w:t>costs and other expenses incurred in connection with any such proceeding. Amounts, if any, paid to the Executive under this Section 8.7 shall be in addition to all other amounts due to the Executive pursuant to the Plan.</w:t>
      </w:r>
    </w:p>
    <w:p>
      <w:pPr>
        <w:spacing w:after="0" w:line="146"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26"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Administrator</w:t>
      </w:r>
      <w:r>
        <w:rPr>
          <w:rFonts w:ascii="Arial" w:cs="Arial" w:eastAsia="Arial" w:hAnsi="Arial"/>
          <w:sz w:val="22"/>
          <w:szCs w:val="22"/>
          <w:color w:val="auto"/>
        </w:rPr>
        <w:t>. Except as provided herein, 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therefrom, any of its responsibilities or administrative duties with respect to the Plan.</w:t>
      </w:r>
    </w:p>
    <w:p>
      <w:pPr>
        <w:spacing w:after="0" w:line="19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Experts; Rules</w:t>
      </w:r>
      <w:r>
        <w:rPr>
          <w:rFonts w:ascii="Arial" w:cs="Arial" w:eastAsia="Arial" w:hAnsi="Arial"/>
          <w:sz w:val="22"/>
          <w:szCs w:val="22"/>
          <w:color w:val="auto"/>
        </w:rPr>
        <w:t>. The Administrator may contract with one or more persons to render advice with regard to any responsibility it has under the Plan. Subject to the limitations of the Plan, the Administrator shall from time to time establish such rules for the administration of the Plan as it may deem desirable.</w:t>
      </w:r>
    </w:p>
    <w:p>
      <w:pPr>
        <w:spacing w:after="0" w:line="1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Indemnity</w:t>
      </w:r>
      <w:r>
        <w:rPr>
          <w:rFonts w:ascii="Arial" w:cs="Arial" w:eastAsia="Arial" w:hAnsi="Arial"/>
          <w:sz w:val="22"/>
          <w:szCs w:val="22"/>
          <w:color w:val="auto"/>
        </w:rPr>
        <w:t>. The Company shall, to the extent permitted by law, by the purchase of insurance or otherwise, indemnify and hold harmless the Administrator and each other fiduciary with respect to the Plan for liabilities or expenses they and each of them incur in carrying out their respective duties under the Plan, other than for any liabilities or expenses arising out of such fiduciary’s gross negligence or willful misconduct.</w:t>
      </w:r>
    </w:p>
    <w:p>
      <w:pPr>
        <w:spacing w:after="0" w:line="18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Committee (or the Board) reserves the right to amend, suspend and/or terminate the Plan at any time in its sole discretion. No amendment, suspension or termination shall diminish benefits to which a Participant is currently entitled under the Plan. Any modification or other amendment of the Plan shall be in writing, signed by either the Company’s Chief Executive Officer or Senior Vice President, Human Resources.</w:t>
      </w:r>
    </w:p>
    <w:p>
      <w:pPr>
        <w:spacing w:after="0" w:line="182"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p>
    <w:p>
      <w:pPr>
        <w:spacing w:after="0" w:line="22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Each Participant shall be solely responsible for his or her own tax liability with respect to participation in this Plan. The Company may withhold (or cause there to be withheld, as the case may be) from any amounts otherwise due or payable under or pursuant to this Plan such federal, state and local income, employment, or other taxes as may be required to be withheld pursuant to any applicable law or regulation. Notwithstanding anything else contained herein to the contrary, nothing in this Plan is intended to constitute, nor does it constitute, tax advice, and in all cases, each Participant should obtain and rely solely on the tax advice provided by the Participant’s own independent tax advisors (and not this Plan, the Company, any of the Company’s affiliates, or any officer, employee or agent of the Company or any of its affiliates).</w:t>
      </w:r>
    </w:p>
    <w:p>
      <w:pPr>
        <w:spacing w:after="0" w:line="14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p>
    <w:p>
      <w:pPr>
        <w:sectPr>
          <w:pgSz w:w="11900" w:h="16838" w:orient="portrait"/>
          <w:cols w:equalWidth="0" w:num="1">
            <w:col w:w="11400"/>
          </w:cols>
          <w:pgMar w:left="240" w:top="591" w:right="259" w:bottom="1440" w:gutter="0" w:footer="0" w:header="0"/>
        </w:sectPr>
      </w:pPr>
    </w:p>
    <w:bookmarkStart w:id="62" w:name="page63"/>
    <w:bookmarkEnd w:id="62"/>
    <w:p>
      <w:pPr>
        <w:ind w:right="40" w:firstLine="648"/>
        <w:spacing w:after="0" w:line="289"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Assignment by Participants</w:t>
      </w:r>
      <w:r>
        <w:rPr>
          <w:rFonts w:ascii="Arial" w:cs="Arial" w:eastAsia="Arial" w:hAnsi="Arial"/>
          <w:sz w:val="19"/>
          <w:szCs w:val="19"/>
          <w:color w:val="auto"/>
        </w:rPr>
        <w:t>. None of the benefits, payments, proceeds or claims of any Executive or Participant shall be subject to any claim of any creditor and, in particular, the same shall not be subject to attachment or garnishment or other legal process by any creditor, nor shall any such Executive have any right to alienate, anticipate, commute, pledge, encumber or assign any of the benefits or payments or proceeds that he or she may expect to receive, contingently or otherwise, under the Plan. Notwithstanding the foregoing, benefits that are in pay status may be subject to a court order of garnishment or wage assignment, or similar order, or a tax levy. The Plan shall inure to the benefit of and be enforceable by each Participant’s personal or legal representatives, executors, administrators, successors, heirs, distributees, devisees, and legatees. If a Participant dies while any amount would still be payable to him or her hereunder had he or she continued to live, all such amounts, unless otherwise provided herein, shall be paid to the Participant’s beneficiary in accordance with the terms of the Plan.</w:t>
      </w:r>
    </w:p>
    <w:p>
      <w:pPr>
        <w:spacing w:after="0" w:line="158"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Binding Effect</w:t>
      </w:r>
      <w:r>
        <w:rPr>
          <w:rFonts w:ascii="Arial" w:cs="Arial" w:eastAsia="Arial" w:hAnsi="Arial"/>
          <w:sz w:val="19"/>
          <w:szCs w:val="19"/>
          <w:color w:val="auto"/>
        </w:rPr>
        <w:t>. The Company or applicable Subsidiary will require any successor (whether by purchase of assets, merger, consolidation or otherwise)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avoidance of doubt, in the event that a successor of a Subsidiary (whether by purchase of assets, merger, consolidation or otherwise) assumes the Subsidiary’s obligations under the Plan, the Company will have no obligations under the Plan with respect to the Executives employed by such Subsidiary.</w:t>
      </w:r>
    </w:p>
    <w:p>
      <w:pPr>
        <w:spacing w:after="0" w:line="151"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No Waiver</w:t>
      </w:r>
      <w:r>
        <w:rPr>
          <w:rFonts w:ascii="Arial" w:cs="Arial" w:eastAsia="Arial" w:hAnsi="Arial"/>
          <w:sz w:val="22"/>
          <w:szCs w:val="22"/>
          <w:color w:val="auto"/>
        </w:rPr>
        <w:t>.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w:t>
      </w:r>
    </w:p>
    <w:p>
      <w:pPr>
        <w:spacing w:after="0" w:line="18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Expenses; Unsecured General Creditor</w:t>
      </w:r>
      <w:r>
        <w:rPr>
          <w:rFonts w:ascii="Arial" w:cs="Arial" w:eastAsia="Arial" w:hAnsi="Arial"/>
          <w:sz w:val="19"/>
          <w:szCs w:val="19"/>
          <w:color w:val="auto"/>
        </w:rPr>
        <w:t>. The benefits and costs of the Plan shall be paid by the Company and/or a Subsidiary out of its general assets. The status of a claim against the Company or a Subsidiary with respect to the benefits provided hereunder shall be same as the status of a claim against the Company or applicable Subsidiary by any general or unsecured creditor.</w:t>
      </w:r>
    </w:p>
    <w:p>
      <w:pPr>
        <w:spacing w:after="0" w:line="13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ERISA</w:t>
      </w:r>
      <w:r>
        <w:rPr>
          <w:rFonts w:ascii="Arial" w:cs="Arial" w:eastAsia="Arial" w:hAnsi="Arial"/>
          <w:sz w:val="22"/>
          <w:szCs w:val="22"/>
          <w:color w:val="auto"/>
        </w:rPr>
        <w:t>. The Plan is an unfunded compensation arrangement for a select group of management or highly compensated employees of the Company or a Subsidiary and any exemptions under ERISA applicable to such an arrangement shall be applicable to the Plan.</w:t>
      </w:r>
    </w:p>
    <w:p>
      <w:pPr>
        <w:spacing w:after="0" w:line="18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Section 409A</w:t>
      </w:r>
      <w:r>
        <w:rPr>
          <w:rFonts w:ascii="Arial" w:cs="Arial" w:eastAsia="Arial" w:hAnsi="Arial"/>
          <w:sz w:val="21"/>
          <w:szCs w:val="21"/>
          <w:color w:val="auto"/>
        </w:rPr>
        <w:t>. The Plan is intended to comply with or be exempt from Section 409A of the Code (including the Treasury Regulations and other published guidance relating thereto) so as not to subject any Participant to payment of any interest or additional tax imposed under Code Section 409A. The provisions of the Plan shall be construed and interpreted to avoid the imputation of any such additional tax, penalty or interest under Code Section 409A yet preserve (to the nearest extent reasonably possible) the intended benefit payable to the Participant.</w:t>
      </w:r>
    </w:p>
    <w:p>
      <w:pPr>
        <w:sectPr>
          <w:pgSz w:w="11900" w:h="16838" w:orient="portrait"/>
          <w:cols w:equalWidth="0" w:num="1">
            <w:col w:w="11400"/>
          </w:cols>
          <w:pgMar w:left="240" w:top="591" w:right="259" w:bottom="1440" w:gutter="0" w:footer="0" w:header="0"/>
        </w:sectPr>
      </w:pPr>
    </w:p>
    <w:bookmarkStart w:id="63" w:name="page64"/>
    <w:bookmarkEnd w:id="63"/>
    <w:p>
      <w:pPr>
        <w:ind w:right="400" w:firstLine="648"/>
        <w:spacing w:after="0" w:line="253"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WARN Act</w:t>
      </w:r>
      <w:r>
        <w:rPr>
          <w:rFonts w:ascii="Arial" w:cs="Arial" w:eastAsia="Arial" w:hAnsi="Arial"/>
          <w:sz w:val="22"/>
          <w:szCs w:val="22"/>
          <w:color w:val="auto"/>
        </w:rPr>
        <w:t>. Benefits payable under the Plan are intended to satisfy, where applicable, any Company obligations under the Federal Worker Adjustment and Retraining Notification Act and any similar obligations that the Company or its Subsidiaries may have under any successor or other severance pay statute.</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Construction</w:t>
      </w:r>
      <w:r>
        <w:rPr>
          <w:rFonts w:ascii="Arial" w:cs="Arial" w:eastAsia="Arial" w:hAnsi="Arial"/>
          <w:sz w:val="22"/>
          <w:szCs w:val="22"/>
          <w:color w:val="auto"/>
        </w:rPr>
        <w:t>. The masculine pronoun shall include the feminine pronoun and the feminine pronoun shall include the masculine pronoun and the singular pronoun shall include the plural pronoun and the plural pronoun shall include the singular pronoun, unless the context clearly indicates otherwise.</w:t>
      </w:r>
    </w:p>
    <w:p>
      <w:pPr>
        <w:spacing w:after="0" w:line="18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construed according to the laws of the State of California, except to the extent such laws are preempted by federal law.</w:t>
      </w:r>
    </w:p>
    <w:p>
      <w:pPr>
        <w:spacing w:after="0" w:line="175"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herefrom and (iv) in lieu of such illegal, invalid or unenforceable provision, there will be added automatically as a part of the Plan a legal, valid and enforceable provision as similar in terms to such illegal, invalid or unenforceable provision as may be possible.</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by the Plan shall be in writing, delivered by hand, or sent by registered or certified mail, return receipt requested, or by recognized courier service (regularly providing proof of delivery), addressed as follows:</w:t>
      </w:r>
    </w:p>
    <w:p>
      <w:pPr>
        <w:spacing w:after="0" w:line="18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the Company or, where applicable, the Administrator: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3355 Michelson Drive,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Irvine, California 92612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Senior Vice President, Human Resources</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3355 Michelson Drive,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Irvine, California 92612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right="280" w:firstLine="656"/>
        <w:spacing w:after="0" w:line="253" w:lineRule="auto"/>
        <w:tabs>
          <w:tab w:leader="none" w:pos="11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to the Executive or Participant, at the most recent address set forth on the records of the Company or applicable Subsidiary, as the case may be, or to such other address or addresses most recently communicated to the Company or applicable Subsidiary by the Executive or Participant.</w:t>
      </w:r>
    </w:p>
    <w:p>
      <w:pPr>
        <w:sectPr>
          <w:pgSz w:w="11900" w:h="16838" w:orient="portrait"/>
          <w:cols w:equalWidth="0" w:num="1">
            <w:col w:w="11360"/>
          </w:cols>
          <w:pgMar w:left="240" w:top="591" w:right="299" w:bottom="1440" w:gutter="0" w:footer="0" w:header="0"/>
        </w:sectPr>
      </w:pPr>
    </w:p>
    <w:bookmarkStart w:id="64" w:name="page65"/>
    <w:bookmarkEnd w:id="64"/>
    <w:p>
      <w:pPr>
        <w:ind w:firstLine="648"/>
        <w:spacing w:after="0" w:line="263" w:lineRule="auto"/>
        <w:rPr>
          <w:sz w:val="20"/>
          <w:szCs w:val="20"/>
          <w:color w:val="auto"/>
        </w:rPr>
      </w:pPr>
      <w:r>
        <w:rPr>
          <w:rFonts w:ascii="Arial" w:cs="Arial" w:eastAsia="Arial" w:hAnsi="Arial"/>
          <w:sz w:val="22"/>
          <w:szCs w:val="22"/>
          <w:color w:val="auto"/>
        </w:rPr>
        <w:t>Each such notice shall be effective (i) if given by mail, three days after being deposited in the mails or (ii) if given personally or by other means when actually delivered at such address.</w:t>
      </w:r>
    </w:p>
    <w:p>
      <w:pPr>
        <w:sectPr>
          <w:pgSz w:w="11900" w:h="16838" w:orient="portrait"/>
          <w:cols w:equalWidth="0" w:num="1">
            <w:col w:w="10520"/>
          </w:cols>
          <w:pgMar w:left="240" w:top="631" w:right="11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171" w:lineRule="exact"/>
        <w:rPr>
          <w:sz w:val="20"/>
          <w:szCs w:val="20"/>
          <w:color w:val="auto"/>
        </w:rPr>
      </w:pPr>
    </w:p>
    <w:p>
      <w:pPr>
        <w:ind w:left="720" w:hanging="185"/>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Leonetii, certify that:</w:t>
      </w:r>
    </w:p>
    <w:p>
      <w:pPr>
        <w:spacing w:after="0" w:line="171" w:lineRule="exact"/>
        <w:rPr>
          <w:sz w:val="20"/>
          <w:szCs w:val="20"/>
          <w:color w:val="auto"/>
        </w:rPr>
      </w:pPr>
    </w:p>
    <w:p>
      <w:pPr>
        <w:ind w:left="720" w:hanging="185"/>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67" w:name="page68"/>
    <w:bookmarkEnd w:id="67"/>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20" w:hanging="532"/>
        <w:spacing w:after="0" w:line="308"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2,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68" w:name="page69"/>
    <w:bookmarkEnd w:id="68"/>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20" w:hanging="532"/>
        <w:spacing w:after="0" w:line="308"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2,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lvl w:ilvl="1">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3"/>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5"/>
    </w:lvl>
  </w:abstractNum>
  <w:abstractNum w:abstractNumId="28">
    <w:nsid w:val="5C482A97"/>
    <w:multiLevelType w:val="hybridMultilevel"/>
    <w:lvl w:ilvl="0">
      <w:lvlJc w:val="left"/>
      <w:lvlText w:val="%1."/>
      <w:numFmt w:val="decimal"/>
      <w:start w:val="4"/>
    </w:lvl>
  </w:abstractNum>
  <w:abstractNum w:abstractNumId="29">
    <w:nsid w:val="2463B9EA"/>
    <w:multiLevelType w:val="hybridMultilevel"/>
    <w:lvl w:ilvl="0">
      <w:lvlJc w:val="left"/>
      <w:lvlText w:val="%1."/>
      <w:numFmt w:val="decimal"/>
      <w:start w:val="5"/>
    </w:lvl>
  </w:abstractNum>
  <w:abstractNum w:abstractNumId="30">
    <w:nsid w:val="5E884ADC"/>
    <w:multiLevelType w:val="hybridMultilevel"/>
    <w:lvl w:ilvl="0">
      <w:lvlJc w:val="left"/>
      <w:lvlText w:val="%1."/>
      <w:numFmt w:val="decimal"/>
      <w:start w:val="6"/>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7"/>
    </w:lvl>
  </w:abstractNum>
  <w:abstractNum w:abstractNumId="35">
    <w:nsid w:val="3855585C"/>
    <w:multiLevelType w:val="hybridMultilevel"/>
    <w:lvl w:ilvl="0">
      <w:lvlJc w:val="left"/>
      <w:lvlText w:val="%1."/>
      <w:numFmt w:val="decimal"/>
      <w:start w:val="8"/>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9"/>
    </w:lvl>
  </w:abstractNum>
  <w:abstractNum w:abstractNumId="39">
    <w:nsid w:val="1D4ED43B"/>
    <w:multiLevelType w:val="hybridMultilevel"/>
    <w:lvl w:ilvl="0">
      <w:lvlJc w:val="left"/>
      <w:lvlText w:val="%1."/>
      <w:numFmt w:val="decimal"/>
      <w:start w:val="10"/>
    </w:lvl>
  </w:abstractNum>
  <w:abstractNum w:abstractNumId="40">
    <w:nsid w:val="725A06FB"/>
    <w:multiLevelType w:val="hybridMultilevel"/>
    <w:lvl w:ilvl="0">
      <w:lvlJc w:val="left"/>
      <w:lvlText w:val="%1."/>
      <w:numFmt w:val="decimal"/>
      <w:start w:val="11"/>
    </w:lvl>
  </w:abstractNum>
  <w:abstractNum w:abstractNumId="41">
    <w:nsid w:val="2CD89A32"/>
    <w:multiLevelType w:val="hybridMultilevel"/>
    <w:lvl w:ilvl="0">
      <w:lvlJc w:val="left"/>
      <w:lvlText w:val="%1."/>
      <w:numFmt w:val="decimal"/>
      <w:start w:val="12"/>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2019-12-29T18:42:52Z</dcterms:created>
  <dcterms:modified xsi:type="dcterms:W3CDTF">2019-12-29T18:42:52Z</dcterms:modified>
</cp:coreProperties>
</file>