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51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517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 Martin I</w:t>
              </w:r>
            </w:hyperlink>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WESTERN DIGITAL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WDC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8"/>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WESTERN DIGITAL CORPORATION</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10/29/2026</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5601 GREAT OAKS PARKWAY</w:t>
            </w: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0"/>
            <w:vMerge w:val="continue"/>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0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95119</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00" w:type="dxa"/>
            <w:vAlign w:val="bottom"/>
            <w:gridSpan w:val="6"/>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tcPr>
          <w:p>
            <w:pPr>
              <w:ind w:left="8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7"/>
          </w:tcPr>
          <w:p>
            <w:pPr>
              <w:jc w:val="center"/>
              <w:ind w:right="2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3"/>
            <w:vMerge w:val="restart"/>
          </w:tcPr>
          <w:p>
            <w:pPr>
              <w:ind w:left="4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204</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390.0406</w:t>
            </w:r>
            <w:r>
              <w:rPr>
                <w:rFonts w:ascii="Times New Roman" w:cs="Times New Roman" w:eastAsia="Times New Roman" w:hAnsi="Times New Roman"/>
                <w:sz w:val="22"/>
                <w:szCs w:val="22"/>
                <w:color w:val="008000"/>
                <w:w w:val="97"/>
                <w:vertAlign w:val="superscript"/>
              </w:rPr>
              <w:t>(2)</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21,229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385</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391.0458</w:t>
            </w:r>
            <w:r>
              <w:rPr>
                <w:rFonts w:ascii="Times New Roman" w:cs="Times New Roman" w:eastAsia="Times New Roman" w:hAnsi="Times New Roman"/>
                <w:sz w:val="22"/>
                <w:szCs w:val="22"/>
                <w:color w:val="008000"/>
                <w:w w:val="97"/>
                <w:vertAlign w:val="superscript"/>
              </w:rPr>
              <w:t>(3)</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20,844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407</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392.4181</w:t>
            </w:r>
            <w:r>
              <w:rPr>
                <w:rFonts w:ascii="Times New Roman" w:cs="Times New Roman" w:eastAsia="Times New Roman" w:hAnsi="Times New Roman"/>
                <w:sz w:val="22"/>
                <w:szCs w:val="22"/>
                <w:color w:val="008000"/>
                <w:w w:val="97"/>
                <w:vertAlign w:val="superscript"/>
              </w:rPr>
              <w:t>(4)</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20,437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494</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393.2193</w:t>
            </w:r>
            <w:r>
              <w:rPr>
                <w:rFonts w:ascii="Times New Roman" w:cs="Times New Roman" w:eastAsia="Times New Roman" w:hAnsi="Times New Roman"/>
                <w:sz w:val="22"/>
                <w:szCs w:val="22"/>
                <w:color w:val="008000"/>
                <w:w w:val="97"/>
                <w:vertAlign w:val="superscript"/>
              </w:rPr>
              <w:t>(5)</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19,943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243</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394.4098</w:t>
            </w:r>
            <w:r>
              <w:rPr>
                <w:rFonts w:ascii="Times New Roman" w:cs="Times New Roman" w:eastAsia="Times New Roman" w:hAnsi="Times New Roman"/>
                <w:sz w:val="22"/>
                <w:szCs w:val="22"/>
                <w:color w:val="008000"/>
                <w:w w:val="97"/>
                <w:vertAlign w:val="superscript"/>
              </w:rPr>
              <w:t>(6)</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19,700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209</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395.3043</w:t>
            </w:r>
            <w:r>
              <w:rPr>
                <w:rFonts w:ascii="Times New Roman" w:cs="Times New Roman" w:eastAsia="Times New Roman" w:hAnsi="Times New Roman"/>
                <w:sz w:val="22"/>
                <w:szCs w:val="22"/>
                <w:color w:val="008000"/>
                <w:w w:val="97"/>
                <w:vertAlign w:val="superscript"/>
              </w:rPr>
              <w:t>(7)</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19,491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317</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396.3138</w:t>
            </w:r>
            <w:r>
              <w:rPr>
                <w:rFonts w:ascii="Times New Roman" w:cs="Times New Roman" w:eastAsia="Times New Roman" w:hAnsi="Times New Roman"/>
                <w:sz w:val="22"/>
                <w:szCs w:val="22"/>
                <w:color w:val="008000"/>
                <w:w w:val="97"/>
                <w:vertAlign w:val="superscript"/>
              </w:rPr>
              <w:t>(8)</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19,174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584</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397.4792</w:t>
            </w:r>
            <w:r>
              <w:rPr>
                <w:rFonts w:ascii="Times New Roman" w:cs="Times New Roman" w:eastAsia="Times New Roman" w:hAnsi="Times New Roman"/>
                <w:sz w:val="22"/>
                <w:szCs w:val="22"/>
                <w:color w:val="008000"/>
                <w:w w:val="97"/>
                <w:vertAlign w:val="superscript"/>
              </w:rPr>
              <w:t>(9)</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18,590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723</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398.4499</w:t>
            </w:r>
            <w:r>
              <w:rPr>
                <w:rFonts w:ascii="Times New Roman" w:cs="Times New Roman" w:eastAsia="Times New Roman" w:hAnsi="Times New Roman"/>
                <w:sz w:val="22"/>
                <w:szCs w:val="22"/>
                <w:color w:val="008000"/>
                <w:w w:val="94"/>
                <w:vertAlign w:val="superscript"/>
              </w:rPr>
              <w:t>(10)</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17,867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303</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399.3569</w:t>
            </w:r>
            <w:r>
              <w:rPr>
                <w:rFonts w:ascii="Times New Roman" w:cs="Times New Roman" w:eastAsia="Times New Roman" w:hAnsi="Times New Roman"/>
                <w:sz w:val="22"/>
                <w:szCs w:val="22"/>
                <w:color w:val="008000"/>
                <w:w w:val="94"/>
                <w:vertAlign w:val="superscript"/>
              </w:rPr>
              <w:t>(11)</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17,564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88</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400.3294</w:t>
            </w:r>
            <w:r>
              <w:rPr>
                <w:rFonts w:ascii="Times New Roman" w:cs="Times New Roman" w:eastAsia="Times New Roman" w:hAnsi="Times New Roman"/>
                <w:sz w:val="22"/>
                <w:szCs w:val="22"/>
                <w:color w:val="008000"/>
                <w:w w:val="94"/>
                <w:vertAlign w:val="superscript"/>
              </w:rPr>
              <w:t>(12)</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17,476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3"/>
          </w:tcPr>
          <w:p>
            <w:pPr>
              <w:jc w:val="right"/>
              <w:ind w:right="60"/>
              <w:spacing w:after="0"/>
              <w:rPr>
                <w:sz w:val="20"/>
                <w:szCs w:val="20"/>
                <w:color w:val="auto"/>
              </w:rPr>
            </w:pPr>
            <w:r>
              <w:rPr>
                <w:rFonts w:ascii="Times New Roman" w:cs="Times New Roman" w:eastAsia="Times New Roman" w:hAnsi="Times New Roman"/>
                <w:sz w:val="17"/>
                <w:szCs w:val="17"/>
                <w:color w:val="0000FF"/>
              </w:rPr>
              <w:t>10/29/2026</w:t>
            </w: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w w:val="79"/>
                <w:vertAlign w:val="subscript"/>
              </w:rPr>
              <w:t>S</w:t>
            </w:r>
            <w:r>
              <w:rPr>
                <w:rFonts w:ascii="Times New Roman" w:cs="Times New Roman" w:eastAsia="Times New Roman" w:hAnsi="Times New Roman"/>
                <w:sz w:val="11"/>
                <w:szCs w:val="11"/>
                <w:color w:val="008000"/>
                <w:w w:val="79"/>
              </w:rPr>
              <w:t>(1)</w:t>
            </w: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120"/>
              <w:spacing w:after="0"/>
              <w:rPr>
                <w:sz w:val="20"/>
                <w:szCs w:val="20"/>
                <w:color w:val="auto"/>
              </w:rPr>
            </w:pPr>
            <w:r>
              <w:rPr>
                <w:rFonts w:ascii="Times New Roman" w:cs="Times New Roman" w:eastAsia="Times New Roman" w:hAnsi="Times New Roman"/>
                <w:sz w:val="17"/>
                <w:szCs w:val="17"/>
                <w:color w:val="0000FF"/>
              </w:rPr>
              <w:t>43</w:t>
            </w: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jc w:val="center"/>
              <w:ind w:left="77"/>
              <w:spacing w:after="0"/>
              <w:rPr>
                <w:sz w:val="20"/>
                <w:szCs w:val="20"/>
                <w:color w:val="auto"/>
              </w:rPr>
            </w:pPr>
            <w:r>
              <w:rPr>
                <w:rFonts w:ascii="Times New Roman" w:cs="Times New Roman" w:eastAsia="Times New Roman" w:hAnsi="Times New Roman"/>
                <w:sz w:val="17"/>
                <w:szCs w:val="17"/>
                <w:color w:val="0000FF"/>
                <w:w w:val="97"/>
              </w:rPr>
              <w:t>D</w:t>
            </w:r>
          </w:p>
        </w:tc>
        <w:tc>
          <w:tcPr>
            <w:tcW w:w="1240" w:type="dxa"/>
            <w:vAlign w:val="bottom"/>
            <w:tcBorders>
              <w:bottom w:val="single" w:sz="8" w:color="2C2C2C"/>
            </w:tcBorders>
            <w:gridSpan w:val="4"/>
          </w:tcPr>
          <w:p>
            <w:pPr>
              <w:jc w:val="center"/>
              <w:ind w:left="87"/>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401.4675</w:t>
            </w:r>
            <w:r>
              <w:rPr>
                <w:rFonts w:ascii="Times New Roman" w:cs="Times New Roman" w:eastAsia="Times New Roman" w:hAnsi="Times New Roman"/>
                <w:sz w:val="22"/>
                <w:szCs w:val="22"/>
                <w:color w:val="008000"/>
                <w:w w:val="94"/>
                <w:vertAlign w:val="superscript"/>
              </w:rPr>
              <w:t>(13)</w:t>
            </w:r>
          </w:p>
        </w:tc>
        <w:tc>
          <w:tcPr>
            <w:tcW w:w="116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17,433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6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2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spacing w:after="0"/>
              <w:rPr>
                <w:sz w:val="20"/>
                <w:szCs w:val="20"/>
                <w:color w:val="auto"/>
              </w:rPr>
            </w:pPr>
            <w:r>
              <w:rPr>
                <w:rFonts w:ascii="Arial" w:cs="Arial" w:eastAsia="Arial" w:hAnsi="Arial"/>
                <w:sz w:val="12"/>
                <w:szCs w:val="12"/>
                <w:b w:val="1"/>
                <w:bCs w:val="1"/>
                <w:color w:val="auto"/>
              </w:rPr>
              <w:t>Exercisable  Date</w:t>
            </w:r>
          </w:p>
        </w:tc>
        <w:tc>
          <w:tcPr>
            <w:tcW w:w="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March 5, 2026.</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$389.6074 to a high of $390.5492. The Reporting Person undertakes to provide to the Issuer, any security holder of the Issuer, or the staff of the Securities and Exchange Commission, upon request, full information regarding the number of shares sold at each separate price.</w:t>
      </w:r>
    </w:p>
    <w:p>
      <w:pPr>
        <w:spacing w:after="0" w:line="171" w:lineRule="exact"/>
        <w:rPr>
          <w:rFonts w:ascii="Times New Roman" w:cs="Times New Roman" w:eastAsia="Times New Roman" w:hAnsi="Times New Roman"/>
          <w:sz w:val="13"/>
          <w:szCs w:val="13"/>
          <w:color w:val="008000"/>
        </w:rPr>
      </w:pPr>
    </w:p>
    <w:p>
      <w:pPr>
        <w:ind w:left="40" w:right="3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$390.8463 to a high of $391.8300. The Reporting Person undertakes to provide to the Issuer, any security holder of the Issuer, or the staff of the Securities and Exchange Commission, upon request, full information regarding the number of shares sold at each separate price.</w:t>
      </w:r>
    </w:p>
    <w:p>
      <w:pPr>
        <w:spacing w:after="0" w:line="171" w:lineRule="exact"/>
        <w:rPr>
          <w:rFonts w:ascii="Times New Roman" w:cs="Times New Roman" w:eastAsia="Times New Roman" w:hAnsi="Times New Roman"/>
          <w:sz w:val="13"/>
          <w:szCs w:val="13"/>
          <w:color w:val="008000"/>
        </w:rPr>
      </w:pPr>
    </w:p>
    <w:p>
      <w:pPr>
        <w:ind w:left="40" w:right="38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$391.8473 to a high of $392.8400. The Reporting Person undertakes to provide to the Issuer, any security holder of the Issuer, or the staff of the Securities and Exchange Commission, upon request, full information regarding the number of shares sold at each separate price.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$392.8499 to a high of $393.7911. The Reporting Person</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 holder of the Issuer, or the staff of the Securities and Exchange Commission, upon request, full information regarding the number of shares sold at each separate price.</w:t>
      </w:r>
    </w:p>
    <w:p>
      <w:pPr>
        <w:spacing w:after="0" w:line="8" w:lineRule="exact"/>
        <w:rPr>
          <w:sz w:val="20"/>
          <w:szCs w:val="20"/>
          <w:color w:val="auto"/>
        </w:rPr>
      </w:pPr>
    </w:p>
    <w:p>
      <w:pPr>
        <w:ind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$393.8700 to a high of $394.8682. The Reporting Person undertakes to provide to the Issuer, any security holder of the Issuer, or the staff of the Securities and Exchange Commission, upon request, full information regarding the number of shares sold at each separate price.</w:t>
      </w:r>
    </w:p>
    <w:p>
      <w:pPr>
        <w:spacing w:after="0" w:line="171" w:lineRule="exact"/>
        <w:rPr>
          <w:rFonts w:ascii="Times New Roman" w:cs="Times New Roman" w:eastAsia="Times New Roman" w:hAnsi="Times New Roman"/>
          <w:sz w:val="13"/>
          <w:szCs w:val="13"/>
          <w:color w:val="008000"/>
        </w:rPr>
      </w:pPr>
    </w:p>
    <w:p>
      <w:pPr>
        <w:ind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$394.8900 to a high of $395.8721. The Reporting Person undertakes to provide to the Issuer, any security holder of the Issuer, or the staff of the Securities and Exchange Commission, upon request, full information regarding the number of shares sold at each separate price.</w:t>
      </w:r>
    </w:p>
    <w:p>
      <w:pPr>
        <w:spacing w:after="0" w:line="171" w:lineRule="exact"/>
        <w:rPr>
          <w:rFonts w:ascii="Times New Roman" w:cs="Times New Roman" w:eastAsia="Times New Roman" w:hAnsi="Times New Roman"/>
          <w:sz w:val="13"/>
          <w:szCs w:val="13"/>
          <w:color w:val="008000"/>
        </w:rPr>
      </w:pPr>
    </w:p>
    <w:p>
      <w:pPr>
        <w:ind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$395.9300 to a high of $396.9100. The Reporting Person undertakes to provide to the Issuer, any security holder of the Issuer, or the staff of the Securities and Exchange Commission, upon request, full information regarding the number of shares sold at each separate price.</w:t>
      </w:r>
    </w:p>
    <w:p>
      <w:pPr>
        <w:spacing w:after="0" w:line="171" w:lineRule="exact"/>
        <w:rPr>
          <w:rFonts w:ascii="Times New Roman" w:cs="Times New Roman" w:eastAsia="Times New Roman" w:hAnsi="Times New Roman"/>
          <w:sz w:val="13"/>
          <w:szCs w:val="13"/>
          <w:color w:val="008000"/>
        </w:rPr>
      </w:pPr>
    </w:p>
    <w:p>
      <w:pPr>
        <w:ind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$396.9333 to a high of $397.9274. The Reporting Person undertakes to provide to the Issuer, any security holder of the Issuer, or the staff of the Securities and Exchange Commission, upon request, full information regarding the number of shares sold at each separate price.</w:t>
      </w:r>
    </w:p>
    <w:p>
      <w:pPr>
        <w:spacing w:after="0" w:line="171"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$397.9343 to a high of $398.9000.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$398.9400 to a high of $399.9200.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$399.9563 to a high of $400.9500. The Reporting Person undertakes to provide to the Issuer, any security holder of the Issuer, or the staff of the Securities and Exchange Commission, upon request,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$401.0000 to a high of $401.8100. The Reporting Person undertakes to provide to the Issuer, any security holder of the Issuer, or the staff of the Securities and Exchange Commission, upon request, full information regarding the number of shares sold at each separate price.</w:t>
      </w: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Sandra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43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Martin</w:t>
        <w:tab/>
        <w:t>10/30/2026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02874" TargetMode="External"/><Relationship Id="rId14" Type="http://schemas.openxmlformats.org/officeDocument/2006/relationships/hyperlink" Target="http://www.sec.gov/cgi-bin/browse-edgar?action=getcompany&amp;CIK=0000106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2026-10-30T17:20:17Z</dcterms:created>
  <dcterms:modified xsi:type="dcterms:W3CDTF">2026-10-30T17:20:17Z</dcterms:modified>
</cp:coreProperties>
</file>