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46990</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40005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(Mark One)</w:t>
      </w:r>
    </w:p>
    <w:p>
      <w:pPr>
        <w:spacing w:after="0" w:line="55"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April 3, 2020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5"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4"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63500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294640</wp:posOffset>
            </wp:positionV>
            <wp:extent cx="29660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21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33-0956711</w:t>
      </w:r>
    </w:p>
    <w:p>
      <w:pPr>
        <w:spacing w:after="0" w:line="95" w:lineRule="exact"/>
        <w:rPr>
          <w:sz w:val="24"/>
          <w:szCs w:val="24"/>
          <w:color w:val="auto"/>
        </w:rPr>
      </w:pPr>
    </w:p>
    <w:p>
      <w:pPr>
        <w:sectPr>
          <w:pgSz w:w="11900" w:h="16838" w:orient="portrait"/>
          <w:cols w:equalWidth="0" w:num="2">
            <w:col w:w="7620" w:space="720"/>
            <w:col w:w="2900"/>
          </w:cols>
          <w:pgMar w:left="320" w:top="1043" w:right="339" w:bottom="1440" w:gutter="0" w:footer="0" w:header="0"/>
          <w:type w:val="continuous"/>
        </w:sectPr>
      </w:pPr>
    </w:p>
    <w:p>
      <w:pPr>
        <w:ind w:left="1740"/>
        <w:spacing w:after="0"/>
        <w:rPr>
          <w:sz w:val="20"/>
          <w:szCs w:val="20"/>
          <w:color w:val="auto"/>
        </w:rPr>
      </w:pPr>
      <w:r>
        <w:rPr>
          <w:rFonts w:ascii="Arial" w:cs="Arial" w:eastAsia="Arial" w:hAnsi="Arial"/>
          <w:sz w:val="10"/>
          <w:szCs w:val="10"/>
          <w:i w:val="1"/>
          <w:iCs w:val="1"/>
          <w:color w:val="auto"/>
        </w:rPr>
        <w:t>(State or other jurisdiction of</w:t>
      </w:r>
    </w:p>
    <w:p>
      <w:pPr>
        <w:spacing w:after="0" w:line="30" w:lineRule="exact"/>
        <w:rPr>
          <w:sz w:val="24"/>
          <w:szCs w:val="24"/>
          <w:color w:val="auto"/>
        </w:rPr>
      </w:pPr>
    </w:p>
    <w:p>
      <w:pPr>
        <w:ind w:left="1700"/>
        <w:spacing w:after="0"/>
        <w:rPr>
          <w:sz w:val="20"/>
          <w:szCs w:val="20"/>
          <w:color w:val="auto"/>
        </w:rPr>
      </w:pPr>
      <w:r>
        <w:rPr>
          <w:rFonts w:ascii="Arial" w:cs="Arial" w:eastAsia="Arial" w:hAnsi="Arial"/>
          <w:sz w:val="10"/>
          <w:szCs w:val="10"/>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0"/>
          <w:szCs w:val="10"/>
          <w:i w:val="1"/>
          <w:iCs w:val="1"/>
          <w:color w:val="auto"/>
        </w:rPr>
        <w:t>(I.R.S. Employer Identification No.)</w:t>
      </w:r>
    </w:p>
    <w:p>
      <w:pPr>
        <w:spacing w:after="0" w:line="120" w:lineRule="exact"/>
        <w:rPr>
          <w:sz w:val="24"/>
          <w:szCs w:val="24"/>
          <w:color w:val="auto"/>
        </w:rPr>
      </w:pPr>
    </w:p>
    <w:p>
      <w:pPr>
        <w:sectPr>
          <w:pgSz w:w="11900" w:h="16838" w:orient="portrait"/>
          <w:cols w:equalWidth="0" w:num="2">
            <w:col w:w="7100" w:space="720"/>
            <w:col w:w="3420"/>
          </w:cols>
          <w:pgMar w:left="320" w:top="1043" w:right="339" w:bottom="1440" w:gutter="0" w:footer="0" w:header="0"/>
          <w:type w:val="continuous"/>
        </w:sectPr>
      </w:pPr>
    </w:p>
    <w:p>
      <w:pPr>
        <w:ind w:left="800"/>
        <w:spacing w:after="0"/>
        <w:rPr>
          <w:sz w:val="20"/>
          <w:szCs w:val="20"/>
          <w:color w:val="auto"/>
        </w:rPr>
      </w:pPr>
      <w:r>
        <w:rPr>
          <w:rFonts w:ascii="Arial" w:cs="Arial" w:eastAsia="Arial" w:hAnsi="Arial"/>
          <w:sz w:val="13"/>
          <w:szCs w:val="13"/>
          <w:b w:val="1"/>
          <w:bCs w:val="1"/>
          <w:color w:val="auto"/>
        </w:rPr>
        <w:t>5601 Great Oaks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San Jose,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95119</w:t>
      </w:r>
    </w:p>
    <w:p>
      <w:pPr>
        <w:spacing w:after="0" w:line="73" w:lineRule="exact"/>
        <w:rPr>
          <w:sz w:val="24"/>
          <w:szCs w:val="24"/>
          <w:color w:val="auto"/>
        </w:rPr>
      </w:pPr>
    </w:p>
    <w:p>
      <w:pPr>
        <w:sectPr>
          <w:pgSz w:w="11900" w:h="16838" w:orient="portrait"/>
          <w:cols w:equalWidth="0" w:num="4">
            <w:col w:w="2420" w:space="380"/>
            <w:col w:w="560" w:space="260"/>
            <w:col w:w="4220" w:space="720"/>
            <w:col w:w="2680"/>
          </w:cols>
          <w:pgMar w:left="320" w:top="1043" w:right="339" w:bottom="1440" w:gutter="0" w:footer="0" w:header="0"/>
          <w:type w:val="continuous"/>
        </w:sectPr>
      </w:pPr>
    </w:p>
    <w:p>
      <w:pPr>
        <w:ind w:left="1480"/>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(Zip Code)</w:t>
      </w:r>
    </w:p>
    <w:p>
      <w:pPr>
        <w:spacing w:after="0" w:line="200" w:lineRule="exact"/>
        <w:rPr>
          <w:sz w:val="24"/>
          <w:szCs w:val="24"/>
          <w:color w:val="auto"/>
        </w:rPr>
      </w:pPr>
    </w:p>
    <w:p>
      <w:pPr>
        <w:sectPr>
          <w:pgSz w:w="11900" w:h="16838" w:orient="portrait"/>
          <w:cols w:equalWidth="0" w:num="2">
            <w:col w:w="7740" w:space="720"/>
            <w:col w:w="2780"/>
          </w:cols>
          <w:pgMar w:left="320" w:top="1043"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2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08"/>
        </w:trPr>
        <w:tc>
          <w:tcPr>
            <w:tcW w:w="1540" w:type="dxa"/>
            <w:vAlign w:val="bottom"/>
          </w:tcPr>
          <w:p>
            <w:pPr>
              <w:spacing w:after="0"/>
              <w:rPr>
                <w:sz w:val="18"/>
                <w:szCs w:val="18"/>
                <w:color w:val="auto"/>
              </w:rPr>
            </w:pPr>
          </w:p>
        </w:tc>
        <w:tc>
          <w:tcPr>
            <w:tcW w:w="348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88"/>
              </w:rPr>
              <w:t>Title of each class</w:t>
            </w:r>
          </w:p>
        </w:tc>
        <w:tc>
          <w:tcPr>
            <w:tcW w:w="258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0"/>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8"/>
        </w:trPr>
        <w:tc>
          <w:tcPr>
            <w:tcW w:w="5020" w:type="dxa"/>
            <w:vAlign w:val="bottom"/>
            <w:gridSpan w:val="3"/>
          </w:tcPr>
          <w:p>
            <w:pPr>
              <w:jc w:val="center"/>
              <w:ind w:right="700"/>
              <w:spacing w:after="0"/>
              <w:rPr>
                <w:sz w:val="20"/>
                <w:szCs w:val="20"/>
                <w:color w:val="auto"/>
              </w:rPr>
            </w:pPr>
            <w:r>
              <w:rPr>
                <w:rFonts w:ascii="Arial" w:cs="Arial" w:eastAsia="Arial" w:hAnsi="Arial"/>
                <w:sz w:val="14"/>
                <w:szCs w:val="14"/>
                <w:color w:val="auto"/>
                <w:w w:val="91"/>
              </w:rPr>
              <w:t>Common Stock, $.01 Par Value Per Share</w:t>
            </w:r>
          </w:p>
        </w:tc>
        <w:tc>
          <w:tcPr>
            <w:tcW w:w="2580" w:type="dxa"/>
            <w:vAlign w:val="bottom"/>
            <w:gridSpan w:val="2"/>
          </w:tcPr>
          <w:p>
            <w:pPr>
              <w:jc w:val="center"/>
              <w:ind w:right="1320"/>
              <w:spacing w:after="0"/>
              <w:rPr>
                <w:sz w:val="20"/>
                <w:szCs w:val="20"/>
                <w:color w:val="auto"/>
              </w:rPr>
            </w:pPr>
            <w:r>
              <w:rPr>
                <w:rFonts w:ascii="Arial" w:cs="Arial" w:eastAsia="Arial" w:hAnsi="Arial"/>
                <w:sz w:val="14"/>
                <w:szCs w:val="14"/>
                <w:color w:val="auto"/>
              </w:rPr>
              <w:t>WDC</w:t>
            </w:r>
          </w:p>
        </w:tc>
        <w:tc>
          <w:tcPr>
            <w:tcW w:w="30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281940</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6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8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1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jc w:val="center"/>
              <w:ind w:right="8"/>
              <w:spacing w:after="0"/>
              <w:rPr>
                <w:sz w:val="20"/>
                <w:szCs w:val="20"/>
                <w:color w:val="auto"/>
              </w:rPr>
            </w:pPr>
            <w:r>
              <w:rPr>
                <w:rFonts w:ascii="Arial" w:cs="Arial" w:eastAsia="Arial" w:hAnsi="Arial"/>
                <w:sz w:val="14"/>
                <w:szCs w:val="14"/>
                <w:color w:val="auto"/>
                <w:w w:val="93"/>
              </w:rPr>
              <w:t>Large accelerated filer</w:t>
            </w:r>
          </w:p>
        </w:tc>
        <w:tc>
          <w:tcPr>
            <w:tcW w:w="212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2200" w:type="dxa"/>
            <w:vAlign w:val="bottom"/>
          </w:tcPr>
          <w:p>
            <w:pPr>
              <w:jc w:val="center"/>
              <w:ind w:left="108"/>
              <w:spacing w:after="0"/>
              <w:rPr>
                <w:sz w:val="20"/>
                <w:szCs w:val="20"/>
                <w:color w:val="auto"/>
              </w:rPr>
            </w:pPr>
            <w:r>
              <w:rPr>
                <w:rFonts w:ascii="Arial" w:cs="Arial" w:eastAsia="Arial" w:hAnsi="Arial"/>
                <w:sz w:val="14"/>
                <w:szCs w:val="14"/>
                <w:color w:val="auto"/>
                <w:w w:val="94"/>
              </w:rPr>
              <w:t>Non-accelerated filer</w:t>
            </w:r>
          </w:p>
        </w:tc>
        <w:tc>
          <w:tcPr>
            <w:tcW w:w="2320" w:type="dxa"/>
            <w:vAlign w:val="bottom"/>
          </w:tcPr>
          <w:p>
            <w:pPr>
              <w:jc w:val="center"/>
              <w:ind w:left="28"/>
              <w:spacing w:after="0"/>
              <w:rPr>
                <w:sz w:val="20"/>
                <w:szCs w:val="20"/>
                <w:color w:val="auto"/>
              </w:rPr>
            </w:pPr>
            <w:r>
              <w:rPr>
                <w:rFonts w:ascii="Arial" w:cs="Arial" w:eastAsia="Arial" w:hAnsi="Arial"/>
                <w:sz w:val="14"/>
                <w:szCs w:val="14"/>
                <w:color w:val="auto"/>
                <w:w w:val="94"/>
              </w:rPr>
              <w:t>Smaller reporting company</w:t>
            </w:r>
          </w:p>
        </w:tc>
        <w:tc>
          <w:tcPr>
            <w:tcW w:w="2260" w:type="dxa"/>
            <w:vAlign w:val="bottom"/>
          </w:tcPr>
          <w:p>
            <w:pPr>
              <w:jc w:val="center"/>
              <w:spacing w:after="0"/>
              <w:rPr>
                <w:sz w:val="20"/>
                <w:szCs w:val="20"/>
                <w:color w:val="auto"/>
              </w:rPr>
            </w:pPr>
            <w:r>
              <w:rPr>
                <w:rFonts w:ascii="Arial" w:cs="Arial" w:eastAsia="Arial" w:hAnsi="Arial"/>
                <w:sz w:val="14"/>
                <w:szCs w:val="14"/>
                <w:color w:val="auto"/>
                <w:w w:val="93"/>
              </w:rPr>
              <w:t>Emerging growth company</w:t>
            </w:r>
          </w:p>
        </w:tc>
      </w:tr>
      <w:tr>
        <w:trPr>
          <w:trHeight w:val="232"/>
        </w:trPr>
        <w:tc>
          <w:tcPr>
            <w:tcW w:w="23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21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0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232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2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245"/>
        </w:trPr>
        <w:tc>
          <w:tcPr>
            <w:tcW w:w="23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 w:name="page2"/>
    <w:bookmarkEnd w:id="1"/>
    <w:p>
      <w:pPr>
        <w:ind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the close of business on May 5, 2020, 299,701,032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52" w:right="5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1"/>
          <w:szCs w:val="21"/>
          <w:b w:val="1"/>
          <w:bCs w:val="1"/>
          <w:color w:val="auto"/>
        </w:rPr>
        <w:t>WESTERN DIGITAL CORPORATION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INDEX</w:t>
      </w:r>
    </w:p>
    <w:p>
      <w:pPr>
        <w:sectPr>
          <w:pgSz w:w="11900" w:h="16838" w:orient="portrait"/>
          <w:cols w:equalWidth="0" w:num="1">
            <w:col w:w="11120"/>
          </w:cols>
          <w:pgMar w:left="320" w:top="895" w:right="4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pacing w:after="0" w:line="6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Condensed Consolidated Balance Sheets — As of April 3, 2020 and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Condensed Consolidated Statements of Operations — Three and Nine Months Ended April 3, 2020 and March 29,</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2019</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Condensed Consolidated Statements of Comprehensive Loss — Three and Nine Months Ended April 3, 2020 and</w:t>
      </w:r>
    </w:p>
    <w:p>
      <w:pPr>
        <w:spacing w:after="0" w:line="4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Condensed Consolidated Statements of Cash Flows — Nine Months Ended April 3, 2020 and March 29, 2019</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Condensed Consolidated Statements of Shareholders' Equity — Nine Months Ended April 3, 2020 and March 29,</w:t>
      </w:r>
    </w:p>
    <w:p>
      <w:pPr>
        <w:spacing w:after="0" w:line="4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Notes to Condensed Consolidated Financial Statements</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6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color w:val="auto"/>
        </w:rPr>
        <w:t>Controls and Procedures</w:t>
      </w:r>
    </w:p>
    <w:p>
      <w:pPr>
        <w:spacing w:after="0" w:line="33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color w:val="auto"/>
        </w:rPr>
        <w:t>Legal Proceedings</w:t>
      </w:r>
    </w:p>
    <w:p>
      <w:pPr>
        <w:spacing w:after="0" w:line="6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color w:val="auto"/>
        </w:rPr>
        <w:t>Exhibits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41910</wp:posOffset>
            </wp:positionV>
            <wp:extent cx="900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spacing w:after="0"/>
        <w:rPr>
          <w:rFonts w:ascii="Arial" w:cs="Arial" w:eastAsia="Arial" w:hAnsi="Arial"/>
          <w:sz w:val="18"/>
          <w:szCs w:val="18"/>
          <w:u w:val="single" w:color="auto"/>
          <w:color w:val="3635D6"/>
        </w:rPr>
      </w:pPr>
      <w:hyperlink w:anchor="page5">
        <w:r>
          <w:rPr>
            <w:rFonts w:ascii="Arial" w:cs="Arial" w:eastAsia="Arial" w:hAnsi="Arial"/>
            <w:sz w:val="18"/>
            <w:szCs w:val="18"/>
            <w:u w:val="single" w:color="auto"/>
            <w:color w:val="3635D6"/>
          </w:rPr>
          <w:t>5</w:t>
        </w:r>
      </w:hyperlink>
    </w:p>
    <w:p>
      <w:pPr>
        <w:spacing w:after="0" w:line="279" w:lineRule="exact"/>
        <w:rPr>
          <w:sz w:val="20"/>
          <w:szCs w:val="20"/>
          <w:color w:val="auto"/>
        </w:rPr>
      </w:pPr>
    </w:p>
    <w:p>
      <w:pPr>
        <w:ind w:left="380"/>
        <w:spacing w:after="0"/>
        <w:rPr>
          <w:rFonts w:ascii="Arial" w:cs="Arial" w:eastAsia="Arial" w:hAnsi="Arial"/>
          <w:sz w:val="18"/>
          <w:szCs w:val="18"/>
          <w:u w:val="single" w:color="auto"/>
          <w:color w:val="3635D6"/>
        </w:rPr>
      </w:pPr>
      <w:hyperlink w:anchor="page5">
        <w:r>
          <w:rPr>
            <w:rFonts w:ascii="Arial" w:cs="Arial" w:eastAsia="Arial" w:hAnsi="Arial"/>
            <w:sz w:val="18"/>
            <w:szCs w:val="18"/>
            <w:u w:val="single" w:color="auto"/>
            <w:color w:val="3635D6"/>
          </w:rPr>
          <w:t>6</w:t>
        </w:r>
      </w:hyperlink>
    </w:p>
    <w:p>
      <w:pPr>
        <w:spacing w:after="0" w:line="279" w:lineRule="exact"/>
        <w:rPr>
          <w:sz w:val="20"/>
          <w:szCs w:val="20"/>
          <w:color w:val="auto"/>
        </w:rPr>
      </w:pPr>
    </w:p>
    <w:p>
      <w:pPr>
        <w:ind w:left="380"/>
        <w:spacing w:after="0"/>
        <w:rPr>
          <w:rFonts w:ascii="Arial" w:cs="Arial" w:eastAsia="Arial" w:hAnsi="Arial"/>
          <w:sz w:val="18"/>
          <w:szCs w:val="18"/>
          <w:u w:val="single" w:color="auto"/>
          <w:color w:val="3635D6"/>
        </w:rPr>
      </w:pPr>
      <w:hyperlink w:anchor="page6">
        <w:r>
          <w:rPr>
            <w:rFonts w:ascii="Arial" w:cs="Arial" w:eastAsia="Arial" w:hAnsi="Arial"/>
            <w:sz w:val="18"/>
            <w:szCs w:val="18"/>
            <w:u w:val="single" w:color="auto"/>
            <w:color w:val="3635D6"/>
          </w:rPr>
          <w:t>7</w:t>
        </w:r>
      </w:hyperlink>
    </w:p>
    <w:p>
      <w:pPr>
        <w:spacing w:after="0" w:line="63" w:lineRule="exact"/>
        <w:rPr>
          <w:sz w:val="20"/>
          <w:szCs w:val="20"/>
          <w:color w:val="auto"/>
        </w:rPr>
      </w:pPr>
    </w:p>
    <w:p>
      <w:pPr>
        <w:ind w:left="380"/>
        <w:spacing w:after="0"/>
        <w:rPr>
          <w:rFonts w:ascii="Arial" w:cs="Arial" w:eastAsia="Arial" w:hAnsi="Arial"/>
          <w:sz w:val="18"/>
          <w:szCs w:val="18"/>
          <w:u w:val="single" w:color="auto"/>
          <w:color w:val="3635D6"/>
        </w:rPr>
      </w:pPr>
      <w:hyperlink w:anchor="page7">
        <w:r>
          <w:rPr>
            <w:rFonts w:ascii="Arial" w:cs="Arial" w:eastAsia="Arial" w:hAnsi="Arial"/>
            <w:sz w:val="18"/>
            <w:szCs w:val="18"/>
            <w:u w:val="single" w:color="auto"/>
            <w:color w:val="3635D6"/>
          </w:rPr>
          <w:t>8</w:t>
        </w:r>
      </w:hyperlink>
    </w:p>
    <w:p>
      <w:pPr>
        <w:spacing w:after="0" w:line="279" w:lineRule="exact"/>
        <w:rPr>
          <w:sz w:val="20"/>
          <w:szCs w:val="20"/>
          <w:color w:val="auto"/>
        </w:rPr>
      </w:pPr>
    </w:p>
    <w:p>
      <w:pPr>
        <w:ind w:left="380"/>
        <w:spacing w:after="0"/>
        <w:rPr>
          <w:rFonts w:ascii="Arial" w:cs="Arial" w:eastAsia="Arial" w:hAnsi="Arial"/>
          <w:sz w:val="18"/>
          <w:szCs w:val="18"/>
          <w:u w:val="single" w:color="auto"/>
          <w:color w:val="3635D6"/>
        </w:rPr>
      </w:pPr>
      <w:hyperlink w:anchor="page8">
        <w:r>
          <w:rPr>
            <w:rFonts w:ascii="Arial" w:cs="Arial" w:eastAsia="Arial" w:hAnsi="Arial"/>
            <w:sz w:val="18"/>
            <w:szCs w:val="18"/>
            <w:u w:val="single" w:color="auto"/>
            <w:color w:val="3635D6"/>
          </w:rPr>
          <w:t>9</w:t>
        </w:r>
      </w:hyperlink>
    </w:p>
    <w:p>
      <w:pPr>
        <w:spacing w:after="0" w:line="63" w:lineRule="exact"/>
        <w:rPr>
          <w:sz w:val="20"/>
          <w:szCs w:val="20"/>
          <w:color w:val="auto"/>
        </w:rPr>
      </w:pPr>
    </w:p>
    <w:p>
      <w:pPr>
        <w:ind w:left="340"/>
        <w:spacing w:after="0"/>
        <w:rPr>
          <w:rFonts w:ascii="Arial" w:cs="Arial" w:eastAsia="Arial" w:hAnsi="Arial"/>
          <w:sz w:val="18"/>
          <w:szCs w:val="18"/>
          <w:u w:val="single" w:color="auto"/>
          <w:color w:val="3635D6"/>
        </w:rPr>
      </w:pPr>
      <w:hyperlink w:anchor="page10">
        <w:r>
          <w:rPr>
            <w:rFonts w:ascii="Arial" w:cs="Arial" w:eastAsia="Arial" w:hAnsi="Arial"/>
            <w:sz w:val="18"/>
            <w:szCs w:val="18"/>
            <w:u w:val="single" w:color="auto"/>
            <w:color w:val="3635D6"/>
          </w:rPr>
          <w:t>11</w:t>
        </w:r>
      </w:hyperlink>
    </w:p>
    <w:p>
      <w:pPr>
        <w:spacing w:after="0" w:line="63" w:lineRule="exact"/>
        <w:rPr>
          <w:sz w:val="20"/>
          <w:szCs w:val="20"/>
          <w:color w:val="auto"/>
        </w:rPr>
      </w:pPr>
    </w:p>
    <w:p>
      <w:pPr>
        <w:ind w:left="340"/>
        <w:spacing w:after="0"/>
        <w:rPr>
          <w:rFonts w:ascii="Arial" w:cs="Arial" w:eastAsia="Arial" w:hAnsi="Arial"/>
          <w:sz w:val="18"/>
          <w:szCs w:val="18"/>
          <w:u w:val="single" w:color="auto"/>
          <w:color w:val="3635D6"/>
        </w:rPr>
      </w:pPr>
      <w:hyperlink w:anchor="page37">
        <w:r>
          <w:rPr>
            <w:rFonts w:ascii="Arial" w:cs="Arial" w:eastAsia="Arial" w:hAnsi="Arial"/>
            <w:sz w:val="18"/>
            <w:szCs w:val="18"/>
            <w:u w:val="single" w:color="auto"/>
            <w:color w:val="3635D6"/>
          </w:rPr>
          <w:t>38</w:t>
        </w:r>
      </w:hyperlink>
    </w:p>
    <w:p>
      <w:pPr>
        <w:spacing w:after="0" w:line="63" w:lineRule="exact"/>
        <w:rPr>
          <w:sz w:val="20"/>
          <w:szCs w:val="20"/>
          <w:color w:val="auto"/>
        </w:rPr>
      </w:pPr>
    </w:p>
    <w:p>
      <w:pPr>
        <w:ind w:left="340"/>
        <w:spacing w:after="0"/>
        <w:rPr>
          <w:rFonts w:ascii="Arial" w:cs="Arial" w:eastAsia="Arial" w:hAnsi="Arial"/>
          <w:sz w:val="18"/>
          <w:szCs w:val="18"/>
          <w:u w:val="single" w:color="auto"/>
          <w:color w:val="3635D6"/>
        </w:rPr>
      </w:pPr>
      <w:hyperlink w:anchor="page49">
        <w:r>
          <w:rPr>
            <w:rFonts w:ascii="Arial" w:cs="Arial" w:eastAsia="Arial" w:hAnsi="Arial"/>
            <w:sz w:val="18"/>
            <w:szCs w:val="18"/>
            <w:u w:val="single" w:color="auto"/>
            <w:color w:val="3635D6"/>
          </w:rPr>
          <w:t>50</w:t>
        </w:r>
      </w:hyperlink>
    </w:p>
    <w:p>
      <w:pPr>
        <w:spacing w:after="0" w:line="63" w:lineRule="exact"/>
        <w:rPr>
          <w:sz w:val="20"/>
          <w:szCs w:val="20"/>
          <w:color w:val="auto"/>
        </w:rPr>
      </w:pPr>
    </w:p>
    <w:p>
      <w:pPr>
        <w:ind w:left="340"/>
        <w:spacing w:after="0"/>
        <w:rPr>
          <w:rFonts w:ascii="Arial" w:cs="Arial" w:eastAsia="Arial" w:hAnsi="Arial"/>
          <w:sz w:val="18"/>
          <w:szCs w:val="18"/>
          <w:u w:val="single" w:color="auto"/>
          <w:color w:val="3635D6"/>
        </w:rPr>
      </w:pPr>
      <w:hyperlink w:anchor="page50">
        <w:r>
          <w:rPr>
            <w:rFonts w:ascii="Arial" w:cs="Arial" w:eastAsia="Arial" w:hAnsi="Arial"/>
            <w:sz w:val="18"/>
            <w:szCs w:val="18"/>
            <w:u w:val="single" w:color="auto"/>
            <w:color w:val="3635D6"/>
          </w:rPr>
          <w:t>50</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rFonts w:ascii="Arial" w:cs="Arial" w:eastAsia="Arial" w:hAnsi="Arial"/>
          <w:sz w:val="18"/>
          <w:szCs w:val="18"/>
          <w:u w:val="single" w:color="auto"/>
          <w:color w:val="3635D6"/>
        </w:rPr>
      </w:pPr>
      <w:hyperlink w:anchor="page51">
        <w:r>
          <w:rPr>
            <w:rFonts w:ascii="Arial" w:cs="Arial" w:eastAsia="Arial" w:hAnsi="Arial"/>
            <w:sz w:val="18"/>
            <w:szCs w:val="18"/>
            <w:u w:val="single" w:color="auto"/>
            <w:color w:val="3635D6"/>
          </w:rPr>
          <w:t>51</w:t>
        </w:r>
      </w:hyperlink>
    </w:p>
    <w:p>
      <w:pPr>
        <w:spacing w:after="0" w:line="63" w:lineRule="exact"/>
        <w:rPr>
          <w:sz w:val="20"/>
          <w:szCs w:val="20"/>
          <w:color w:val="auto"/>
        </w:rPr>
      </w:pPr>
    </w:p>
    <w:p>
      <w:pPr>
        <w:ind w:left="340"/>
        <w:spacing w:after="0"/>
        <w:rPr>
          <w:rFonts w:ascii="Arial" w:cs="Arial" w:eastAsia="Arial" w:hAnsi="Arial"/>
          <w:sz w:val="18"/>
          <w:szCs w:val="18"/>
          <w:u w:val="single" w:color="auto"/>
          <w:color w:val="3635D6"/>
        </w:rPr>
      </w:pPr>
      <w:hyperlink w:anchor="page51">
        <w:r>
          <w:rPr>
            <w:rFonts w:ascii="Arial" w:cs="Arial" w:eastAsia="Arial" w:hAnsi="Arial"/>
            <w:sz w:val="18"/>
            <w:szCs w:val="18"/>
            <w:u w:val="single" w:color="auto"/>
            <w:color w:val="3635D6"/>
          </w:rPr>
          <w:t>51</w:t>
        </w:r>
      </w:hyperlink>
    </w:p>
    <w:p>
      <w:pPr>
        <w:spacing w:after="0" w:line="63" w:lineRule="exact"/>
        <w:rPr>
          <w:sz w:val="20"/>
          <w:szCs w:val="20"/>
          <w:color w:val="auto"/>
        </w:rPr>
      </w:pPr>
    </w:p>
    <w:p>
      <w:pPr>
        <w:ind w:left="340"/>
        <w:spacing w:after="0"/>
        <w:rPr>
          <w:rFonts w:ascii="Arial" w:cs="Arial" w:eastAsia="Arial" w:hAnsi="Arial"/>
          <w:sz w:val="18"/>
          <w:szCs w:val="18"/>
          <w:u w:val="single" w:color="auto"/>
          <w:color w:val="3635D6"/>
        </w:rPr>
      </w:pPr>
      <w:hyperlink w:anchor="page67">
        <w:r>
          <w:rPr>
            <w:rFonts w:ascii="Arial" w:cs="Arial" w:eastAsia="Arial" w:hAnsi="Arial"/>
            <w:sz w:val="18"/>
            <w:szCs w:val="18"/>
            <w:u w:val="single" w:color="auto"/>
            <w:color w:val="3635D6"/>
          </w:rPr>
          <w:t>67</w:t>
        </w:r>
      </w:hyperlink>
    </w:p>
    <w:p>
      <w:pPr>
        <w:spacing w:after="0" w:line="200" w:lineRule="exact"/>
        <w:rPr>
          <w:sz w:val="20"/>
          <w:szCs w:val="20"/>
          <w:color w:val="auto"/>
        </w:rPr>
      </w:pPr>
    </w:p>
    <w:p>
      <w:pPr>
        <w:sectPr>
          <w:pgSz w:w="11900" w:h="16838" w:orient="portrait"/>
          <w:cols w:equalWidth="0" w:num="2">
            <w:col w:w="9600" w:space="500"/>
            <w:col w:w="1020"/>
          </w:cols>
          <w:pgMar w:left="320" w:top="895" w:right="459" w:bottom="1440" w:gutter="0" w:footer="0" w:header="0"/>
          <w:type w:val="continuous"/>
        </w:sectPr>
      </w:pPr>
    </w:p>
    <w:p>
      <w:pPr>
        <w:spacing w:after="0" w:line="16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9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FORWARD-LOOKING STATEMENTS</w:t>
      </w:r>
    </w:p>
    <w:p>
      <w:pPr>
        <w:spacing w:after="0" w:line="2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effects of the COVID-19 pandemic and measures intended to reduce its spread;</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Flash Ventures joint venture with Kioxia Corporation, the flash industry and our flash wafer output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pricing conditions for flash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cost saving initiatives;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reinvestment in the business and ongoing deleveraging efforts;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any changes to our quarterly cash dividend policy and share repurchase program;</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i w:val="1"/>
          <w:iCs w:val="1"/>
          <w:color w:val="auto"/>
        </w:rPr>
      </w:pPr>
    </w:p>
    <w:p>
      <w:pPr>
        <w:ind w:left="660" w:right="1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right="440" w:hanging="328"/>
        <w:spacing w:after="0" w:line="260"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and capital expenditure needs as well as our dividend plans.</w:t>
      </w:r>
    </w:p>
    <w:p>
      <w:pPr>
        <w:spacing w:after="0" w:line="21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280" w:type="dxa"/>
            <w:vAlign w:val="bottom"/>
          </w:tcPr>
          <w:p>
            <w:pPr>
              <w:spacing w:after="0"/>
              <w:rPr>
                <w:sz w:val="14"/>
                <w:szCs w:val="14"/>
                <w:color w:val="auto"/>
              </w:rPr>
            </w:pPr>
          </w:p>
        </w:tc>
        <w:tc>
          <w:tcPr>
            <w:tcW w:w="1160" w:type="dxa"/>
            <w:vAlign w:val="bottom"/>
          </w:tcPr>
          <w:p>
            <w:pPr>
              <w:jc w:val="right"/>
              <w:ind w:right="380"/>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8,477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10,066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to related parties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9,343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10,246</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17"/>
        </w:trPr>
        <w:tc>
          <w:tcPr>
            <w:tcW w:w="82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16,266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16,403</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9, 10, 12 and 15)</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60" w:type="dxa"/>
            <w:vAlign w:val="bottom"/>
          </w:tcPr>
          <w:p>
            <w:pPr>
              <w:ind w:left="140"/>
              <w:spacing w:after="0" w:line="166" w:lineRule="exact"/>
              <w:rPr>
                <w:sz w:val="20"/>
                <w:szCs w:val="20"/>
                <w:color w:val="auto"/>
              </w:rPr>
            </w:pPr>
            <w:r>
              <w:rPr>
                <w:rFonts w:ascii="Arial" w:cs="Arial" w:eastAsia="Arial" w:hAnsi="Arial"/>
                <w:sz w:val="16"/>
                <w:szCs w:val="16"/>
                <w:color w:val="auto"/>
                <w:w w:val="91"/>
              </w:rPr>
              <w:t>Common stock, $0.01 par value; authorized — 450 shares; issued — 312 shares; outstanding — 300 shares and 295 shares,</w:t>
            </w:r>
          </w:p>
        </w:tc>
        <w:tc>
          <w:tcPr>
            <w:tcW w:w="300" w:type="dxa"/>
            <w:vAlign w:val="bottom"/>
          </w:tcPr>
          <w:p>
            <w:pPr>
              <w:spacing w:after="0"/>
              <w:rPr>
                <w:sz w:val="14"/>
                <w:szCs w:val="14"/>
                <w:color w:val="auto"/>
              </w:rPr>
            </w:pPr>
          </w:p>
        </w:tc>
        <w:tc>
          <w:tcPr>
            <w:tcW w:w="1140" w:type="dxa"/>
            <w:vAlign w:val="bottom"/>
            <w:vMerge w:val="restart"/>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3,851</w:t>
            </w:r>
          </w:p>
        </w:tc>
        <w:tc>
          <w:tcPr>
            <w:tcW w:w="0" w:type="dxa"/>
            <w:vAlign w:val="bottom"/>
          </w:tcPr>
          <w:p>
            <w:pPr>
              <w:spacing w:after="0"/>
              <w:rPr>
                <w:sz w:val="1"/>
                <w:szCs w:val="1"/>
                <w:color w:val="auto"/>
              </w:rPr>
            </w:pP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6"/>
                <w:szCs w:val="16"/>
                <w:color w:val="auto"/>
              </w:rPr>
              <w:t>Treasury stock — common shares at cost; 12 shares and 17 shares, respectively</w:t>
            </w:r>
          </w:p>
        </w:tc>
        <w:tc>
          <w:tcPr>
            <w:tcW w:w="3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9,967</w:t>
            </w:r>
          </w:p>
        </w:tc>
        <w:tc>
          <w:tcPr>
            <w:tcW w:w="0" w:type="dxa"/>
            <w:vAlign w:val="bottom"/>
          </w:tcPr>
          <w:p>
            <w:pPr>
              <w:spacing w:after="0"/>
              <w:rPr>
                <w:sz w:val="1"/>
                <w:szCs w:val="1"/>
                <w:color w:val="auto"/>
              </w:rPr>
            </w:pPr>
          </w:p>
        </w:tc>
      </w:tr>
      <w:tr>
        <w:trPr>
          <w:trHeight w:val="217"/>
        </w:trPr>
        <w:tc>
          <w:tcPr>
            <w:tcW w:w="826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25,509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30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3,674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12,449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12,935</w:t>
            </w: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9,751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9,648</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3,287</w:t>
            </w:r>
          </w:p>
        </w:tc>
      </w:tr>
      <w:tr>
        <w:trPr>
          <w:trHeight w:val="203"/>
        </w:trPr>
        <w:tc>
          <w:tcPr>
            <w:tcW w:w="5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1,659</w:t>
            </w: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1,018</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 charges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142</w:t>
            </w:r>
          </w:p>
        </w:tc>
      </w:tr>
      <w:tr>
        <w:trPr>
          <w:trHeight w:val="217"/>
        </w:trPr>
        <w:tc>
          <w:tcPr>
            <w:tcW w:w="51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2,819</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468</w:t>
            </w: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(352)</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r>
      <w:tr>
        <w:trPr>
          <w:trHeight w:val="217"/>
        </w:trPr>
        <w:tc>
          <w:tcPr>
            <w:tcW w:w="5160" w:type="dxa"/>
            <w:vAlign w:val="bottom"/>
          </w:tcPr>
          <w:p>
            <w:pPr>
              <w:ind w:left="220"/>
              <w:spacing w:after="0"/>
              <w:rPr>
                <w:sz w:val="20"/>
                <w:szCs w:val="20"/>
                <w:color w:val="auto"/>
              </w:rPr>
            </w:pPr>
            <w:r>
              <w:rPr>
                <w:rFonts w:ascii="Arial" w:cs="Arial" w:eastAsia="Arial" w:hAnsi="Arial"/>
                <w:sz w:val="16"/>
                <w:szCs w:val="16"/>
                <w:color w:val="auto"/>
              </w:rPr>
              <w:t>Total interest and other expense, net</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(281)</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187</w:t>
            </w: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744</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(1.91)</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w:t>
            </w: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291</w:t>
            </w:r>
          </w:p>
        </w:tc>
      </w:tr>
      <w:tr>
        <w:trPr>
          <w:trHeight w:val="223"/>
        </w:trPr>
        <w:tc>
          <w:tcPr>
            <w:tcW w:w="516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291</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5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Cash dividends declared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1.50</w:t>
            </w: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8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320" w:type="dxa"/>
            <w:vAlign w:val="bottom"/>
          </w:tcPr>
          <w:p>
            <w:pPr>
              <w:spacing w:after="0"/>
              <w:rPr>
                <w:sz w:val="13"/>
                <w:szCs w:val="13"/>
                <w:color w:val="auto"/>
              </w:rPr>
            </w:pPr>
          </w:p>
        </w:tc>
        <w:tc>
          <w:tcPr>
            <w:tcW w:w="12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(557)</w:t>
            </w:r>
          </w:p>
        </w:tc>
      </w:tr>
      <w:tr>
        <w:trPr>
          <w:trHeight w:val="223"/>
        </w:trPr>
        <w:tc>
          <w:tcPr>
            <w:tcW w:w="518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Actuarial pension gain</w:t>
            </w: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r>
      <w:tr>
        <w:trPr>
          <w:trHeight w:val="224"/>
        </w:trPr>
        <w:tc>
          <w:tcPr>
            <w:tcW w:w="51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Pr>
          <w:p>
            <w:pPr>
              <w:spacing w:after="0"/>
              <w:rPr>
                <w:sz w:val="19"/>
                <w:szCs w:val="19"/>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(8)</w:t>
            </w:r>
          </w:p>
        </w:tc>
      </w:tr>
      <w:tr>
        <w:trPr>
          <w:trHeight w:val="33"/>
        </w:trPr>
        <w:tc>
          <w:tcPr>
            <w:tcW w:w="5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5"/>
              </w:rPr>
              <w:t>Net unrealized loss on derivative contracts and available-for-sale securities</w:t>
            </w: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r>
      <w:tr>
        <w:trPr>
          <w:trHeight w:val="217"/>
        </w:trPr>
        <w:tc>
          <w:tcPr>
            <w:tcW w:w="5180" w:type="dxa"/>
            <w:vAlign w:val="bottom"/>
          </w:tcPr>
          <w:p>
            <w:pPr>
              <w:ind w:left="220"/>
              <w:spacing w:after="0"/>
              <w:rPr>
                <w:sz w:val="20"/>
                <w:szCs w:val="20"/>
                <w:color w:val="auto"/>
              </w:rPr>
            </w:pPr>
            <w:r>
              <w:rPr>
                <w:rFonts w:ascii="Arial" w:cs="Arial" w:eastAsia="Arial" w:hAnsi="Arial"/>
                <w:sz w:val="16"/>
                <w:szCs w:val="16"/>
                <w:color w:val="auto"/>
              </w:rPr>
              <w:t>Total other comprehensive loss, before tax</w:t>
            </w:r>
          </w:p>
        </w:tc>
        <w:tc>
          <w:tcPr>
            <w:tcW w:w="10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(86)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r>
      <w:tr>
        <w:trPr>
          <w:trHeight w:val="33"/>
        </w:trPr>
        <w:tc>
          <w:tcPr>
            <w:tcW w:w="5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Income tax benefit related to items of other comprehensive loss, before tax</w:t>
            </w: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w:t>
            </w:r>
          </w:p>
        </w:tc>
      </w:tr>
      <w:tr>
        <w:trPr>
          <w:trHeight w:val="217"/>
        </w:trPr>
        <w:tc>
          <w:tcPr>
            <w:tcW w:w="51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10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r>
      <w:tr>
        <w:trPr>
          <w:trHeight w:val="33"/>
        </w:trPr>
        <w:tc>
          <w:tcPr>
            <w:tcW w:w="5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100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3"/>
                <w:szCs w:val="13"/>
                <w:color w:val="auto"/>
              </w:rPr>
            </w:pPr>
          </w:p>
        </w:tc>
        <w:tc>
          <w:tcPr>
            <w:tcW w:w="118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operations: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7"/>
        </w:trPr>
        <w:tc>
          <w:tcPr>
            <w:tcW w:w="830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(gain) on disposal of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8300" w:type="dxa"/>
            <w:vAlign w:val="bottom"/>
          </w:tcPr>
          <w:p>
            <w:pPr>
              <w:ind w:left="120"/>
              <w:spacing w:after="0"/>
              <w:rPr>
                <w:sz w:val="20"/>
                <w:szCs w:val="20"/>
                <w:color w:val="auto"/>
              </w:rPr>
            </w:pPr>
            <w:r>
              <w:rPr>
                <w:rFonts w:ascii="Arial" w:cs="Arial" w:eastAsia="Arial" w:hAnsi="Arial"/>
                <w:sz w:val="14"/>
                <w:szCs w:val="14"/>
                <w:color w:val="auto"/>
              </w:rPr>
              <w:t>Amortization of debt discounts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non-cash operating activities,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7"/>
        </w:trPr>
        <w:tc>
          <w:tcPr>
            <w:tcW w:w="8300" w:type="dxa"/>
            <w:vAlign w:val="bottom"/>
          </w:tcPr>
          <w:p>
            <w:pPr>
              <w:ind w:left="120"/>
              <w:spacing w:after="0"/>
              <w:rPr>
                <w:sz w:val="20"/>
                <w:szCs w:val="20"/>
                <w:color w:val="auto"/>
              </w:rPr>
            </w:pPr>
            <w:r>
              <w:rPr>
                <w:rFonts w:ascii="Arial" w:cs="Arial" w:eastAsia="Arial" w:hAnsi="Arial"/>
                <w:sz w:val="14"/>
                <w:szCs w:val="14"/>
                <w:color w:val="auto"/>
              </w:rPr>
              <w:t>Changes in:</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97"/>
        </w:trPr>
        <w:tc>
          <w:tcPr>
            <w:tcW w:w="83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97"/>
        </w:trPr>
        <w:tc>
          <w:tcPr>
            <w:tcW w:w="830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97"/>
        </w:trPr>
        <w:tc>
          <w:tcPr>
            <w:tcW w:w="83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2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Proceeds from sale of investments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2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77"/>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2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Dividends paid to shareholders</w:t>
            </w:r>
          </w:p>
        </w:tc>
        <w:tc>
          <w:tcPr>
            <w:tcW w:w="2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Repayment of revolving credit facility</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2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91"/>
        </w:trPr>
        <w:tc>
          <w:tcPr>
            <w:tcW w:w="83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5"/>
          </w:tcPr>
          <w:p>
            <w:pPr>
              <w:ind w:lef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20" w:type="dxa"/>
            <w:vAlign w:val="bottom"/>
            <w:gridSpan w:val="2"/>
            <w:vMerge w:val="restart"/>
          </w:tcPr>
          <w:p>
            <w:pPr>
              <w:ind w:left="6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080" w:type="dxa"/>
            <w:vAlign w:val="bottom"/>
            <w:vMerge w:val="restart"/>
          </w:tcPr>
          <w:p>
            <w:pPr>
              <w:jc w:val="center"/>
              <w:ind w:right="68"/>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28, 2019</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196"/>
        </w:trPr>
        <w:tc>
          <w:tcPr>
            <w:tcW w:w="27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 Standard</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276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6"/>
        </w:trPr>
        <w:tc>
          <w:tcPr>
            <w:tcW w:w="276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76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Net unrealized loss on derivative contracts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Balance at October 4, 2019</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3,728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7,012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9,566</w:t>
            </w: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Net unrealized loss on derivative contracts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Balance at January 3, 2020</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6,717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9,379</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276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Net unrealized loss on derivative contracts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Balance at April 3, 2020</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3,743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9,243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26" w:lineRule="exact"/>
              <w:rPr>
                <w:sz w:val="20"/>
                <w:szCs w:val="20"/>
                <w:color w:val="auto"/>
              </w:rPr>
            </w:pPr>
            <w:r>
              <w:rPr>
                <w:rFonts w:ascii="Arial" w:cs="Arial" w:eastAsia="Arial" w:hAnsi="Arial"/>
                <w:sz w:val="14"/>
                <w:szCs w:val="14"/>
                <w:b w:val="1"/>
                <w:bCs w:val="1"/>
                <w:color w:val="auto"/>
              </w:rPr>
              <w:t>Retained</w:t>
            </w:r>
          </w:p>
        </w:tc>
        <w:tc>
          <w:tcPr>
            <w:tcW w:w="1320" w:type="dxa"/>
            <w:vAlign w:val="bottom"/>
            <w:gridSpan w:val="2"/>
            <w:vMerge w:val="restart"/>
          </w:tcPr>
          <w:p>
            <w:pPr>
              <w:jc w:val="right"/>
              <w:spacing w:after="0" w:line="126" w:lineRule="exact"/>
              <w:rPr>
                <w:sz w:val="20"/>
                <w:szCs w:val="20"/>
                <w:color w:val="auto"/>
              </w:rPr>
            </w:pPr>
            <w:r>
              <w:rPr>
                <w:rFonts w:ascii="Arial" w:cs="Arial" w:eastAsia="Arial" w:hAnsi="Arial"/>
                <w:sz w:val="14"/>
                <w:szCs w:val="14"/>
                <w:b w:val="1"/>
                <w:bCs w:val="1"/>
                <w:color w:val="auto"/>
                <w:w w:val="94"/>
              </w:rPr>
              <w:t>Total Shareholders’</w:t>
            </w:r>
          </w:p>
        </w:tc>
        <w:tc>
          <w:tcPr>
            <w:tcW w:w="0" w:type="dxa"/>
            <w:vAlign w:val="bottom"/>
          </w:tcPr>
          <w:p>
            <w:pPr>
              <w:spacing w:after="0"/>
              <w:rPr>
                <w:sz w:val="1"/>
                <w:szCs w:val="1"/>
                <w:color w:val="auto"/>
              </w:rPr>
            </w:pPr>
          </w:p>
        </w:tc>
      </w:tr>
      <w:tr>
        <w:trPr>
          <w:trHeight w:val="52"/>
        </w:trPr>
        <w:tc>
          <w:tcPr>
            <w:tcW w:w="2340" w:type="dxa"/>
            <w:vAlign w:val="bottom"/>
          </w:tcPr>
          <w:p>
            <w:pPr>
              <w:spacing w:after="0"/>
              <w:rPr>
                <w:sz w:val="4"/>
                <w:szCs w:val="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104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29, 2018</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8,757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197"/>
        </w:trPr>
        <w:tc>
          <w:tcPr>
            <w:tcW w:w="23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7"/>
        </w:trPr>
        <w:tc>
          <w:tcPr>
            <w:tcW w:w="2340" w:type="dxa"/>
            <w:vAlign w:val="bottom"/>
          </w:tcPr>
          <w:p>
            <w:pPr>
              <w:ind w:left="120"/>
              <w:spacing w:after="0" w:line="157" w:lineRule="exact"/>
              <w:rPr>
                <w:sz w:val="20"/>
                <w:szCs w:val="20"/>
                <w:color w:val="auto"/>
              </w:rPr>
            </w:pPr>
            <w:r>
              <w:rPr>
                <w:rFonts w:ascii="Arial" w:cs="Arial" w:eastAsia="Arial" w:hAnsi="Arial"/>
                <w:sz w:val="14"/>
                <w:szCs w:val="14"/>
                <w:color w:val="auto"/>
              </w:rPr>
              <w:t>Foreign currency translation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2"/>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28, 2018</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9,172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11,375</w:t>
            </w: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2340" w:type="dxa"/>
            <w:vAlign w:val="bottom"/>
          </w:tcPr>
          <w:p>
            <w:pPr>
              <w:ind w:left="120"/>
              <w:spacing w:after="0" w:line="157" w:lineRule="exact"/>
              <w:rPr>
                <w:sz w:val="20"/>
                <w:szCs w:val="20"/>
                <w:color w:val="auto"/>
              </w:rPr>
            </w:pPr>
            <w:r>
              <w:rPr>
                <w:rFonts w:ascii="Arial" w:cs="Arial" w:eastAsia="Arial" w:hAnsi="Arial"/>
                <w:sz w:val="14"/>
                <w:szCs w:val="14"/>
                <w:color w:val="auto"/>
              </w:rPr>
              <w:t>Net unrealized gain on derivative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28, 2018</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8,532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10,912</w:t>
            </w:r>
          </w:p>
        </w:tc>
        <w:tc>
          <w:tcPr>
            <w:tcW w:w="0" w:type="dxa"/>
            <w:vAlign w:val="bottom"/>
          </w:tcPr>
          <w:p>
            <w:pPr>
              <w:spacing w:after="0"/>
              <w:rPr>
                <w:sz w:val="1"/>
                <w:szCs w:val="1"/>
                <w:color w:val="auto"/>
              </w:rPr>
            </w:pPr>
          </w:p>
        </w:tc>
      </w:tr>
      <w:tr>
        <w:trPr>
          <w:trHeight w:val="197"/>
        </w:trPr>
        <w:tc>
          <w:tcPr>
            <w:tcW w:w="23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7"/>
        </w:trPr>
        <w:tc>
          <w:tcPr>
            <w:tcW w:w="2340" w:type="dxa"/>
            <w:vAlign w:val="bottom"/>
          </w:tcPr>
          <w:p>
            <w:pPr>
              <w:ind w:left="120"/>
              <w:spacing w:after="0" w:line="157" w:lineRule="exact"/>
              <w:rPr>
                <w:sz w:val="20"/>
                <w:szCs w:val="20"/>
                <w:color w:val="auto"/>
              </w:rPr>
            </w:pPr>
            <w:r>
              <w:rPr>
                <w:rFonts w:ascii="Arial" w:cs="Arial" w:eastAsia="Arial" w:hAnsi="Arial"/>
                <w:sz w:val="14"/>
                <w:szCs w:val="14"/>
                <w:color w:val="auto"/>
              </w:rPr>
              <w:t>Foreign currency translation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Net unrealized loss on available-for-</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securities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2"/>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Balance at March 29, 2019</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7,799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10,214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80" w:right="26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6"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0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which is included in each of these three end market categories.</w:t>
      </w:r>
    </w:p>
    <w:p>
      <w:pPr>
        <w:spacing w:after="0" w:line="211"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The accounting policies followed by the Company are set forth in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28, 2019. The results of operations for interim periods are not necessarily indicative of results to be expected for the full year.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2020, which ends on July 3, 2020, will be comprised of 53 weeks, with the first quarter consisting of 14 weeks and the remaining quarters consisting of 13 weeks each. Fiscal year 2019, which ended on June 28, 2019, was comprised of 52 weeks, with all quarters presented consisting of 13 weeks.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coronavirus disease 2019 (“COVID-19”) pandemic. However, actual results could differ materially from these estimates and be significantly affected by the severity and duration of the pandemic, the extent of actions to contain or treat COVID-19, how quickly and to what extent normal economic and operating activity can resume, and the severity and duration of the global economic downturn that results from the pandemic.</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“Leases (Topic 842)” (“ASU 2016-02”). ASU 2016-02 supersedes Accounting Standards Codification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Company adopted this standard effective June 29, 2019, the first day of the fiscal year ending July 3, 2020, and has elected the transition method provided in ASU 2018-11 to apply Topic 842 as of the date of adoption without adjusting comparative periods. The Company has elected the package of practical expedients and did not reassess prior conclusions including (a) whether its contracts are or contain a lease, (b) lease classification and (c) capitalization of initial direct costs. The adoption of Topic 842 resulted in an increase in lease assets and a corresponding increase in lease liabilities on the Condensed Consolidated Balance Sheet of $221 million as of June 29, 2019. The cumulative effect of adopting Topic 842 also included an after-tax decrease to opening retained earnings of $5 million as of June 29, 2019, which was primarily related to previously recorded sublease proceed assumptions on lease exit liabilities for which there was no expected future economic benefit at transition. See Note 10, </w:t>
      </w:r>
      <w:r>
        <w:rPr>
          <w:rFonts w:ascii="Arial" w:cs="Arial" w:eastAsia="Arial" w:hAnsi="Arial"/>
          <w:sz w:val="17"/>
          <w:szCs w:val="17"/>
          <w:i w:val="1"/>
          <w:iCs w:val="1"/>
          <w:color w:val="auto"/>
        </w:rPr>
        <w:t>Leases and Other Commitments</w:t>
      </w:r>
      <w:r>
        <w:rPr>
          <w:rFonts w:ascii="Arial" w:cs="Arial" w:eastAsia="Arial" w:hAnsi="Arial"/>
          <w:sz w:val="17"/>
          <w:szCs w:val="17"/>
          <w:color w:val="auto"/>
        </w:rPr>
        <w:t>, for additional disclosures related to this standard.</w:t>
      </w:r>
    </w:p>
    <w:p>
      <w:pPr>
        <w:spacing w:after="0" w:line="21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The Company adopted this standard in the first quarter of 2020. The Company’s adoption of ASU 2018-16 did not have a material impact on its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(and interim periods within those fiscal years) beginning after December 15, 2020, which for the Company is the first quarter of fiscal 2021. Early adoption is permitted. The Company does not expect this update to have a material impact on its Condensed Consolidated Financial Statements.</w:t>
      </w:r>
    </w:p>
    <w:p>
      <w:pPr>
        <w:spacing w:after="0" w:line="20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amendments are effective for fiscal years, and interim periods within those fiscal years, beginning after December 15, 2019, which for the Company is the first quarter of fiscal 2021. The Company does not expect this update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5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April 3, 2020 or June 28, 2019.</w:t>
      </w:r>
    </w:p>
    <w:p>
      <w:pPr>
        <w:spacing w:after="0" w:line="151"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7"/>
          <w:szCs w:val="17"/>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April 3, 2020 and June 28, 2019 as well as the related amortization for the three and nine months ended April 3, 2020 and March 29, 2019 were not material.</w:t>
      </w:r>
    </w:p>
    <w:p>
      <w:pPr>
        <w:spacing w:after="0" w:line="205"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Contract liabilities relate to customers’ payments in advance of performance under the contract and primarily relate to remaining performance obligations under support and maintenance contracts. As of April 3, 2020 and June 28, 2019, contract liabilities were not material.</w:t>
      </w:r>
    </w:p>
    <w:p>
      <w:pPr>
        <w:spacing w:after="0" w:line="151" w:lineRule="exact"/>
        <w:rPr>
          <w:sz w:val="20"/>
          <w:szCs w:val="20"/>
          <w:color w:val="auto"/>
        </w:rPr>
      </w:pPr>
    </w:p>
    <w:p>
      <w:pPr>
        <w:ind w:right="180" w:firstLine="324"/>
        <w:spacing w:after="0" w:line="285"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April 3, 2020 was</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$122 million, which is mainly attributable to the functional IP license and service arrangements. The Company expects to recognize this amount as revenue as follows: $11 million during the remainder of fiscal 2020, $41 million in fiscal 2021, $39 million in fiscal 2022 and $31 million thereafter.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Hard disk drives (“HDD”)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6,618</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Flash-based</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6,317</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12,449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12,935</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Devices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5,244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6,489</w:t>
            </w: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Data Center Devices &amp; Solutions</w:t>
            </w:r>
          </w:p>
        </w:tc>
        <w:tc>
          <w:tcPr>
            <w:tcW w:w="30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3,765</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Solutions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2,681</w:t>
            </w:r>
          </w:p>
        </w:tc>
      </w:tr>
      <w:tr>
        <w:trPr>
          <w:trHeight w:val="247"/>
        </w:trPr>
        <w:tc>
          <w:tcPr>
            <w:tcW w:w="5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12,449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12,935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Revenue by Geography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3,367</w:t>
            </w:r>
          </w:p>
        </w:tc>
      </w:tr>
      <w:tr>
        <w:trPr>
          <w:trHeight w:val="223"/>
        </w:trPr>
        <w:tc>
          <w:tcPr>
            <w:tcW w:w="516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30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2,394</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7,174</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12,449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12,935</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Company’s top 10 customers accounted for 44% of its net revenue for both the three and nine months ended April 3, 2020, and 41% and 45% of its net revenue for the three and nine months ended March 29, 2019, respectively. For the three and nine months ended April 3, 2020 and March 29, 2019, no single customer accounted for 10% or more of the Company’s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Supplemental Financial Statement Data</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From time to time, in connection with factoring agreements, the Company sells trade accounts receivable without recourse to third party purchasers in exchange for cash. During the nine months ended April 3, 2020 and March 29, 2019, the Company sold trade accounts receivable and received cash proceeds of $298 million and $702 million, respectively. The discounts on the trade accounts receivable sold during the periods were not material and were recorded within Other income (expense), net in the Condensed Consolidated Statements of Operations. As of April 3, 2020 and June 28, 2019, the amount of factored receivables that remained outstanding was $100 million and $318 million, respectively.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Raw materials and component parts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1,142</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Work-in-process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968</w:t>
            </w: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Finished goods</w:t>
            </w:r>
          </w:p>
        </w:tc>
        <w:tc>
          <w:tcPr>
            <w:tcW w:w="300" w:type="dxa"/>
            <w:vAlign w:val="bottom"/>
          </w:tcPr>
          <w:p>
            <w:pPr>
              <w:spacing w:after="0"/>
              <w:rPr>
                <w:sz w:val="19"/>
                <w:szCs w:val="19"/>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1,173</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3,091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3,283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Land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294</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Buildings and improvements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1,743</w:t>
            </w: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7,290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7,267</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Computer equipment and software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441</w:t>
            </w: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56</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Construction-in-process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202</w:t>
            </w:r>
          </w:p>
        </w:tc>
      </w:tr>
      <w:tr>
        <w:trPr>
          <w:trHeight w:val="217"/>
        </w:trPr>
        <w:tc>
          <w:tcPr>
            <w:tcW w:w="826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10,085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10,003</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(7,160)</w:t>
            </w:r>
          </w:p>
        </w:tc>
      </w:tr>
      <w:tr>
        <w:trPr>
          <w:trHeight w:val="247"/>
        </w:trPr>
        <w:tc>
          <w:tcPr>
            <w:tcW w:w="826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2,843</w:t>
            </w:r>
          </w:p>
        </w:tc>
      </w:tr>
      <w:tr>
        <w:trPr>
          <w:trHeight w:val="24"/>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7"/>
              </w:rPr>
              <w:t>Carrying Amount</w:t>
            </w:r>
          </w:p>
        </w:tc>
      </w:tr>
      <w:tr>
        <w:trPr>
          <w:trHeight w:val="196"/>
        </w:trPr>
        <w:tc>
          <w:tcPr>
            <w:tcW w:w="9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282"/>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28,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10,076</w:t>
            </w:r>
          </w:p>
        </w:tc>
      </w:tr>
      <w:tr>
        <w:trPr>
          <w:trHeight w:val="223"/>
        </w:trPr>
        <w:tc>
          <w:tcPr>
            <w:tcW w:w="9800" w:type="dxa"/>
            <w:vAlign w:val="bottom"/>
          </w:tcPr>
          <w:p>
            <w:pPr>
              <w:ind w:left="120"/>
              <w:spacing w:after="0"/>
              <w:rPr>
                <w:sz w:val="20"/>
                <w:szCs w:val="20"/>
                <w:color w:val="auto"/>
              </w:rPr>
            </w:pPr>
            <w:r>
              <w:rPr>
                <w:rFonts w:ascii="Arial" w:cs="Arial" w:eastAsia="Arial" w:hAnsi="Arial"/>
                <w:sz w:val="16"/>
                <w:szCs w:val="16"/>
                <w:color w:val="auto"/>
              </w:rPr>
              <w:t>Goodwill recorded in connection with an acquisition</w:t>
            </w:r>
          </w:p>
        </w:tc>
        <w:tc>
          <w:tcPr>
            <w:tcW w:w="140" w:type="dxa"/>
            <w:vAlign w:val="bottom"/>
          </w:tcPr>
          <w:p>
            <w:pPr>
              <w:spacing w:after="0"/>
              <w:rPr>
                <w:sz w:val="19"/>
                <w:szCs w:val="19"/>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14</w:t>
            </w:r>
          </w:p>
        </w:tc>
      </w:tr>
      <w:tr>
        <w:trPr>
          <w:trHeight w:val="3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9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Reduction in goodwill in connection with disposition of business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r>
      <w:tr>
        <w:trPr>
          <w:trHeight w:val="223"/>
        </w:trPr>
        <w:tc>
          <w:tcPr>
            <w:tcW w:w="980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(3)</w:t>
            </w:r>
          </w:p>
        </w:tc>
      </w:tr>
      <w:tr>
        <w:trPr>
          <w:trHeight w:val="33"/>
        </w:trPr>
        <w:tc>
          <w:tcPr>
            <w:tcW w:w="9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April 3,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10,066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September 10, 2019, the Company acquired substantially all the assets of Kazan Networks, Inc., an innovator in high-performance networking and non-volatile memory express over fabrics technology ("NVMe-oF"), and an industry leader in application-specific integrated circuit and adapter solutions to connect storage platforms and systems over ethernet fabrics. The purchase price of this acquisition was $22 million in cash, with net assets acquired primarily consisting of in-process research and development (“IPR&amp;D”) of $8 million and $14 million allocated to Goodwill. Goodwill is primarily attributable to the benefits the Company expects to derive from diversifying product offerings in its Data Center Devices and Solutions and Client Solutions end markets as well as the acquired workforce. The expenses incurred by the Company related to the acquisition as well as the revenues and earnings related to the acquisition were not material to the Condensed Consolidated Financial Statements.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September 2019, the Company announced the sale of its IntelliFlash business and intention to exit Storage Systems, which consists of IntelliFlash and ActiveScale. These actions will allow the Company to redirect investments to other high value priorities. In November 2019, the Company completed its sale of IntelliFlash for a price of $28 million, to be collected over the next three years. The sale of the IntelliFlash business included an immaterial amount of inventory, other tangible and intangible assets, and goodwill and resulted in a gain of approximately $17 million recorded in Employee termination, asset impairment, and other charges in the Condensed Consolidated Statements of Operations for both the three and nine months ended April 3, 2020. Additionally, in March 2020, the Company completed the sale of ActiveScale. The net assets sold and the proceeds from the sale of ActiveScale were not material. The revenues and expenses related to these businesses were not material to the Condensed Consolidated Financial Statements and did not qualify to be reported as discontinued operations. The operating results of these businesses have been reflected in the Company’s results from continuing operations in the Condensed Consolidated Statements of Operations for all periods presented through the date of disposition.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Finite-lived intangible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5,824</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In-process research and development</w:t>
            </w:r>
          </w:p>
        </w:tc>
        <w:tc>
          <w:tcPr>
            <w:tcW w:w="300" w:type="dxa"/>
            <w:vAlign w:val="bottom"/>
          </w:tcPr>
          <w:p>
            <w:pPr>
              <w:spacing w:after="0"/>
              <w:rPr>
                <w:sz w:val="19"/>
                <w:szCs w:val="19"/>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72</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(4,185)</w:t>
            </w:r>
          </w:p>
        </w:tc>
      </w:tr>
      <w:tr>
        <w:trPr>
          <w:trHeight w:val="247"/>
        </w:trPr>
        <w:tc>
          <w:tcPr>
            <w:tcW w:w="82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1,711</w:t>
            </w:r>
          </w:p>
        </w:tc>
      </w:tr>
      <w:tr>
        <w:trPr>
          <w:trHeight w:val="24"/>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8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8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6"/>
        </w:trPr>
        <w:tc>
          <w:tcPr>
            <w:tcW w:w="5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2"/>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318</w:t>
            </w:r>
          </w:p>
        </w:tc>
      </w:tr>
      <w:tr>
        <w:trPr>
          <w:trHeight w:val="224"/>
        </w:trPr>
        <w:tc>
          <w:tcPr>
            <w:tcW w:w="5180" w:type="dxa"/>
            <w:vAlign w:val="bottom"/>
          </w:tcPr>
          <w:p>
            <w:pPr>
              <w:ind w:left="120"/>
              <w:spacing w:after="0"/>
              <w:rPr>
                <w:sz w:val="20"/>
                <w:szCs w:val="20"/>
                <w:color w:val="auto"/>
              </w:rPr>
            </w:pPr>
            <w:r>
              <w:rPr>
                <w:rFonts w:ascii="Arial" w:cs="Arial" w:eastAsia="Arial" w:hAnsi="Arial"/>
                <w:sz w:val="16"/>
                <w:szCs w:val="16"/>
                <w:color w:val="auto"/>
              </w:rPr>
              <w:t>Charges to operations</w:t>
            </w:r>
          </w:p>
        </w:tc>
        <w:tc>
          <w:tcPr>
            <w:tcW w:w="980" w:type="dxa"/>
            <w:vAlign w:val="bottom"/>
          </w:tcPr>
          <w:p>
            <w:pPr>
              <w:spacing w:after="0"/>
              <w:rPr>
                <w:sz w:val="19"/>
                <w:szCs w:val="19"/>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119</w:t>
            </w:r>
          </w:p>
        </w:tc>
      </w:tr>
      <w:tr>
        <w:trPr>
          <w:trHeight w:val="33"/>
        </w:trPr>
        <w:tc>
          <w:tcPr>
            <w:tcW w:w="5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Utilization</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1"/>
              </w:rPr>
              <w:t>(40)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w:t>
            </w:r>
          </w:p>
        </w:tc>
      </w:tr>
      <w:tr>
        <w:trPr>
          <w:trHeight w:val="223"/>
        </w:trPr>
        <w:tc>
          <w:tcPr>
            <w:tcW w:w="5180" w:type="dxa"/>
            <w:vAlign w:val="bottom"/>
          </w:tcPr>
          <w:p>
            <w:pPr>
              <w:ind w:left="120"/>
              <w:spacing w:after="0"/>
              <w:rPr>
                <w:sz w:val="20"/>
                <w:szCs w:val="20"/>
                <w:color w:val="auto"/>
              </w:rPr>
            </w:pPr>
            <w:r>
              <w:rPr>
                <w:rFonts w:ascii="Arial" w:cs="Arial" w:eastAsia="Arial" w:hAnsi="Arial"/>
                <w:sz w:val="16"/>
                <w:szCs w:val="16"/>
                <w:color w:val="auto"/>
              </w:rPr>
              <w:t>Changes in estimate related to pre-existing warranties</w:t>
            </w:r>
          </w:p>
        </w:tc>
        <w:tc>
          <w:tcPr>
            <w:tcW w:w="980" w:type="dxa"/>
            <w:vAlign w:val="bottom"/>
          </w:tcPr>
          <w:p>
            <w:pPr>
              <w:spacing w:after="0"/>
              <w:rPr>
                <w:sz w:val="19"/>
                <w:szCs w:val="19"/>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w:t>
            </w:r>
          </w:p>
        </w:tc>
      </w:tr>
      <w:tr>
        <w:trPr>
          <w:trHeight w:val="33"/>
        </w:trPr>
        <w:tc>
          <w:tcPr>
            <w:tcW w:w="5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2"/>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331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Long-term portion (included in Other liabilities)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28,</w:t>
            </w:r>
          </w:p>
        </w:tc>
      </w:tr>
      <w:tr>
        <w:trPr>
          <w:trHeight w:val="192"/>
        </w:trPr>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0"/>
        </w:trPr>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492"/>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188</w:t>
            </w:r>
          </w:p>
        </w:tc>
      </w:tr>
      <w:tr>
        <w:trPr>
          <w:trHeight w:val="256"/>
        </w:trPr>
        <w:tc>
          <w:tcPr>
            <w:tcW w:w="30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162</w:t>
            </w:r>
          </w:p>
        </w:tc>
      </w:tr>
      <w:tr>
        <w:trPr>
          <w:trHeight w:val="33"/>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350</w:t>
            </w:r>
          </w:p>
        </w:tc>
      </w:tr>
      <w:tr>
        <w:trPr>
          <w:trHeight w:val="33"/>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5" w:right="339" w:bottom="1440" w:gutter="0" w:footer="0" w:header="0"/>
          <w:type w:val="continuous"/>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Non-current net tax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928</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Payables related to unrecognized tax benefits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699</w:t>
            </w: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19"/>
                <w:szCs w:val="19"/>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713</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2,452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2,340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52" w:lineRule="exact"/>
        <w:rPr>
          <w:sz w:val="20"/>
          <w:szCs w:val="20"/>
          <w:color w:val="auto"/>
        </w:rPr>
      </w:pPr>
    </w:p>
    <w:p>
      <w:pPr>
        <w:ind w:right="800" w:firstLine="324"/>
        <w:spacing w:after="0" w:line="311" w:lineRule="auto"/>
        <w:rPr>
          <w:sz w:val="20"/>
          <w:szCs w:val="20"/>
          <w:color w:val="auto"/>
        </w:rPr>
      </w:pPr>
      <w:r>
        <w:rPr>
          <w:rFonts w:ascii="Arial" w:cs="Arial" w:eastAsia="Arial" w:hAnsi="Arial"/>
          <w:sz w:val="16"/>
          <w:szCs w:val="16"/>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2"/>
                <w:szCs w:val="12"/>
                <w:color w:val="auto"/>
              </w:rPr>
            </w:pPr>
          </w:p>
        </w:tc>
        <w:tc>
          <w:tcPr>
            <w:tcW w:w="13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(Losses) on Derivative</w:t>
            </w:r>
          </w:p>
        </w:tc>
        <w:tc>
          <w:tcPr>
            <w:tcW w:w="120" w:type="dxa"/>
            <w:vAlign w:val="bottom"/>
          </w:tcPr>
          <w:p>
            <w:pPr>
              <w:spacing w:after="0"/>
              <w:rPr>
                <w:sz w:val="12"/>
                <w:szCs w:val="12"/>
                <w:color w:val="auto"/>
              </w:rPr>
            </w:pPr>
          </w:p>
        </w:tc>
        <w:tc>
          <w:tcPr>
            <w:tcW w:w="13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Gains (Losses)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10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28,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0"/>
        </w:trPr>
        <w:tc>
          <w:tcPr>
            <w:tcW w:w="5200" w:type="dxa"/>
            <w:vAlign w:val="bottom"/>
          </w:tcPr>
          <w:p>
            <w:pPr>
              <w:ind w:left="120"/>
              <w:spacing w:after="0"/>
              <w:rPr>
                <w:sz w:val="20"/>
                <w:szCs w:val="20"/>
                <w:color w:val="auto"/>
              </w:rPr>
            </w:pPr>
            <w:r>
              <w:rPr>
                <w:rFonts w:ascii="Arial" w:cs="Arial" w:eastAsia="Arial" w:hAnsi="Arial"/>
                <w:sz w:val="16"/>
                <w:szCs w:val="16"/>
                <w:color w:val="auto"/>
                <w:w w:val="92"/>
              </w:rPr>
              <w:t>Income tax benefit (expense) related to items of other comprehensive income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00" w:type="dxa"/>
            <w:vAlign w:val="bottom"/>
          </w:tcPr>
          <w:p>
            <w:pPr>
              <w:ind w:left="120"/>
              <w:spacing w:after="0"/>
              <w:rPr>
                <w:sz w:val="20"/>
                <w:szCs w:val="20"/>
                <w:color w:val="auto"/>
              </w:rPr>
            </w:pPr>
            <w:r>
              <w:rPr>
                <w:rFonts w:ascii="Arial" w:cs="Arial" w:eastAsia="Arial" w:hAnsi="Arial"/>
                <w:sz w:val="16"/>
                <w:szCs w:val="16"/>
                <w:color w:val="auto"/>
              </w:rPr>
              <w:t>(loss)</w:t>
            </w:r>
          </w:p>
        </w:tc>
        <w:tc>
          <w:tcPr>
            <w:tcW w:w="120" w:type="dxa"/>
            <w:vAlign w:val="bottom"/>
          </w:tcPr>
          <w:p>
            <w:pPr>
              <w:spacing w:after="0"/>
              <w:rPr>
                <w:sz w:val="17"/>
                <w:szCs w:val="17"/>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current-period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Balance at April 3,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three and nine months ended April 3, 2020 and March 29, 2019, the amounts reclassified out of AOCI related to derivative contracts were substantially all charged to Cost of revenue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and Investments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5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jc w:val="both"/>
        <w:ind w:left="980" w:right="20" w:hanging="647"/>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 2020 and June 28, 2019, and indicate the fair value hierarchy of the valuation techniques utilized to determine such values: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6"/>
              </w:rPr>
              <w:t>April 3, 2020</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center"/>
              <w:ind w:left="622"/>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1,028</w:t>
            </w:r>
          </w:p>
        </w:tc>
      </w:tr>
      <w:tr>
        <w:trPr>
          <w:trHeight w:val="3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217"/>
        </w:trPr>
        <w:tc>
          <w:tcPr>
            <w:tcW w:w="520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1,066</w:t>
            </w:r>
          </w:p>
        </w:tc>
      </w:tr>
      <w:tr>
        <w:trPr>
          <w:trHeight w:val="3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28</w:t>
            </w:r>
          </w:p>
        </w:tc>
      </w:tr>
      <w:tr>
        <w:trPr>
          <w:trHeight w:val="3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r>
      <w:tr>
        <w:trPr>
          <w:trHeight w:val="217"/>
        </w:trPr>
        <w:tc>
          <w:tcPr>
            <w:tcW w:w="520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160</w:t>
            </w:r>
          </w:p>
        </w:tc>
      </w:tr>
      <w:tr>
        <w:trPr>
          <w:trHeight w:val="3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68"/>
        </w:trPr>
        <w:tc>
          <w:tcPr>
            <w:tcW w:w="5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2"/>
              </w:rPr>
              <w:t>June 28, 2019</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5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center"/>
              <w:ind w:left="622"/>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1,388</w:t>
            </w:r>
          </w:p>
        </w:tc>
      </w:tr>
      <w:tr>
        <w:trPr>
          <w:trHeight w:val="224"/>
        </w:trPr>
        <w:tc>
          <w:tcPr>
            <w:tcW w:w="5200" w:type="dxa"/>
            <w:vAlign w:val="bottom"/>
          </w:tcPr>
          <w:p>
            <w:pPr>
              <w:ind w:left="460"/>
              <w:spacing w:after="0"/>
              <w:rPr>
                <w:sz w:val="20"/>
                <w:szCs w:val="20"/>
                <w:color w:val="auto"/>
              </w:rPr>
            </w:pPr>
            <w:r>
              <w:rPr>
                <w:rFonts w:ascii="Arial" w:cs="Arial" w:eastAsia="Arial" w:hAnsi="Arial"/>
                <w:sz w:val="16"/>
                <w:szCs w:val="16"/>
                <w:color w:val="auto"/>
              </w:rPr>
              <w:t>Certificates of deposit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w:t>
            </w:r>
          </w:p>
        </w:tc>
      </w:tr>
      <w:tr>
        <w:trPr>
          <w:trHeight w:val="33"/>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1,405</w:t>
            </w:r>
          </w:p>
        </w:tc>
      </w:tr>
      <w:tr>
        <w:trPr>
          <w:trHeight w:val="217"/>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w:t>
            </w:r>
          </w:p>
        </w:tc>
      </w:tr>
      <w:tr>
        <w:trPr>
          <w:trHeight w:val="3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17"/>
        </w:trPr>
        <w:tc>
          <w:tcPr>
            <w:tcW w:w="520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1,451</w:t>
            </w:r>
          </w:p>
        </w:tc>
      </w:tr>
      <w:tr>
        <w:trPr>
          <w:trHeight w:val="3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40</w:t>
            </w:r>
          </w:p>
        </w:tc>
      </w:tr>
      <w:tr>
        <w:trPr>
          <w:trHeight w:val="3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r>
      <w:tr>
        <w:trPr>
          <w:trHeight w:val="217"/>
        </w:trPr>
        <w:tc>
          <w:tcPr>
            <w:tcW w:w="520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105</w:t>
            </w:r>
          </w:p>
        </w:tc>
      </w:tr>
      <w:tr>
        <w:trPr>
          <w:trHeight w:val="3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During the three and nine months ended April 3, 2020, the Company had no transfers of financial assets and liabilities between levels and there were no changes in valuation techniques and the inputs used in the fair value measurement.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5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2020 and the fourth quarter of 2019,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April 3, 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28, 2019</w:t>
            </w:r>
          </w:p>
        </w:tc>
        <w:tc>
          <w:tcPr>
            <w:tcW w:w="980" w:type="dxa"/>
            <w:vAlign w:val="bottom"/>
            <w:tcBorders>
              <w:bottom w:val="single" w:sz="8" w:color="auto"/>
            </w:tcBorders>
          </w:tcPr>
          <w:p>
            <w:pPr>
              <w:spacing w:after="0"/>
              <w:rPr>
                <w:sz w:val="16"/>
                <w:szCs w:val="16"/>
                <w:color w:val="auto"/>
              </w:rPr>
            </w:pPr>
          </w:p>
        </w:tc>
      </w:tr>
      <w:tr>
        <w:trPr>
          <w:trHeight w:val="152"/>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3"/>
                <w:szCs w:val="13"/>
                <w:color w:val="auto"/>
              </w:rPr>
            </w:pPr>
          </w:p>
        </w:tc>
        <w:tc>
          <w:tcPr>
            <w:tcW w:w="108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3"/>
                <w:szCs w:val="13"/>
                <w:color w:val="auto"/>
              </w:rPr>
            </w:pPr>
          </w:p>
        </w:tc>
        <w:tc>
          <w:tcPr>
            <w:tcW w:w="11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980" w:type="dxa"/>
            <w:vAlign w:val="bottom"/>
          </w:tcPr>
          <w:p>
            <w:pPr>
              <w:jc w:val="right"/>
              <w:ind w:right="50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0.50% convertible senior notes due 2020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w:t>
            </w: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color w:val="auto"/>
              </w:rPr>
              <w:t>Variable interest rate Term Loan A-1 maturing 2023</w:t>
            </w:r>
          </w:p>
        </w:tc>
        <w:tc>
          <w:tcPr>
            <w:tcW w:w="26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4,637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4,780</w:t>
            </w:r>
          </w:p>
        </w:tc>
      </w:tr>
      <w:tr>
        <w:trPr>
          <w:trHeight w:val="3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interest rate U.S. Term Loan B-4 maturing 2023</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2,370</w:t>
            </w:r>
          </w:p>
        </w:tc>
      </w:tr>
      <w:tr>
        <w:trPr>
          <w:trHeight w:val="253"/>
        </w:trPr>
        <w:tc>
          <w:tcPr>
            <w:tcW w:w="5200" w:type="dxa"/>
            <w:vAlign w:val="bottom"/>
          </w:tcPr>
          <w:p>
            <w:pPr>
              <w:ind w:left="20"/>
              <w:spacing w:after="0"/>
              <w:rPr>
                <w:sz w:val="20"/>
                <w:szCs w:val="20"/>
                <w:color w:val="auto"/>
              </w:rPr>
            </w:pPr>
            <w:r>
              <w:rPr>
                <w:rFonts w:ascii="Arial" w:cs="Arial" w:eastAsia="Arial" w:hAnsi="Arial"/>
                <w:sz w:val="16"/>
                <w:szCs w:val="16"/>
                <w:color w:val="auto"/>
              </w:rPr>
              <w:t>1.50% convertible notes due 2024</w:t>
            </w:r>
          </w:p>
        </w:tc>
        <w:tc>
          <w:tcPr>
            <w:tcW w:w="260" w:type="dxa"/>
            <w:vAlign w:val="bottom"/>
          </w:tcPr>
          <w:p>
            <w:pPr>
              <w:spacing w:after="0"/>
              <w:rPr>
                <w:sz w:val="22"/>
                <w:szCs w:val="22"/>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986</w:t>
            </w: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2,285</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2,263</w:t>
            </w:r>
          </w:p>
        </w:tc>
      </w:tr>
      <w:tr>
        <w:trPr>
          <w:trHeight w:val="250"/>
        </w:trPr>
        <w:tc>
          <w:tcPr>
            <w:tcW w:w="520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9,629</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9,308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10,522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10,430</w:t>
            </w: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 and Hedging Activities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April 3, 2020,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1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April 3, 2020, the amount of existing net losses related to cash flow hedges recorded in AOCI included $87 million related to the Company’s interest rate swaps that is expected to be reclassified to earnings after twelve months. In addition, as of April 3, 2020, the Company did not have any foreign exchange forward contracts with credit-risk-related contingent features.</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and nine months ended April 3, 2020 and March 29, 2019, total net realized and unrealized transaction and foreign exchange contract currency gains and losses were not material to the Company’s Condensed Consolidated Financial Statements.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April 3, 2020 and June 28, 2019,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as of April 3, 2020 and June 28,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0.50% convertible senior notes due 2020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35</w:t>
            </w: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Variable interest rate Term Loan A-1 maturing 2023</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4,645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4,834</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interest rate U.S. Term Loan B-4 maturing 2023</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2,425</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1.50% convertible notes due 2024</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1,100</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2,300</w:t>
            </w:r>
          </w:p>
        </w:tc>
      </w:tr>
      <w:tr>
        <w:trPr>
          <w:trHeight w:val="217"/>
        </w:trPr>
        <w:tc>
          <w:tcPr>
            <w:tcW w:w="82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9,774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10,694</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w:t>
            </w:r>
          </w:p>
        </w:tc>
      </w:tr>
      <w:tr>
        <w:trPr>
          <w:trHeight w:val="217"/>
        </w:trPr>
        <w:tc>
          <w:tcPr>
            <w:tcW w:w="8260" w:type="dxa"/>
            <w:vAlign w:val="bottom"/>
          </w:tcPr>
          <w:p>
            <w:pPr>
              <w:ind w:left="220"/>
              <w:spacing w:after="0"/>
              <w:rPr>
                <w:sz w:val="20"/>
                <w:szCs w:val="20"/>
                <w:color w:val="auto"/>
              </w:rPr>
            </w:pPr>
            <w:r>
              <w:rPr>
                <w:rFonts w:ascii="Arial" w:cs="Arial" w:eastAsia="Arial" w:hAnsi="Arial"/>
                <w:sz w:val="16"/>
                <w:szCs w:val="16"/>
                <w:color w:val="auto"/>
              </w:rPr>
              <w:t>Subtotal</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9,629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10,522</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Less current portion of long-term debt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w:t>
            </w:r>
          </w:p>
        </w:tc>
      </w:tr>
      <w:tr>
        <w:trPr>
          <w:trHeight w:val="247"/>
        </w:trPr>
        <w:tc>
          <w:tcPr>
            <w:tcW w:w="8260" w:type="dxa"/>
            <w:vAlign w:val="bottom"/>
          </w:tcPr>
          <w:p>
            <w:pPr>
              <w:ind w:left="460"/>
              <w:spacing w:after="0"/>
              <w:rPr>
                <w:sz w:val="20"/>
                <w:szCs w:val="20"/>
                <w:color w:val="auto"/>
              </w:rPr>
            </w:pPr>
            <w:r>
              <w:rPr>
                <w:rFonts w:ascii="Arial" w:cs="Arial" w:eastAsia="Arial" w:hAnsi="Arial"/>
                <w:sz w:val="16"/>
                <w:szCs w:val="16"/>
                <w:color w:val="auto"/>
              </w:rPr>
              <w:t>Long-term debt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9,343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10,246</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credit agreement governing the revolving credit facility and Term Loan A-1 requires the Company to comply with certain financial covenants, consisting of a leverage ratio and an interest coverage ratio. As of April 3, 2020, the Company was in compliance with these financial covenants.</w:t>
      </w:r>
    </w:p>
    <w:p>
      <w:pPr>
        <w:spacing w:after="0" w:line="15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During the nine months ended April 3, 2020, the Company made aggregate voluntary prepayments of $725 million on its U.S. Term Loan B-4, which were applied toward the remaining scheduled amortization and the remainder towards the principal due at maturity. As of April 3, 2020, there are no longer any scheduled amortization payments due under the U.S. Term Loan B-4 prior to its maturity on April 29, 2023.</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Other Post-Retirement Benefit Plans</w:t>
      </w:r>
    </w:p>
    <w:p>
      <w:pPr>
        <w:spacing w:after="0" w:line="2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end of period</w:t>
            </w:r>
          </w:p>
        </w:tc>
        <w:tc>
          <w:tcPr>
            <w:tcW w:w="100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280</w:t>
            </w: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Fair value of plan assets at end of period</w:t>
            </w:r>
          </w:p>
        </w:tc>
        <w:tc>
          <w:tcPr>
            <w:tcW w:w="1000" w:type="dxa"/>
            <w:vAlign w:val="bottom"/>
          </w:tcPr>
          <w:p>
            <w:pPr>
              <w:spacing w:after="0"/>
              <w:rPr>
                <w:sz w:val="19"/>
                <w:szCs w:val="19"/>
                <w:color w:val="auto"/>
              </w:rPr>
            </w:pPr>
          </w:p>
        </w:tc>
        <w:tc>
          <w:tcPr>
            <w:tcW w:w="440" w:type="dxa"/>
            <w:vAlign w:val="bottom"/>
          </w:tcPr>
          <w:p>
            <w:pPr>
              <w:jc w:val="right"/>
              <w:ind w:right="6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208</w:t>
            </w:r>
          </w:p>
        </w:tc>
      </w:tr>
      <w:tr>
        <w:trPr>
          <w:trHeight w:val="33"/>
        </w:trPr>
        <w:tc>
          <w:tcPr>
            <w:tcW w:w="8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Unfunded status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firstLine="324"/>
        <w:spacing w:after="0" w:line="276"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tbl>
      <w:tblPr>
        <w:tblLayout w:type="fixed"/>
        <w:tblInd w:w="0" w:type="dxa"/>
        <w:tblCellMar>
          <w:top w:w="0" w:type="dxa"/>
          <w:left w:w="0" w:type="dxa"/>
          <w:bottom w:w="0" w:type="dxa"/>
          <w:right w:w="0" w:type="dxa"/>
        </w:tblCellMar>
      </w:tblPr>
      <w:tr>
        <w:trPr>
          <w:trHeight w:val="150"/>
        </w:trPr>
        <w:tc>
          <w:tcPr>
            <w:tcW w:w="8260" w:type="dxa"/>
            <w:vAlign w:val="bottom"/>
          </w:tcPr>
          <w:p>
            <w:pPr>
              <w:spacing w:after="0"/>
              <w:rPr>
                <w:sz w:val="13"/>
                <w:szCs w:val="13"/>
                <w:color w:val="auto"/>
              </w:rPr>
            </w:pPr>
          </w:p>
        </w:tc>
        <w:tc>
          <w:tcPr>
            <w:tcW w:w="1040" w:type="dxa"/>
            <w:vAlign w:val="bottom"/>
          </w:tcPr>
          <w:p>
            <w:pPr>
              <w:jc w:val="right"/>
              <w:ind w:right="4"/>
              <w:spacing w:after="0" w:line="150"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line="150" w:lineRule="exact"/>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04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71</w:t>
            </w:r>
          </w:p>
        </w:tc>
      </w:tr>
      <w:tr>
        <w:trPr>
          <w:trHeight w:val="33"/>
        </w:trPr>
        <w:tc>
          <w:tcPr>
            <w:tcW w:w="8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amount recognized</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either the three or nine months ended April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Parties and Related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April 3, 2020 and June 28,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4"/>
                <w:szCs w:val="14"/>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551</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300" w:type="dxa"/>
            <w:vAlign w:val="bottom"/>
          </w:tcPr>
          <w:p>
            <w:pPr>
              <w:spacing w:after="0"/>
              <w:rPr>
                <w:sz w:val="19"/>
                <w:szCs w:val="19"/>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878</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743</w:t>
            </w: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300" w:type="dxa"/>
            <w:vAlign w:val="bottom"/>
          </w:tcPr>
          <w:p>
            <w:pPr>
              <w:spacing w:after="0"/>
              <w:rPr>
                <w:sz w:val="19"/>
                <w:szCs w:val="19"/>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200</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296</w:t>
            </w:r>
          </w:p>
        </w:tc>
      </w:tr>
      <w:tr>
        <w:trPr>
          <w:trHeight w:val="224"/>
        </w:trPr>
        <w:tc>
          <w:tcPr>
            <w:tcW w:w="8260" w:type="dxa"/>
            <w:vAlign w:val="bottom"/>
          </w:tcPr>
          <w:p>
            <w:pPr>
              <w:ind w:left="20"/>
              <w:spacing w:after="0"/>
              <w:rPr>
                <w:sz w:val="20"/>
                <w:szCs w:val="20"/>
                <w:color w:val="auto"/>
              </w:rPr>
            </w:pPr>
            <w:r>
              <w:rPr>
                <w:rFonts w:ascii="Arial" w:cs="Arial" w:eastAsia="Arial" w:hAnsi="Arial"/>
                <w:sz w:val="16"/>
                <w:szCs w:val="16"/>
                <w:color w:val="auto"/>
              </w:rPr>
              <w:t>Investment in Flash Forward</w:t>
            </w:r>
          </w:p>
        </w:tc>
        <w:tc>
          <w:tcPr>
            <w:tcW w:w="300" w:type="dxa"/>
            <w:vAlign w:val="bottom"/>
          </w:tcPr>
          <w:p>
            <w:pPr>
              <w:spacing w:after="0"/>
              <w:rPr>
                <w:sz w:val="19"/>
                <w:szCs w:val="19"/>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123</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notes receivable and investments in Flash Ventures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2,157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2,791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During the three and nine months ended April 3, 2020 and during the three and nine months ended March 29, 2019, the Company made net payments to Flash Ventures of $842 million and $2.36 billion, and $1.04 billion and $2.90 billion, respectively, for purchased flash-based memory wafers and net loans and investments.</w:t>
      </w:r>
    </w:p>
    <w:p>
      <w:pPr>
        <w:spacing w:after="0" w:line="21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As of April 3, 2020 and June 28, 2019, the Company had Accounts payable balances due to Flash Ventures of $397 million and $331 million, respectively.</w:t>
      </w:r>
    </w:p>
    <w:p>
      <w:pPr>
        <w:spacing w:after="0" w:line="19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April 3, 2020,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50"/>
        </w:trPr>
        <w:tc>
          <w:tcPr>
            <w:tcW w:w="9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2"/>
              <w:spacing w:after="0" w:line="150" w:lineRule="exact"/>
              <w:rPr>
                <w:sz w:val="20"/>
                <w:szCs w:val="20"/>
                <w:color w:val="auto"/>
              </w:rPr>
            </w:pPr>
            <w:r>
              <w:rPr>
                <w:rFonts w:ascii="Arial" w:cs="Arial" w:eastAsia="Arial" w:hAnsi="Arial"/>
                <w:sz w:val="14"/>
                <w:szCs w:val="14"/>
                <w:b w:val="1"/>
                <w:bCs w:val="1"/>
                <w:color w:val="auto"/>
              </w:rPr>
              <w:t>April 3,</w:t>
            </w:r>
          </w:p>
        </w:tc>
      </w:tr>
      <w:tr>
        <w:trPr>
          <w:trHeight w:val="192"/>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9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i w:val="1"/>
                <w:iCs w:val="1"/>
                <w:color w:val="auto"/>
                <w:w w:val="98"/>
              </w:rPr>
              <w:t>(in millions)</w:t>
            </w: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1,535</w:t>
            </w:r>
          </w:p>
        </w:tc>
      </w:tr>
      <w:tr>
        <w:trPr>
          <w:trHeight w:val="223"/>
        </w:trPr>
        <w:tc>
          <w:tcPr>
            <w:tcW w:w="980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24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622</w:t>
            </w:r>
          </w:p>
        </w:tc>
      </w:tr>
      <w:tr>
        <w:trPr>
          <w:trHeight w:val="33"/>
        </w:trPr>
        <w:tc>
          <w:tcPr>
            <w:tcW w:w="9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1,827</w:t>
            </w:r>
          </w:p>
        </w:tc>
      </w:tr>
      <w:tr>
        <w:trPr>
          <w:trHeight w:val="223"/>
        </w:trPr>
        <w:tc>
          <w:tcPr>
            <w:tcW w:w="9800" w:type="dxa"/>
            <w:vAlign w:val="bottom"/>
          </w:tcPr>
          <w:p>
            <w:pPr>
              <w:ind w:left="20"/>
              <w:spacing w:after="0"/>
              <w:rPr>
                <w:sz w:val="20"/>
                <w:szCs w:val="20"/>
                <w:color w:val="auto"/>
              </w:rPr>
            </w:pPr>
            <w:r>
              <w:rPr>
                <w:rFonts w:ascii="Arial" w:cs="Arial" w:eastAsia="Arial" w:hAnsi="Arial"/>
                <w:sz w:val="16"/>
                <w:szCs w:val="16"/>
                <w:color w:val="auto"/>
              </w:rPr>
              <w:t>Inventory and prepayments</w:t>
            </w:r>
          </w:p>
        </w:tc>
        <w:tc>
          <w:tcPr>
            <w:tcW w:w="24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468</w:t>
            </w:r>
          </w:p>
        </w:tc>
      </w:tr>
      <w:tr>
        <w:trPr>
          <w:trHeight w:val="33"/>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9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Maximum estimable loss exposure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4,452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0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and a reduction in the Company’s flash wafer availability. As a result of this incident, the Company incurred charges of $68 million in its fiscal 2020, all incurred in the three months ended October 4, 2019, which were recorded in Cost of revenue and primarily consisted of unabsorbed manufacturing overhead costs. The Company continues to pursue recovery of its losses associated with this event; however, the total amount of recovery cannot be estimated at this time.</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May 2019, the Company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third quarter of fiscal year 2020, although meaningful output from K1 is not expected to begin until the end of calendar 2020. The Company’s share of the initial commitment for K1 will result in equipment investments, relocation and other start-up costs which are expected to be incurred primarily through the end of fiscal year 2020. The Company also agreed to prepay an aggregate of approximately $360 million over a 3-year period beginning in the first half of fiscal year 2020 toward K1 building depreciation, to be credited against future wafer charges. As of April 3, 2020, remaining committed prepayments totaled $205 million.</w:t>
      </w:r>
    </w:p>
    <w:p>
      <w:pPr>
        <w:spacing w:after="0" w:line="20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97"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April 3,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color w:val="auto"/>
              </w:rPr>
              <w:t>Lease Amounts</w:t>
            </w:r>
          </w:p>
        </w:tc>
      </w:tr>
      <w:tr>
        <w:trPr>
          <w:trHeight w:val="156"/>
        </w:trPr>
        <w:tc>
          <w:tcPr>
            <w:tcW w:w="8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66"/>
              <w:spacing w:after="0" w:line="156" w:lineRule="exact"/>
              <w:rPr>
                <w:sz w:val="20"/>
                <w:szCs w:val="20"/>
                <w:color w:val="auto"/>
              </w:rPr>
            </w:pPr>
            <w:r>
              <w:rPr>
                <w:rFonts w:ascii="Arial" w:cs="Arial" w:eastAsia="Arial" w:hAnsi="Arial"/>
                <w:sz w:val="14"/>
                <w:szCs w:val="14"/>
                <w:i w:val="1"/>
                <w:iCs w:val="1"/>
                <w:color w:val="auto"/>
                <w:w w:val="90"/>
              </w:rPr>
              <w:t>(Japanese yen, in</w:t>
            </w:r>
          </w:p>
        </w:tc>
        <w:tc>
          <w:tcPr>
            <w:tcW w:w="320" w:type="dxa"/>
            <w:vAlign w:val="bottom"/>
          </w:tcPr>
          <w:p>
            <w:pPr>
              <w:spacing w:after="0"/>
              <w:rPr>
                <w:sz w:val="13"/>
                <w:szCs w:val="13"/>
                <w:color w:val="auto"/>
              </w:rPr>
            </w:pPr>
          </w:p>
        </w:tc>
        <w:tc>
          <w:tcPr>
            <w:tcW w:w="1240" w:type="dxa"/>
            <w:vAlign w:val="bottom"/>
          </w:tcPr>
          <w:p>
            <w:pPr>
              <w:jc w:val="center"/>
              <w:ind w:right="105"/>
              <w:spacing w:after="0" w:line="156" w:lineRule="exact"/>
              <w:rPr>
                <w:sz w:val="20"/>
                <w:szCs w:val="20"/>
                <w:color w:val="auto"/>
              </w:rPr>
            </w:pPr>
            <w:r>
              <w:rPr>
                <w:rFonts w:ascii="Arial" w:cs="Arial" w:eastAsia="Arial" w:hAnsi="Arial"/>
                <w:sz w:val="14"/>
                <w:szCs w:val="14"/>
                <w:i w:val="1"/>
                <w:iCs w:val="1"/>
                <w:color w:val="auto"/>
                <w:w w:val="96"/>
              </w:rPr>
              <w:t>(U.S. dollar, in</w:t>
            </w:r>
          </w:p>
        </w:tc>
      </w:tr>
      <w:tr>
        <w:trPr>
          <w:trHeight w:val="188"/>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66"/>
              <w:spacing w:after="0"/>
              <w:rPr>
                <w:sz w:val="20"/>
                <w:szCs w:val="20"/>
                <w:color w:val="auto"/>
              </w:rPr>
            </w:pPr>
            <w:r>
              <w:rPr>
                <w:rFonts w:ascii="Arial" w:cs="Arial" w:eastAsia="Arial" w:hAnsi="Arial"/>
                <w:sz w:val="14"/>
                <w:szCs w:val="14"/>
                <w:i w:val="1"/>
                <w:iCs w:val="1"/>
                <w:color w:val="auto"/>
              </w:rPr>
              <w:t>billions)</w:t>
            </w:r>
          </w:p>
        </w:tc>
        <w:tc>
          <w:tcPr>
            <w:tcW w:w="32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rPr>
              <w:t>millions)</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198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1,827</w:t>
            </w:r>
          </w:p>
        </w:tc>
      </w:tr>
      <w:tr>
        <w:trPr>
          <w:trHeight w:val="33"/>
        </w:trPr>
        <w:tc>
          <w:tcPr>
            <w:tcW w:w="8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April 3, 2020 in U.S. dollars, based upon the Japanese yen to U.S. dollar exchange rate as of April 3, 2020: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Purchase Option</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8"/>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Payment of Principal</w:t>
            </w: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3"/>
              </w:rPr>
              <w:t>Exercise Price at Final</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Annual Installments</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Lease Terms</w:t>
            </w:r>
          </w:p>
        </w:tc>
        <w:tc>
          <w:tcPr>
            <w:tcW w:w="140" w:type="dxa"/>
            <w:vAlign w:val="bottom"/>
          </w:tcPr>
          <w:p>
            <w:pPr>
              <w:spacing w:after="0"/>
              <w:rPr>
                <w:sz w:val="16"/>
                <w:szCs w:val="16"/>
                <w:color w:val="auto"/>
              </w:rPr>
            </w:pPr>
          </w:p>
        </w:tc>
        <w:tc>
          <w:tcPr>
            <w:tcW w:w="1300" w:type="dxa"/>
            <w:vAlign w:val="bottom"/>
          </w:tcPr>
          <w:p>
            <w:pPr>
              <w:jc w:val="right"/>
              <w:ind w:right="80"/>
              <w:spacing w:after="0"/>
              <w:rPr>
                <w:sz w:val="20"/>
                <w:szCs w:val="20"/>
                <w:color w:val="auto"/>
              </w:rPr>
            </w:pPr>
            <w:r>
              <w:rPr>
                <w:rFonts w:ascii="Arial" w:cs="Arial" w:eastAsia="Arial" w:hAnsi="Arial"/>
                <w:sz w:val="14"/>
                <w:szCs w:val="14"/>
                <w:color w:val="auto"/>
                <w:w w:val="94"/>
              </w:rPr>
              <w:t>Guarantee Amount</w:t>
            </w:r>
          </w:p>
        </w:tc>
      </w:tr>
      <w:tr>
        <w:trPr>
          <w:trHeight w:val="196"/>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Remaining three months of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w:t>
            </w: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558</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419</w:t>
            </w:r>
          </w:p>
        </w:tc>
      </w:tr>
      <w:tr>
        <w:trPr>
          <w:trHeight w:val="223"/>
        </w:trPr>
        <w:tc>
          <w:tcPr>
            <w:tcW w:w="662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326</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r>
      <w:tr>
        <w:trPr>
          <w:trHeight w:val="224"/>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9"/>
                <w:szCs w:val="19"/>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133</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guarantee 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1,827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April 3, 2020, no amounts have been accrued in the Condensed Consolidated Financial Statements with respect to these indemnification agreements.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has a joint venture with Unisplendour Corporation Limited and Unissoft (Wuxi) Group Co. Ltd. (“Unis”), referred to as the “Unis Venture”, to market and sell the Company’s products in China.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nine months ended April 3, 2020 and March 29, 2019, the Company recognized approximately 1% of its consolidated revenue on products distributed by the Unis Venture. The outstanding accounts receivable due from and investment in the Unis Venture were not material to the Condensed Consolidated Financial Statements as of April 3, 2020 or June 28, 2019.</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 and Other Commitments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April 3,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7"/>
              </w:rPr>
              <w:t>Lease Amounts</w:t>
            </w:r>
          </w:p>
        </w:tc>
        <w:tc>
          <w:tcPr>
            <w:tcW w:w="180" w:type="dxa"/>
            <w:vAlign w:val="bottom"/>
            <w:tcBorders>
              <w:bottom w:val="single" w:sz="8" w:color="auto"/>
            </w:tcBorders>
          </w:tcPr>
          <w:p>
            <w:pPr>
              <w:spacing w:after="0"/>
              <w:rPr>
                <w:sz w:val="16"/>
                <w:szCs w:val="16"/>
                <w:color w:val="auto"/>
              </w:rPr>
            </w:pPr>
          </w:p>
        </w:tc>
      </w:tr>
      <w:tr>
        <w:trPr>
          <w:trHeight w:val="237"/>
        </w:trPr>
        <w:tc>
          <w:tcPr>
            <w:tcW w:w="9720" w:type="dxa"/>
            <w:vAlign w:val="bottom"/>
          </w:tcPr>
          <w:p>
            <w:pPr>
              <w:ind w:left="20"/>
              <w:spacing w:after="0"/>
              <w:rPr>
                <w:sz w:val="20"/>
                <w:szCs w:val="20"/>
                <w:color w:val="auto"/>
              </w:rPr>
            </w:pPr>
            <w:r>
              <w:rPr>
                <w:rFonts w:ascii="Arial" w:cs="Arial" w:eastAsia="Arial" w:hAnsi="Arial"/>
                <w:sz w:val="16"/>
                <w:szCs w:val="16"/>
                <w:color w:val="auto"/>
              </w:rPr>
              <w:t>Minimum lease payments by fiscal year:</w:t>
            </w:r>
          </w:p>
        </w:tc>
        <w:tc>
          <w:tcPr>
            <w:tcW w:w="18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0"/>
                <w:szCs w:val="20"/>
                <w:color w:val="auto"/>
              </w:rPr>
            </w:pPr>
          </w:p>
        </w:tc>
      </w:tr>
      <w:tr>
        <w:trPr>
          <w:trHeight w:val="242"/>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Remaining three months of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9"/>
                <w:szCs w:val="19"/>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9"/>
                <w:szCs w:val="19"/>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9720" w:type="dxa"/>
            <w:vAlign w:val="bottom"/>
          </w:tcPr>
          <w:p>
            <w:pPr>
              <w:ind w:left="1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9"/>
                <w:szCs w:val="19"/>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future minimum lease payments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Less: Imputed Interest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9"/>
                <w:szCs w:val="19"/>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Present value of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9720" w:type="dxa"/>
            <w:vAlign w:val="bottom"/>
          </w:tcPr>
          <w:p>
            <w:pPr>
              <w:ind w:left="120"/>
              <w:spacing w:after="0"/>
              <w:rPr>
                <w:sz w:val="20"/>
                <w:szCs w:val="20"/>
                <w:color w:val="auto"/>
              </w:rPr>
            </w:pPr>
            <w:r>
              <w:rPr>
                <w:rFonts w:ascii="Arial" w:cs="Arial" w:eastAsia="Arial" w:hAnsi="Arial"/>
                <w:sz w:val="16"/>
                <w:szCs w:val="16"/>
                <w:color w:val="auto"/>
              </w:rPr>
              <w:t>Less: Current portion (included in Accrued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9"/>
                <w:szCs w:val="19"/>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2"/>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Borders>
              <w:bottom w:val="single" w:sz="8" w:color="auto"/>
            </w:tcBorders>
            <w:shd w:val="clear" w:color="auto" w:fill="CCEEFF"/>
          </w:tcPr>
          <w:p>
            <w:pPr>
              <w:spacing w:after="0"/>
              <w:rPr>
                <w:sz w:val="23"/>
                <w:szCs w:val="23"/>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9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7"/>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56"/>
        </w:trPr>
        <w:tc>
          <w:tcPr>
            <w:tcW w:w="9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spacing w:after="0"/>
              <w:rPr>
                <w:sz w:val="22"/>
                <w:szCs w:val="22"/>
                <w:color w:val="auto"/>
              </w:rPr>
            </w:pPr>
          </w:p>
        </w:tc>
      </w:tr>
      <w:tr>
        <w:trPr>
          <w:trHeight w:val="237"/>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r>
      <w:tr>
        <w:trPr>
          <w:trHeight w:val="223"/>
        </w:trPr>
        <w:tc>
          <w:tcPr>
            <w:tcW w:w="972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370"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 for the three and nine months ended April 3,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8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60" w:type="dxa"/>
            <w:vAlign w:val="bottom"/>
            <w:gridSpan w:val="3"/>
          </w:tcPr>
          <w:p>
            <w:pPr>
              <w:jc w:val="right"/>
              <w:ind w:right="1061"/>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620" w:type="dxa"/>
            <w:vAlign w:val="bottom"/>
            <w:tcBorders>
              <w:bottom w:val="single" w:sz="8" w:color="CCEEFF"/>
            </w:tcBorders>
            <w:shd w:val="clear" w:color="auto" w:fill="CCEEFF"/>
          </w:tcPr>
          <w:p>
            <w:pPr>
              <w:jc w:val="right"/>
              <w:ind w:right="444"/>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w:t>
            </w:r>
          </w:p>
        </w:tc>
      </w:tr>
      <w:tr>
        <w:trPr>
          <w:trHeight w:val="223"/>
        </w:trPr>
        <w:tc>
          <w:tcPr>
            <w:tcW w:w="816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620" w:type="dxa"/>
            <w:vAlign w:val="bottom"/>
          </w:tcPr>
          <w:p>
            <w:pPr>
              <w:spacing w:after="0"/>
              <w:rPr>
                <w:sz w:val="19"/>
                <w:szCs w:val="19"/>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41</w:t>
            </w:r>
          </w:p>
        </w:tc>
      </w:tr>
      <w:tr>
        <w:trPr>
          <w:trHeight w:val="33"/>
        </w:trPr>
        <w:tc>
          <w:tcPr>
            <w:tcW w:w="8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w:t>
            </w:r>
          </w:p>
        </w:tc>
      </w:tr>
      <w:tr>
        <w:trPr>
          <w:trHeight w:val="33"/>
        </w:trPr>
        <w:tc>
          <w:tcPr>
            <w:tcW w:w="8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April 3, 2020, the Company had the following minimum long-term commitments:</w:t>
      </w:r>
    </w:p>
    <w:tbl>
      <w:tblPr>
        <w:tblLayout w:type="fixed"/>
        <w:tblInd w:w="40" w:type="dxa"/>
        <w:tblCellMar>
          <w:top w:w="0" w:type="dxa"/>
          <w:left w:w="0" w:type="dxa"/>
          <w:bottom w:w="0" w:type="dxa"/>
          <w:right w:w="0" w:type="dxa"/>
        </w:tblCellMar>
      </w:tblPr>
      <w:tr>
        <w:trPr>
          <w:trHeight w:val="151"/>
        </w:trPr>
        <w:tc>
          <w:tcPr>
            <w:tcW w:w="9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42"/>
              <w:spacing w:after="0" w:line="151" w:lineRule="exact"/>
              <w:rPr>
                <w:sz w:val="20"/>
                <w:szCs w:val="20"/>
                <w:color w:val="auto"/>
              </w:rPr>
            </w:pPr>
            <w:r>
              <w:rPr>
                <w:rFonts w:ascii="Arial" w:cs="Arial" w:eastAsia="Arial" w:hAnsi="Arial"/>
                <w:sz w:val="14"/>
                <w:szCs w:val="14"/>
                <w:b w:val="1"/>
                <w:bCs w:val="1"/>
                <w:color w:val="auto"/>
                <w:w w:val="95"/>
              </w:rPr>
              <w:t>Long-term</w:t>
            </w:r>
          </w:p>
        </w:tc>
      </w:tr>
      <w:tr>
        <w:trPr>
          <w:trHeight w:val="192"/>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commitments</w:t>
            </w:r>
          </w:p>
        </w:tc>
      </w:tr>
      <w:tr>
        <w:trPr>
          <w:trHeight w:val="196"/>
        </w:trPr>
        <w:tc>
          <w:tcPr>
            <w:tcW w:w="9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3"/>
        </w:trPr>
        <w:tc>
          <w:tcPr>
            <w:tcW w:w="9740" w:type="dxa"/>
            <w:vAlign w:val="bottom"/>
          </w:tcPr>
          <w:p>
            <w:pPr>
              <w:ind w:left="120"/>
              <w:spacing w:after="0"/>
              <w:rPr>
                <w:sz w:val="20"/>
                <w:szCs w:val="20"/>
                <w:color w:val="auto"/>
              </w:rPr>
            </w:pPr>
            <w:r>
              <w:rPr>
                <w:rFonts w:ascii="Arial" w:cs="Arial" w:eastAsia="Arial" w:hAnsi="Arial"/>
                <w:sz w:val="16"/>
                <w:szCs w:val="16"/>
                <w:color w:val="auto"/>
              </w:rPr>
              <w:t>Remaining three months of 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61</w:t>
            </w:r>
          </w:p>
        </w:tc>
      </w:tr>
      <w:tr>
        <w:trPr>
          <w:trHeight w:val="33"/>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320</w:t>
            </w:r>
          </w:p>
        </w:tc>
      </w:tr>
      <w:tr>
        <w:trPr>
          <w:trHeight w:val="224"/>
        </w:trPr>
        <w:tc>
          <w:tcPr>
            <w:tcW w:w="9740" w:type="dxa"/>
            <w:vAlign w:val="bottom"/>
          </w:tcPr>
          <w:p>
            <w:pPr>
              <w:ind w:left="1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510</w:t>
            </w:r>
          </w:p>
        </w:tc>
      </w:tr>
      <w:tr>
        <w:trPr>
          <w:trHeight w:val="33"/>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563</w:t>
            </w:r>
          </w:p>
        </w:tc>
      </w:tr>
      <w:tr>
        <w:trPr>
          <w:trHeight w:val="223"/>
        </w:trPr>
        <w:tc>
          <w:tcPr>
            <w:tcW w:w="9740" w:type="dxa"/>
            <w:vAlign w:val="bottom"/>
          </w:tcPr>
          <w:p>
            <w:pPr>
              <w:ind w:left="1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9"/>
                <w:szCs w:val="19"/>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260</w:t>
            </w:r>
          </w:p>
        </w:tc>
      </w:tr>
      <w:tr>
        <w:trPr>
          <w:trHeight w:val="33"/>
        </w:trPr>
        <w:tc>
          <w:tcPr>
            <w:tcW w:w="9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9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338</w:t>
            </w:r>
          </w:p>
        </w:tc>
      </w:tr>
      <w:tr>
        <w:trPr>
          <w:trHeight w:val="247"/>
        </w:trPr>
        <w:tc>
          <w:tcPr>
            <w:tcW w:w="974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2,052</w:t>
            </w:r>
          </w:p>
        </w:tc>
      </w:tr>
      <w:tr>
        <w:trPr>
          <w:trHeight w:val="23"/>
        </w:trPr>
        <w:tc>
          <w:tcPr>
            <w:tcW w:w="9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right="340" w:firstLine="324"/>
        <w:spacing w:after="0" w:line="276"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right"/>
              <w:ind w:right="26"/>
              <w:spacing w:after="0" w:line="153"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April 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March 29,</w:t>
            </w:r>
          </w:p>
        </w:tc>
        <w:tc>
          <w:tcPr>
            <w:tcW w:w="4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040" w:type="dxa"/>
            <w:vAlign w:val="bottom"/>
            <w:tcBorders>
              <w:bottom w:val="single" w:sz="8" w:color="CCEEFF"/>
            </w:tcBorders>
            <w:gridSpan w:val="2"/>
            <w:shd w:val="clear" w:color="auto" w:fill="CCEEFF"/>
          </w:tcPr>
          <w:p>
            <w:pPr>
              <w:jc w:val="right"/>
              <w:ind w:right="866"/>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1"/>
                <w:szCs w:val="2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Restricted and performance stock units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208</w:t>
            </w:r>
          </w:p>
        </w:tc>
        <w:tc>
          <w:tcPr>
            <w:tcW w:w="4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2"/>
                <w:szCs w:val="22"/>
                <w:color w:val="auto"/>
              </w:rPr>
            </w:pPr>
          </w:p>
        </w:tc>
      </w:tr>
      <w:tr>
        <w:trPr>
          <w:trHeight w:val="247"/>
        </w:trPr>
        <w:tc>
          <w:tcPr>
            <w:tcW w:w="5160" w:type="dxa"/>
            <w:vAlign w:val="bottom"/>
          </w:tcPr>
          <w:p>
            <w:pPr>
              <w:ind w:left="12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gridSpan w:val="2"/>
          </w:tcPr>
          <w:p>
            <w:pPr>
              <w:jc w:val="right"/>
              <w:ind w:right="86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9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top w:val="single" w:sz="8" w:color="auto"/>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242</w:t>
            </w:r>
          </w:p>
        </w:tc>
        <w:tc>
          <w:tcPr>
            <w:tcW w:w="40" w:type="dxa"/>
            <w:vAlign w:val="bottom"/>
          </w:tcPr>
          <w:p>
            <w:pPr>
              <w:spacing w:after="0"/>
              <w:rPr>
                <w:sz w:val="21"/>
                <w:szCs w:val="21"/>
                <w:color w:val="auto"/>
              </w:rPr>
            </w:pPr>
          </w:p>
        </w:tc>
      </w:tr>
      <w:tr>
        <w:trPr>
          <w:trHeight w:val="24"/>
        </w:trPr>
        <w:tc>
          <w:tcPr>
            <w:tcW w:w="5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541"/>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Borders>
              <w:bottom w:val="single" w:sz="8" w:color="auto"/>
            </w:tcBorders>
            <w:gridSpan w:val="6"/>
          </w:tcPr>
          <w:p>
            <w:pPr>
              <w:jc w:val="right"/>
              <w:ind w:right="36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742"/>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Borders>
              <w:bottom w:val="single" w:sz="8" w:color="auto"/>
            </w:tcBorders>
          </w:tcPr>
          <w:p>
            <w:pPr>
              <w:spacing w:after="0"/>
              <w:rPr>
                <w:sz w:val="24"/>
                <w:szCs w:val="24"/>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April 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282"/>
              <w:spacing w:after="0" w:line="153" w:lineRule="exact"/>
              <w:rPr>
                <w:sz w:val="20"/>
                <w:szCs w:val="20"/>
                <w:color w:val="auto"/>
              </w:rPr>
            </w:pPr>
            <w:r>
              <w:rPr>
                <w:rFonts w:ascii="Arial" w:cs="Arial" w:eastAsia="Arial" w:hAnsi="Arial"/>
                <w:sz w:val="14"/>
                <w:szCs w:val="14"/>
                <w:b w:val="1"/>
                <w:bCs w:val="1"/>
                <w:color w:val="auto"/>
              </w:rPr>
              <w:t>March 29,</w:t>
            </w:r>
          </w:p>
        </w:tc>
        <w:tc>
          <w:tcPr>
            <w:tcW w:w="4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104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5"/>
          </w:tcPr>
          <w:p>
            <w:pPr>
              <w:ind w:left="8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Borders>
              <w:bottom w:val="single" w:sz="8" w:color="CCEEFF"/>
            </w:tcBorders>
            <w:gridSpan w:val="2"/>
            <w:shd w:val="clear" w:color="auto" w:fill="CCEEFF"/>
          </w:tcPr>
          <w:p>
            <w:pPr>
              <w:jc w:val="right"/>
              <w:ind w:right="826"/>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17"/>
        </w:trPr>
        <w:tc>
          <w:tcPr>
            <w:tcW w:w="5160" w:type="dxa"/>
            <w:vAlign w:val="bottom"/>
          </w:tcPr>
          <w:p>
            <w:pPr>
              <w:ind w:left="120"/>
              <w:spacing w:after="0"/>
              <w:rPr>
                <w:sz w:val="20"/>
                <w:szCs w:val="20"/>
                <w:color w:val="auto"/>
              </w:rPr>
            </w:pPr>
            <w:r>
              <w:rPr>
                <w:rFonts w:ascii="Arial" w:cs="Arial" w:eastAsia="Arial" w:hAnsi="Arial"/>
                <w:sz w:val="16"/>
                <w:szCs w:val="16"/>
                <w:color w:val="auto"/>
              </w:rPr>
              <w:t>Subtotal</w:t>
            </w:r>
          </w:p>
        </w:tc>
        <w:tc>
          <w:tcPr>
            <w:tcW w:w="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78</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84</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232</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242</w:t>
            </w:r>
          </w:p>
        </w:tc>
        <w:tc>
          <w:tcPr>
            <w:tcW w:w="40" w:type="dxa"/>
            <w:vAlign w:val="bottom"/>
            <w:tcBorders>
              <w:top w:val="single" w:sz="8" w:color="auto"/>
            </w:tcBorders>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47"/>
        </w:trPr>
        <w:tc>
          <w:tcPr>
            <w:tcW w:w="5160" w:type="dxa"/>
            <w:vAlign w:val="bottom"/>
          </w:tcPr>
          <w:p>
            <w:pPr>
              <w:ind w:left="22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69</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70</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200</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203</w:t>
            </w:r>
          </w:p>
        </w:tc>
        <w:tc>
          <w:tcPr>
            <w:tcW w:w="40" w:type="dxa"/>
            <w:vAlign w:val="bottom"/>
            <w:tcBorders>
              <w:top w:val="single" w:sz="8" w:color="auto"/>
              <w:bottom w:val="single" w:sz="8" w:color="auto"/>
            </w:tcBorders>
          </w:tcPr>
          <w:p>
            <w:pPr>
              <w:spacing w:after="0"/>
              <w:rPr>
                <w:sz w:val="21"/>
                <w:szCs w:val="21"/>
                <w:color w:val="auto"/>
              </w:rPr>
            </w:pPr>
          </w:p>
        </w:tc>
      </w:tr>
      <w:tr>
        <w:trPr>
          <w:trHeight w:val="23"/>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Windfall tax benefits related to the vesting and exercise of stock-based awards, which are recognized as a component of the Company’s Income tax expense, were immaterial for the periods presented.</w:t>
      </w:r>
    </w:p>
    <w:p>
      <w:pPr>
        <w:spacing w:after="0" w:line="19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units (“RSUs”), performance-based stock units (“PSUs”), and rights to purchase shares of common stock under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April 3,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28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Period</w:t>
            </w:r>
          </w:p>
        </w:tc>
      </w:tr>
      <w:tr>
        <w:trPr>
          <w:trHeight w:val="196"/>
        </w:trPr>
        <w:tc>
          <w:tcPr>
            <w:tcW w:w="8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6"/>
              </w:rPr>
              <w:t>(years)</w:t>
            </w: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5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0.3</w:t>
            </w:r>
          </w:p>
        </w:tc>
      </w:tr>
      <w:tr>
        <w:trPr>
          <w:trHeight w:val="257"/>
        </w:trPr>
        <w:tc>
          <w:tcPr>
            <w:tcW w:w="8280" w:type="dxa"/>
            <w:vAlign w:val="bottom"/>
          </w:tcPr>
          <w:p>
            <w:pPr>
              <w:ind w:left="2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610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2.6</w:t>
            </w:r>
          </w:p>
        </w:tc>
      </w:tr>
      <w:tr>
        <w:trPr>
          <w:trHeight w:val="25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41</w:t>
            </w:r>
          </w:p>
        </w:tc>
        <w:tc>
          <w:tcPr>
            <w:tcW w:w="15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1.2</w:t>
            </w:r>
          </w:p>
        </w:tc>
      </w:tr>
      <w:tr>
        <w:trPr>
          <w:trHeight w:val="247"/>
        </w:trPr>
        <w:tc>
          <w:tcPr>
            <w:tcW w:w="8280" w:type="dxa"/>
            <w:vAlign w:val="bottom"/>
          </w:tcPr>
          <w:p>
            <w:pPr>
              <w:ind w:left="120"/>
              <w:spacing w:after="0"/>
              <w:rPr>
                <w:sz w:val="20"/>
                <w:szCs w:val="20"/>
                <w:color w:val="auto"/>
              </w:rPr>
            </w:pPr>
            <w:r>
              <w:rPr>
                <w:rFonts w:ascii="Arial" w:cs="Arial" w:eastAsia="Arial" w:hAnsi="Arial"/>
                <w:sz w:val="16"/>
                <w:szCs w:val="16"/>
                <w:color w:val="auto"/>
              </w:rPr>
              <w:t>Total unamortized compensation cost</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bl>
    <w:p>
      <w:pPr>
        <w:spacing w:after="0" w:line="8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Weighted average service period assumes the performance metrics are met for the PSUs.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2"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7"/>
                <w:szCs w:val="17"/>
                <w:color w:val="auto"/>
              </w:rPr>
            </w:pPr>
          </w:p>
        </w:tc>
        <w:tc>
          <w:tcPr>
            <w:tcW w:w="1320" w:type="dxa"/>
            <w:vAlign w:val="bottom"/>
          </w:tcPr>
          <w:p>
            <w:pPr>
              <w:jc w:val="center"/>
              <w:ind w:right="24"/>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June 28, 2019</w:t>
            </w:r>
          </w:p>
        </w:tc>
        <w:tc>
          <w:tcPr>
            <w:tcW w:w="1420" w:type="dxa"/>
            <w:vAlign w:val="bottom"/>
            <w:tcBorders>
              <w:bottom w:val="single" w:sz="8" w:color="CCEEFF"/>
            </w:tcBorders>
            <w:shd w:val="clear" w:color="auto" w:fill="CCEEFF"/>
          </w:tcPr>
          <w:p>
            <w:pPr>
              <w:jc w:val="center"/>
              <w:ind w:left="822"/>
              <w:spacing w:after="0"/>
              <w:rPr>
                <w:sz w:val="20"/>
                <w:szCs w:val="20"/>
                <w:color w:val="auto"/>
              </w:rPr>
            </w:pPr>
            <w:r>
              <w:rPr>
                <w:rFonts w:ascii="Arial" w:cs="Arial" w:eastAsia="Arial" w:hAnsi="Arial"/>
                <w:sz w:val="16"/>
                <w:szCs w:val="16"/>
                <w:color w:val="auto"/>
                <w:w w:val="89"/>
              </w:rPr>
              <w:t>3.9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tcPr>
          <w:p>
            <w:pPr>
              <w:jc w:val="center"/>
              <w:ind w:left="802"/>
              <w:spacing w:after="0"/>
              <w:rPr>
                <w:sz w:val="20"/>
                <w:szCs w:val="20"/>
                <w:color w:val="auto"/>
              </w:rPr>
            </w:pPr>
            <w:r>
              <w:rPr>
                <w:rFonts w:ascii="Arial" w:cs="Arial" w:eastAsia="Arial" w:hAnsi="Arial"/>
                <w:sz w:val="16"/>
                <w:szCs w:val="16"/>
                <w:color w:val="auto"/>
                <w:w w:val="91"/>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CCEEFF"/>
            </w:tcBorders>
            <w:shd w:val="clear" w:color="auto" w:fill="CCEEFF"/>
          </w:tcPr>
          <w:p>
            <w:pPr>
              <w:jc w:val="center"/>
              <w:ind w:left="802"/>
              <w:spacing w:after="0"/>
              <w:rPr>
                <w:sz w:val="20"/>
                <w:szCs w:val="20"/>
                <w:color w:val="auto"/>
              </w:rPr>
            </w:pPr>
            <w:r>
              <w:rPr>
                <w:rFonts w:ascii="Arial" w:cs="Arial" w:eastAsia="Arial" w:hAnsi="Arial"/>
                <w:sz w:val="16"/>
                <w:szCs w:val="16"/>
                <w:color w:val="auto"/>
                <w:w w:val="91"/>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92.67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220" w:type="dxa"/>
            <w:vAlign w:val="bottom"/>
          </w:tcPr>
          <w:p>
            <w:pPr>
              <w:ind w:left="20"/>
              <w:spacing w:after="0"/>
              <w:rPr>
                <w:sz w:val="20"/>
                <w:szCs w:val="20"/>
                <w:color w:val="auto"/>
              </w:rPr>
            </w:pPr>
            <w:r>
              <w:rPr>
                <w:rFonts w:ascii="Arial" w:cs="Arial" w:eastAsia="Arial" w:hAnsi="Arial"/>
                <w:sz w:val="16"/>
                <w:szCs w:val="16"/>
                <w:color w:val="auto"/>
              </w:rPr>
              <w:t>Options outstanding at April 3, 2020</w:t>
            </w:r>
          </w:p>
        </w:tc>
        <w:tc>
          <w:tcPr>
            <w:tcW w:w="1420" w:type="dxa"/>
            <w:vAlign w:val="bottom"/>
            <w:tcBorders>
              <w:top w:val="single" w:sz="8" w:color="auto"/>
              <w:bottom w:val="single" w:sz="8" w:color="auto"/>
            </w:tcBorders>
          </w:tcPr>
          <w:p>
            <w:pPr>
              <w:jc w:val="center"/>
              <w:ind w:left="822"/>
              <w:spacing w:after="0"/>
              <w:rPr>
                <w:sz w:val="20"/>
                <w:szCs w:val="20"/>
                <w:color w:val="auto"/>
              </w:rPr>
            </w:pPr>
            <w:r>
              <w:rPr>
                <w:rFonts w:ascii="Arial" w:cs="Arial" w:eastAsia="Arial" w:hAnsi="Arial"/>
                <w:sz w:val="16"/>
                <w:szCs w:val="16"/>
                <w:color w:val="auto"/>
                <w:w w:val="89"/>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68.97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at April 3, 2020</w:t>
            </w:r>
          </w:p>
        </w:tc>
        <w:tc>
          <w:tcPr>
            <w:tcW w:w="142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89"/>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70.89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32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2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26"/>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June 28, 2019</w:t>
            </w:r>
          </w:p>
        </w:tc>
        <w:tc>
          <w:tcPr>
            <w:tcW w:w="14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11.6</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6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April 3, 2020</w:t>
            </w:r>
          </w:p>
        </w:tc>
        <w:tc>
          <w:tcPr>
            <w:tcW w:w="14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Company’s Board of Directors has authorized a stock repurchase program for the repurchase of up to $5.0 billion of the Company’s common stock, which authorization is effective through July 25, 2023. For the nine months ended April 3, 2020, the Company did not make any stock repurchases. The remaining amount available to be repurchased under the Company’s current stock repurchase program as of April 3, 2020 was $4.5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5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Since the first quarter of 2013, the Company has issued a quarterly cash dividend. During the nine months ended April 3, 2020, the Company declared aggregate cash dividends of $1.50 per share on its outstanding common stock totaling $448 million, of which $150 million was paid on April 17, 2020. The Company has since suspended its dividend to reinvest in the business and to support its ongoing deleveraging efforts.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 Expense</w:t>
      </w:r>
    </w:p>
    <w:p>
      <w:pPr>
        <w:spacing w:after="0" w:line="25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March 27, 2020, the Coronavirus Aid, Relief, and Economic Security Act (the “CARES Act”) was enacted in response to the COVID-19 pandemic in the U.S. The CARES Act, among other things, allows NOLs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continue to implement emergency tax measures to provide relief similar to the CARES Act. The Company at present does not expect any of the provisions of the CARES Act or the emergency tax measures around the world would result in a material cash benefit. However, the Company continues to monitor and evaluate the regulatory and interpretive guidance related to the CARES Act as well as in other jurisdictions.</w:t>
      </w:r>
    </w:p>
    <w:p>
      <w:pPr>
        <w:spacing w:after="0" w:line="20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1020" w:type="dxa"/>
            <w:vAlign w:val="bottom"/>
          </w:tcPr>
          <w:p>
            <w:pPr>
              <w:jc w:val="center"/>
              <w:ind w:left="366"/>
              <w:spacing w:after="0" w:line="153" w:lineRule="exact"/>
              <w:rPr>
                <w:sz w:val="20"/>
                <w:szCs w:val="20"/>
                <w:color w:val="auto"/>
              </w:rPr>
            </w:pPr>
            <w:r>
              <w:rPr>
                <w:rFonts w:ascii="Arial" w:cs="Arial" w:eastAsia="Arial" w:hAnsi="Arial"/>
                <w:sz w:val="14"/>
                <w:szCs w:val="14"/>
                <w:b w:val="1"/>
                <w:bCs w:val="1"/>
                <w:color w:val="auto"/>
                <w:w w:val="96"/>
              </w:rPr>
              <w:t>April 3,</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29,</w:t>
            </w:r>
          </w:p>
        </w:tc>
        <w:tc>
          <w:tcPr>
            <w:tcW w:w="420" w:type="dxa"/>
            <w:vAlign w:val="bottom"/>
          </w:tcPr>
          <w:p>
            <w:pPr>
              <w:spacing w:after="0"/>
              <w:rPr>
                <w:sz w:val="13"/>
                <w:szCs w:val="13"/>
                <w:color w:val="auto"/>
              </w:rPr>
            </w:pPr>
          </w:p>
        </w:tc>
        <w:tc>
          <w:tcPr>
            <w:tcW w:w="1120" w:type="dxa"/>
            <w:vAlign w:val="bottom"/>
          </w:tcPr>
          <w:p>
            <w:pPr>
              <w:jc w:val="right"/>
              <w:ind w:right="484"/>
              <w:spacing w:after="0" w:line="15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3"/>
                <w:szCs w:val="13"/>
                <w:color w:val="auto"/>
              </w:rPr>
            </w:pPr>
          </w:p>
        </w:tc>
        <w:tc>
          <w:tcPr>
            <w:tcW w:w="1040" w:type="dxa"/>
            <w:vAlign w:val="bottom"/>
          </w:tcPr>
          <w:p>
            <w:pPr>
              <w:jc w:val="right"/>
              <w:ind w:right="163"/>
              <w:spacing w:after="0" w:line="153" w:lineRule="exact"/>
              <w:rPr>
                <w:sz w:val="20"/>
                <w:szCs w:val="20"/>
                <w:color w:val="auto"/>
              </w:rPr>
            </w:pPr>
            <w:r>
              <w:rPr>
                <w:rFonts w:ascii="Arial" w:cs="Arial" w:eastAsia="Arial" w:hAnsi="Arial"/>
                <w:sz w:val="14"/>
                <w:szCs w:val="14"/>
                <w:b w:val="1"/>
                <w:bCs w:val="1"/>
                <w:color w:val="auto"/>
              </w:rPr>
              <w:t>March 29,</w:t>
            </w:r>
          </w:p>
        </w:tc>
        <w:tc>
          <w:tcPr>
            <w:tcW w:w="180" w:type="dxa"/>
            <w:vAlign w:val="bottom"/>
          </w:tcPr>
          <w:p>
            <w:pPr>
              <w:spacing w:after="0"/>
              <w:rPr>
                <w:sz w:val="13"/>
                <w:szCs w:val="13"/>
                <w:color w:val="auto"/>
              </w:rPr>
            </w:pPr>
          </w:p>
        </w:tc>
      </w:tr>
      <w:tr>
        <w:trPr>
          <w:trHeight w:val="192"/>
        </w:trPr>
        <w:tc>
          <w:tcPr>
            <w:tcW w:w="5040" w:type="dxa"/>
            <w:vAlign w:val="bottom"/>
          </w:tcPr>
          <w:p>
            <w:pPr>
              <w:spacing w:after="0"/>
              <w:rPr>
                <w:sz w:val="16"/>
                <w:szCs w:val="16"/>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02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6"/>
                <w:szCs w:val="16"/>
                <w:color w:val="auto"/>
              </w:rPr>
              <w:t>(231)</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29</w:t>
            </w:r>
          </w:p>
        </w:tc>
        <w:tc>
          <w:tcPr>
            <w:tcW w:w="540" w:type="dxa"/>
            <w:vAlign w:val="bottom"/>
          </w:tcPr>
          <w:p>
            <w:pPr>
              <w:spacing w:after="0"/>
              <w:rPr>
                <w:sz w:val="19"/>
                <w:szCs w:val="19"/>
                <w:color w:val="auto"/>
              </w:rPr>
            </w:pPr>
          </w:p>
        </w:tc>
        <w:tc>
          <w:tcPr>
            <w:tcW w:w="1220" w:type="dxa"/>
            <w:vAlign w:val="bottom"/>
          </w:tcPr>
          <w:p>
            <w:pPr>
              <w:jc w:val="right"/>
              <w:ind w:right="144"/>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204"/>
              <w:spacing w:after="0"/>
              <w:rPr>
                <w:sz w:val="20"/>
                <w:szCs w:val="20"/>
                <w:color w:val="auto"/>
              </w:rPr>
            </w:pPr>
            <w:r>
              <w:rPr>
                <w:rFonts w:ascii="Arial" w:cs="Arial" w:eastAsia="Arial" w:hAnsi="Arial"/>
                <w:sz w:val="16"/>
                <w:szCs w:val="16"/>
                <w:color w:val="auto"/>
              </w:rPr>
              <w:t>167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744</w:t>
            </w:r>
          </w:p>
        </w:tc>
        <w:tc>
          <w:tcPr>
            <w:tcW w:w="180" w:type="dxa"/>
            <w:vAlign w:val="bottom"/>
          </w:tcPr>
          <w:p>
            <w:pPr>
              <w:spacing w:after="0"/>
              <w:rPr>
                <w:sz w:val="19"/>
                <w:szCs w:val="19"/>
                <w:color w:val="auto"/>
              </w:rPr>
            </w:pPr>
          </w:p>
        </w:tc>
      </w:tr>
      <w:tr>
        <w:trPr>
          <w:trHeight w:val="33"/>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8"/>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 %</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The primary drivers of the difference between the effective tax rate for the three and nine months ended April 3, 2020 and the U.S. Federal statutory rate of 21% are the relative mix of earnings and losses by jurisdiction, the deduction for foreign derived intangible income, credits and tax holidays in Malaysia, Philippines and Thailand that will expire at various dates during fiscal years 2021 through 2030. In addition, the effective tax rate for the nine months ended April 3, 2020 includes the discrete effect of a de-recognition of $31 million for certain deferred tax assets associated with the Company’s creditable foreign withholding taxes due to the issuance of final regulatory guidance. The regulatory guidance does not preclude the Company from potentially claiming these creditable taxes as a period benefit when paid.</w:t>
      </w:r>
    </w:p>
    <w:p>
      <w:pPr>
        <w:spacing w:after="0" w:line="20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primary driver of the difference between the effective tax rate for the three and nine months ended March 29, 2019 and the U.S. Federal statutory rate of 21% is the discrete effect of the finalization of the accounting for the tax effects of the enactment of the 2017 Act. For the three months ended March 29, 2019, these discrete effects consist of an income tax benefit of $71 million related to the mandatory deemed repatriation tax. For the nine months ended March 29, 2019, these discrete effects consist of $107 million related to the mandatory deemed repatriation tax and $152 million related to the Company’s decision to change its indefinite reinvestment assertion. For both periods, the remaining difference primarily is attributable to an increase in the estimated effective tax rate due to changes in the relative mix of earnings by jurisdiction, partially offset by credits and tax holidays.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and penalties.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and penalties.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U.S. Tax Court consolidated the case for fiscal years 2008 through 2009 with the case for fiscal years 2010 through 2012. On May 4, 2020, the IRS filed with the U.S. Tax Court Amendments to Answer to assert penalties totaling $340 million on the proposed adjustments relating to transfer pricing with respect to fiscal years 2008 through 2009 and fiscal years 2010 through 2012. The Company continues to believe that its tax positions are properly supported and will vigorously contest the position taken by the IRS.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April 3, 2020,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April 3, 2020, the liability for unrecognized tax benefits (excluding accrued interest and penalties) was approximately $710 million. Accrued interest and penalties related to unrecognized tax benefits as of April 3, 2020 was approximately $136 million. Of these amounts, approximately $716 million could result in potential cash payments. The Company is not able to provide a reasonable estimate of the timing of future tax payments related to these obligations.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(Loss)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7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300" w:type="dxa"/>
            <w:vAlign w:val="bottom"/>
          </w:tcPr>
          <w:p>
            <w:pPr>
              <w:spacing w:after="0"/>
              <w:rPr>
                <w:sz w:val="13"/>
                <w:szCs w:val="13"/>
                <w:color w:val="auto"/>
              </w:rPr>
            </w:pPr>
          </w:p>
        </w:tc>
        <w:tc>
          <w:tcPr>
            <w:tcW w:w="124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jc w:val="right"/>
              <w:ind w:right="580"/>
              <w:spacing w:after="0"/>
              <w:rPr>
                <w:sz w:val="20"/>
                <w:szCs w:val="20"/>
                <w:color w:val="auto"/>
              </w:rPr>
            </w:pPr>
            <w:r>
              <w:rPr>
                <w:rFonts w:ascii="Arial" w:cs="Arial" w:eastAsia="Arial" w:hAnsi="Arial"/>
                <w:sz w:val="14"/>
                <w:szCs w:val="14"/>
                <w:i w:val="1"/>
                <w:iCs w:val="1"/>
                <w:color w:val="auto"/>
              </w:rPr>
              <w:t>(in millions, except per share data)</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color w:val="auto"/>
              </w:rPr>
              <w:t>Employee stock options, RSUs, PSUs and ESPP</w:t>
            </w:r>
          </w:p>
        </w:tc>
        <w:tc>
          <w:tcPr>
            <w:tcW w:w="96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per common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6"/>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200" w:type="dxa"/>
            <w:vAlign w:val="bottom"/>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0.06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months ended April 3, 2020, the Company excluded common shares subject to outstanding equity awards from the calculation of diluted shares because their impact would have been anti-dilutive based on the Company’s average stock price during the period. For the nine months ended April 3, 2020 and the three and nine months ended March 29, 2019, the Company recorded net losses, and all shares subject to outstanding equity awards have been excluded for those periods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Termination, Asset Impairment and Other Charges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 benefits, asset impairment, and other charges: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200" w:type="dxa"/>
            <w:vAlign w:val="bottom"/>
          </w:tcPr>
          <w:p>
            <w:pPr>
              <w:spacing w:after="0"/>
              <w:rPr>
                <w:sz w:val="13"/>
                <w:szCs w:val="13"/>
                <w:color w:val="auto"/>
              </w:rPr>
            </w:pPr>
          </w:p>
        </w:tc>
        <w:tc>
          <w:tcPr>
            <w:tcW w:w="1020" w:type="dxa"/>
            <w:vAlign w:val="bottom"/>
          </w:tcPr>
          <w:p>
            <w:pPr>
              <w:jc w:val="right"/>
              <w:ind w:right="4"/>
              <w:spacing w:after="0" w:line="153"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5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and other charges: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color w:val="auto"/>
              </w:rPr>
              <w:t>Closure of Foreign Manufacturing Facilities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16</w:t>
            </w:r>
          </w:p>
        </w:tc>
      </w:tr>
      <w:tr>
        <w:trPr>
          <w:trHeight w:val="33"/>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Business Realignment</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126</w:t>
            </w:r>
          </w:p>
        </w:tc>
      </w:tr>
      <w:tr>
        <w:trPr>
          <w:trHeight w:val="217"/>
        </w:trPr>
        <w:tc>
          <w:tcPr>
            <w:tcW w:w="5200" w:type="dxa"/>
            <w:vAlign w:val="bottom"/>
          </w:tcPr>
          <w:p>
            <w:pPr>
              <w:ind w:left="220"/>
              <w:spacing w:after="0"/>
              <w:rPr>
                <w:sz w:val="20"/>
                <w:szCs w:val="20"/>
                <w:color w:val="auto"/>
              </w:rPr>
            </w:pPr>
            <w:r>
              <w:rPr>
                <w:rFonts w:ascii="Arial" w:cs="Arial" w:eastAsia="Arial" w:hAnsi="Arial"/>
                <w:sz w:val="16"/>
                <w:szCs w:val="16"/>
                <w:color w:val="auto"/>
              </w:rPr>
              <w:t>Total employee termination and other charges</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142</w:t>
            </w:r>
          </w:p>
        </w:tc>
      </w:tr>
      <w:tr>
        <w:trPr>
          <w:trHeight w:val="33"/>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disposition of assets: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6"/>
                <w:szCs w:val="16"/>
                <w:color w:val="auto"/>
              </w:rPr>
              <w:t>Business Realignment</w:t>
            </w:r>
          </w:p>
        </w:tc>
        <w:tc>
          <w:tcPr>
            <w:tcW w:w="102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gain on disposition of assets</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247"/>
        </w:trPr>
        <w:tc>
          <w:tcPr>
            <w:tcW w:w="5200" w:type="dxa"/>
            <w:vAlign w:val="bottom"/>
          </w:tcPr>
          <w:p>
            <w:pPr>
              <w:ind w:left="340"/>
              <w:spacing w:after="0"/>
              <w:rPr>
                <w:sz w:val="20"/>
                <w:szCs w:val="20"/>
                <w:color w:val="auto"/>
              </w:rPr>
            </w:pPr>
            <w:r>
              <w:rPr>
                <w:rFonts w:ascii="Arial" w:cs="Arial" w:eastAsia="Arial" w:hAnsi="Arial"/>
                <w:sz w:val="16"/>
                <w:szCs w:val="16"/>
                <w:color w:val="auto"/>
              </w:rPr>
              <w:t>Total employee termination, asset impairment, and other charges</w:t>
            </w: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142</w:t>
            </w:r>
          </w:p>
        </w:tc>
      </w:tr>
      <w:tr>
        <w:trPr>
          <w:trHeight w:val="23"/>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July 2018, the Company announced the closing of its HDD manufacturing facility in Kuala Lumpur, Malaysia, in order to reduce its manufacturing costs and consolidate HDD operations into Thailand. The Company substantially completed the closure in fiscal year 2019.</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nine months ended April 3,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Contract Termination</w:t>
            </w:r>
          </w:p>
        </w:tc>
        <w:tc>
          <w:tcPr>
            <w:tcW w:w="320" w:type="dxa"/>
            <w:vAlign w:val="bottom"/>
          </w:tcPr>
          <w:p>
            <w:pPr>
              <w:spacing w:after="0"/>
              <w:rPr>
                <w:sz w:val="14"/>
                <w:szCs w:val="14"/>
                <w:color w:val="auto"/>
              </w:rPr>
            </w:pPr>
          </w:p>
        </w:tc>
        <w:tc>
          <w:tcPr>
            <w:tcW w:w="110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8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Termination Benefits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Accrual balance at June 28, 2019</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3"/>
        </w:trPr>
        <w:tc>
          <w:tcPr>
            <w:tcW w:w="6680" w:type="dxa"/>
            <w:vAlign w:val="bottom"/>
          </w:tcPr>
          <w:p>
            <w:pPr>
              <w:ind w:left="10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Arial" w:cs="Arial" w:eastAsia="Arial" w:hAnsi="Arial"/>
                <w:sz w:val="16"/>
                <w:szCs w:val="16"/>
                <w:color w:val="auto"/>
              </w:rPr>
              <w:t>Accrual balance at April 3, 2020</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In addition to the amounts recognized under Business Realignment as presented above, the Company recognized $5 million of accelerated depreciation on facility assets in Cost of revenue and Operating expenses in the Condensed Consolidated Statements of Operations for the nine months ended April 3,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nine months ended April 3, 2020: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Employee</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Accrual balance at June 28, 2019</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center"/>
              <w:ind w:left="661"/>
              <w:spacing w:after="0"/>
              <w:rPr>
                <w:sz w:val="20"/>
                <w:szCs w:val="20"/>
                <w:color w:val="auto"/>
              </w:rPr>
            </w:pPr>
            <w:r>
              <w:rPr>
                <w:rFonts w:ascii="Arial" w:cs="Arial" w:eastAsia="Arial" w:hAnsi="Arial"/>
                <w:sz w:val="16"/>
                <w:szCs w:val="16"/>
                <w:color w:val="auto"/>
                <w:w w:val="8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center"/>
              <w:ind w:left="56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4"/>
        </w:trPr>
        <w:tc>
          <w:tcPr>
            <w:tcW w:w="6700" w:type="dxa"/>
            <w:vAlign w:val="bottom"/>
          </w:tcPr>
          <w:p>
            <w:pPr>
              <w:ind w:left="12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9"/>
                <w:szCs w:val="19"/>
                <w:color w:val="auto"/>
              </w:rPr>
            </w:pPr>
          </w:p>
        </w:tc>
        <w:tc>
          <w:tcPr>
            <w:tcW w:w="1180" w:type="dxa"/>
            <w:vAlign w:val="bottom"/>
          </w:tcPr>
          <w:p>
            <w:pPr>
              <w:jc w:val="center"/>
              <w:ind w:left="661"/>
              <w:spacing w:after="0"/>
              <w:rPr>
                <w:sz w:val="20"/>
                <w:szCs w:val="20"/>
                <w:color w:val="auto"/>
              </w:rPr>
            </w:pPr>
            <w:r>
              <w:rPr>
                <w:rFonts w:ascii="Arial" w:cs="Arial" w:eastAsia="Arial" w:hAnsi="Arial"/>
                <w:sz w:val="16"/>
                <w:szCs w:val="16"/>
                <w:color w:val="auto"/>
                <w:w w:val="89"/>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621"/>
              <w:spacing w:after="0"/>
              <w:rPr>
                <w:sz w:val="20"/>
                <w:szCs w:val="20"/>
                <w:color w:val="auto"/>
              </w:rPr>
            </w:pPr>
            <w:r>
              <w:rPr>
                <w:rFonts w:ascii="Arial" w:cs="Arial" w:eastAsia="Arial" w:hAnsi="Arial"/>
                <w:sz w:val="16"/>
                <w:szCs w:val="16"/>
                <w:color w:val="auto"/>
                <w:w w:val="98"/>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541"/>
              <w:spacing w:after="0"/>
              <w:rPr>
                <w:sz w:val="20"/>
                <w:szCs w:val="20"/>
                <w:color w:val="auto"/>
              </w:rPr>
            </w:pPr>
            <w:r>
              <w:rPr>
                <w:rFonts w:ascii="Arial" w:cs="Arial" w:eastAsia="Arial" w:hAnsi="Arial"/>
                <w:sz w:val="16"/>
                <w:szCs w:val="16"/>
                <w:color w:val="auto"/>
                <w:w w:val="98"/>
              </w:rPr>
              <w:t>(51)</w:t>
            </w:r>
          </w:p>
        </w:tc>
        <w:tc>
          <w:tcPr>
            <w:tcW w:w="0" w:type="dxa"/>
            <w:vAlign w:val="bottom"/>
          </w:tcPr>
          <w:p>
            <w:pPr>
              <w:spacing w:after="0"/>
              <w:rPr>
                <w:sz w:val="1"/>
                <w:szCs w:val="1"/>
                <w:color w:val="auto"/>
              </w:rPr>
            </w:pPr>
          </w:p>
        </w:tc>
      </w:tr>
      <w:tr>
        <w:trPr>
          <w:trHeight w:val="247"/>
        </w:trPr>
        <w:tc>
          <w:tcPr>
            <w:tcW w:w="6700" w:type="dxa"/>
            <w:vAlign w:val="bottom"/>
          </w:tcPr>
          <w:p>
            <w:pPr>
              <w:ind w:left="20"/>
              <w:spacing w:after="0"/>
              <w:rPr>
                <w:sz w:val="20"/>
                <w:szCs w:val="20"/>
                <w:color w:val="auto"/>
              </w:rPr>
            </w:pPr>
            <w:r>
              <w:rPr>
                <w:rFonts w:ascii="Arial" w:cs="Arial" w:eastAsia="Arial" w:hAnsi="Arial"/>
                <w:sz w:val="16"/>
                <w:szCs w:val="16"/>
                <w:color w:val="auto"/>
              </w:rPr>
              <w:t>Accrual balance at April 3, 2020</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center"/>
              <w:ind w:left="661"/>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center"/>
              <w:ind w:left="56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Proceedings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5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petitions filed by the Company with the U.S. Tax Court in September 2018 and March 2019, see Note 12, </w:t>
      </w:r>
      <w:r>
        <w:rPr>
          <w:rFonts w:ascii="Arial" w:cs="Arial" w:eastAsia="Arial" w:hAnsi="Arial"/>
          <w:sz w:val="18"/>
          <w:szCs w:val="18"/>
          <w:i w:val="1"/>
          <w:iCs w:val="1"/>
          <w:color w:val="auto"/>
        </w:rPr>
        <w:t>Income Tax Expense.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28, 2019. See also “Forward-Looking Statements” immediately prior to Part I, Item 1 in this Quarterly Report on Form 10-Q.</w:t>
      </w:r>
    </w:p>
    <w:p>
      <w:pPr>
        <w:spacing w:after="0" w:line="23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 2020, which ends on July 3, 2020, will be comprised of 53 weeks, with the first quarter consisting of 14 weeks and the remaining quarters consisting of 13 weeks each. Fiscal year 2019, which ended on June 28, 2019, was comprised of 52 weeks, with all quarters presented consisting of 13 weeks.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COVID-19 Pandemic</w:t>
      </w:r>
    </w:p>
    <w:p>
      <w:pPr>
        <w:spacing w:after="0" w:line="23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December 2019, coronavirus disease 2019 (“COVID-19”) was first reported in Wuhan, China, and on March 11, 2020, the World Health Organization declared COVID-19 a pandemic. In recent months, the COVID-19 outbreak has spread globally and has led governments and other authorities around the world, including federal, state and local authorities in the United States, to impose measures intended to reduce its spread, including restrictions on freedom of movement and business operations such as travel bans, border closings, business limitations and closures (subject to exceptions for essential operations and businesses), quarantines and shelter-in-place orders. These measures may remain in place for a significant amount of time. In light of these events, we have taken actions to protect the health and safety of our employees while continuing to serve our global customers as an essential business. We have implemented more thorough sanitation practices as outlined by health organizations and instituted social distancing policies at our locations around the world, including working from home, limiting the number of employees attending meetings, reducing the number of people in our sites at any one time, and suspending employee travel. These actions have resulted in some reductions of production levels as we adapt to a more limited number of employees in facilities and, as a result, we incurred charges of approximately $13 million in cost of revenue related to under-absorbed overhead and higher logistics and other costs during the three months ended April 3, 2020. In the near term, we expect COVID-19 related charges to be higher in the fourth quarter, partially offset by increased pricing for our products.</w:t>
      </w:r>
    </w:p>
    <w:p>
      <w:pPr>
        <w:spacing w:after="0" w:line="19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6"/>
          <w:szCs w:val="16"/>
          <w:color w:val="auto"/>
        </w:rPr>
        <w:t>As an essential business, we continue to provide products and solutions that enable the proliferation of data and facilitate the sharing of information remotely, which has become more critical as much of the world is interacting from areas of self-isolation. While we have experienced some reductions of sales in certain areas such as retail in our Client Solutions end market where brick and mortar operations were impacted, we have seen strong demand for capacity enterprise products in our Data Center Devices and Solutions end market as the current environment has accelerated the movement to the Cloud.</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such, our net revenue for the third quarter was not significantly impacted by COVID-19. However, we cannot predict the duration of this crisis and how demand may change if it becomes more protracted.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w:t>
      </w:r>
      <w:r>
        <w:rPr>
          <w:rFonts w:ascii="Arial" w:cs="Arial" w:eastAsia="Arial" w:hAnsi="Arial"/>
          <w:sz w:val="18"/>
          <w:szCs w:val="18"/>
          <w:i w:val="1"/>
          <w:iCs w:val="1"/>
          <w:color w:val="auto"/>
        </w:rPr>
        <w:t>“The recent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pandemic could adversely affect our business, results of operations and financial condition” </w:t>
      </w:r>
      <w:r>
        <w:rPr>
          <w:rFonts w:ascii="Arial" w:cs="Arial" w:eastAsia="Arial" w:hAnsi="Arial"/>
          <w:sz w:val="18"/>
          <w:szCs w:val="18"/>
          <w:color w:val="auto"/>
        </w:rPr>
        <w:t>in Part II,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more information regarding the risks we face as a result of the COVID-19 pandemic.</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Through our three business ventures with Kioxia Corporation (“Kioxia”), referred to as “Flash Ventures”, we and Kioxia operate flash-based memory wafer manufacturing facilities in Japan.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Flash Ventures’ capital investments to the extent that Flash Ventures’ operating cash flow is insufficient to fund these investments.</w:t>
      </w:r>
    </w:p>
    <w:p>
      <w:pPr>
        <w:spacing w:after="0" w:line="20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Since its inception, Flash Ventures’ primary manufacturing site has been located in Yokkaichi, Japan, which currently includes five wafer fabrication facilities. These facilities historically operated near 100% of their manufacturing capacity. As a result of supply/demand imbalance for flash-based products arising in the prior year, we temporarily reduced our utilization of our share of Flash Ventures’ manufacturing capacity to an abnormally low level for several quarters to more closely align our flash-based wafer supply with the projected demand. As a result of this temporary reduction to abnormally low production levels, we incurred costs of $148 million and $197 million associated with the reduction in utilization, which was recorded as a charge to cost of revenue in the three and nine months ended March 29, 2019, respectively. In addition, production levels at the Yokkaichi site were temporarily reduced as a result of an unexpected power outage incident that occurred in the Yokkaichi region on June 15, 2019. The power outage incident impacted the facilities and process tools and resulted in the damage of flash wafers in production. The incident resulted in a reduction of our flash wafer availability by approximately 4 exabytes, the majority of which was contained in the first quarter of fiscal year 2020. As a result of this power outage incident, we incurred aggregate charges of $68 million and $145 million recorded in Cost of revenue in the quarters ended October 4, 2019 and June 28, 2019, respectively, which primarily consisted of the write-off of damaged inventory and unabsorbed manufacturing overhead costs. We continue to pursue recovery of our losses associated with this event; however, the total amount of recovery cannot be estimated at this time.</w:t>
      </w:r>
    </w:p>
    <w:p>
      <w:pPr>
        <w:spacing w:after="0" w:line="19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third quarter of fiscal year 2020, although meaningful output from K1 is not expected to begin until the end of calendar 2020. We have paid for most of our share of initial K1 equipment investments and relocation costs, with approximately $65 million remaining to be paid in the fourth quarter of fiscal year 2020. Other period expenses associated with the initial production ramp at K1 will begin trailing off as output increases toward the end of the calendar year. We also agreed to prepay an aggregate of approximately $360 million over a 3-year period beginning in the first half of fiscal year 2020 toward K1 building depreciation, to be credited against future wafer charges. As of April 3, 2020, remaining committed prepayments totaled $205 million.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Exit of Storage Systems Business</w:t>
      </w:r>
    </w:p>
    <w:p>
      <w:pPr>
        <w:spacing w:after="0" w:line="252"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In September 2019, we announced the sale of our IntelliFlash business and our strategic intention to exit Storage Systems, which consists of IntelliFlash and ActiveScale. These actions will allow us to redirect investments to other higher value priorities. In November 2019, the Company completed its sale of IntelliFlash for a price of $28 million, to be collected over the next three years. The sale of our IntelliFlash business included an immaterial amount of inventory, other tangible and intangible assets, and goodwill and resulted in a gain of approximately $17 million recorded in Employee termination, asset impairment, and other charges in the Condensed Consolidated Statements of Operations for both the three and nine months ended January 3, 2020. Additionally, in March 2020, we completed the sale of ActiveScale. The net assets sold and the proceeds from the sale of ActiveScale were not material.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Third Quarter and Nine Month Overview</w:t>
      </w:r>
    </w:p>
    <w:p>
      <w:pPr>
        <w:spacing w:after="0" w:line="2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left="340"/>
              <w:spacing w:after="0" w:line="147" w:lineRule="exact"/>
              <w:rPr>
                <w:sz w:val="20"/>
                <w:szCs w:val="20"/>
                <w:color w:val="auto"/>
              </w:rPr>
            </w:pPr>
            <w:r>
              <w:rPr>
                <w:rFonts w:ascii="Arial" w:cs="Arial" w:eastAsia="Arial" w:hAnsi="Arial"/>
                <w:sz w:val="14"/>
                <w:szCs w:val="14"/>
                <w:b w:val="1"/>
                <w:bCs w:val="1"/>
                <w:color w:val="auto"/>
              </w:rPr>
              <w:t>April 3,</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400"/>
              <w:spacing w:after="0" w:line="147" w:lineRule="exact"/>
              <w:rPr>
                <w:sz w:val="20"/>
                <w:szCs w:val="20"/>
                <w:color w:val="auto"/>
              </w:rPr>
            </w:pPr>
            <w:r>
              <w:rPr>
                <w:rFonts w:ascii="Arial" w:cs="Arial" w:eastAsia="Arial" w:hAnsi="Arial"/>
                <w:sz w:val="14"/>
                <w:szCs w:val="14"/>
                <w:b w:val="1"/>
                <w:bCs w:val="1"/>
                <w:color w:val="auto"/>
                <w:w w:val="99"/>
              </w:rPr>
              <w:t>March 29,</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5"/>
              </w:rPr>
              <w:t>$ Change</w:t>
            </w:r>
          </w:p>
        </w:tc>
        <w:tc>
          <w:tcPr>
            <w:tcW w:w="10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i w:val="1"/>
                <w:iCs w:val="1"/>
                <w:color w:val="auto"/>
              </w:rPr>
              <w:t>($ in millions)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4,175</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4"/>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3,674</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501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3,170</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3,095</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84.2</w:t>
            </w:r>
          </w:p>
        </w:tc>
        <w:tc>
          <w:tcPr>
            <w:tcW w:w="420" w:type="dxa"/>
            <w:vAlign w:val="bottom"/>
          </w:tcPr>
          <w:p>
            <w:pPr>
              <w:spacing w:after="0"/>
              <w:rPr>
                <w:sz w:val="19"/>
                <w:szCs w:val="19"/>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75</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1,005</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579</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426</w:t>
            </w: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563</w:t>
            </w:r>
          </w:p>
        </w:tc>
        <w:tc>
          <w:tcPr>
            <w:tcW w:w="3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544</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281</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353</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9.6</w:t>
            </w:r>
          </w:p>
        </w:tc>
        <w:tc>
          <w:tcPr>
            <w:tcW w:w="42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(72)</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 charges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76</w:t>
            </w:r>
          </w:p>
        </w:tc>
        <w:tc>
          <w:tcPr>
            <w:tcW w:w="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510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852</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20.4</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973</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26.5</w:t>
            </w: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(121)</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w:t>
            </w:r>
          </w:p>
        </w:tc>
        <w:tc>
          <w:tcPr>
            <w:tcW w:w="3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(394)</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547</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4"/>
        </w:trPr>
        <w:tc>
          <w:tcPr>
            <w:tcW w:w="51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(118)</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19"/>
                <w:szCs w:val="19"/>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19</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w:t>
            </w:r>
          </w:p>
        </w:tc>
        <w:tc>
          <w:tcPr>
            <w:tcW w:w="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7"/>
        </w:trPr>
        <w:tc>
          <w:tcPr>
            <w:tcW w:w="5100" w:type="dxa"/>
            <w:vAlign w:val="bottom"/>
          </w:tcPr>
          <w:p>
            <w:pPr>
              <w:ind w:left="220"/>
              <w:spacing w:after="0"/>
              <w:rPr>
                <w:sz w:val="20"/>
                <w:szCs w:val="20"/>
                <w:color w:val="auto"/>
              </w:rPr>
            </w:pPr>
            <w:r>
              <w:rPr>
                <w:rFonts w:ascii="Arial" w:cs="Arial" w:eastAsia="Arial" w:hAnsi="Arial"/>
                <w:sz w:val="16"/>
                <w:szCs w:val="16"/>
                <w:color w:val="auto"/>
              </w:rPr>
              <w:t>Total interest and other expense, net</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(107)</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3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(477)</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523</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104</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(75)</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(581)</w:t>
            </w:r>
          </w:p>
        </w:tc>
        <w:tc>
          <w:tcPr>
            <w:tcW w:w="4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598</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772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left="400"/>
              <w:spacing w:after="0" w:line="153" w:lineRule="exact"/>
              <w:rPr>
                <w:sz w:val="20"/>
                <w:szCs w:val="20"/>
                <w:color w:val="auto"/>
              </w:rPr>
            </w:pPr>
            <w:r>
              <w:rPr>
                <w:rFonts w:ascii="Arial" w:cs="Arial" w:eastAsia="Arial" w:hAnsi="Arial"/>
                <w:sz w:val="14"/>
                <w:szCs w:val="14"/>
                <w:b w:val="1"/>
                <w:bCs w:val="1"/>
                <w:color w:val="auto"/>
                <w:w w:val="96"/>
              </w:rPr>
              <w:t>April 3,</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w w:val="95"/>
              </w:rPr>
              <w:t>March 29,</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5"/>
              </w:rPr>
              <w:t>$ Change</w:t>
            </w:r>
          </w:p>
        </w:tc>
        <w:tc>
          <w:tcPr>
            <w:tcW w:w="10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ind w:left="460"/>
              <w:spacing w:after="0"/>
              <w:rPr>
                <w:sz w:val="20"/>
                <w:szCs w:val="20"/>
                <w:color w:val="auto"/>
              </w:rPr>
            </w:pPr>
            <w:r>
              <w:rPr>
                <w:rFonts w:ascii="Arial" w:cs="Arial" w:eastAsia="Arial" w:hAnsi="Arial"/>
                <w:sz w:val="14"/>
                <w:szCs w:val="14"/>
                <w:i w:val="1"/>
                <w:iCs w:val="1"/>
                <w:color w:val="auto"/>
              </w:rPr>
              <w:t>($ in millions)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12,449</w:t>
            </w: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12,935</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(486)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9"/>
                <w:szCs w:val="19"/>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9,751</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9,648</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74.6</w:t>
            </w:r>
          </w:p>
        </w:tc>
        <w:tc>
          <w:tcPr>
            <w:tcW w:w="420" w:type="dxa"/>
            <w:vAlign w:val="bottom"/>
          </w:tcPr>
          <w:p>
            <w:pPr>
              <w:spacing w:after="0"/>
              <w:rPr>
                <w:sz w:val="19"/>
                <w:szCs w:val="19"/>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103</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2,698</w:t>
            </w: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3,287</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(589)</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1,715</w:t>
            </w: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1,659</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9"/>
                <w:szCs w:val="19"/>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884</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1,018</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w:t>
            </w:r>
          </w:p>
        </w:tc>
        <w:tc>
          <w:tcPr>
            <w:tcW w:w="42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(134)</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 charges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142</w:t>
            </w:r>
          </w:p>
        </w:tc>
        <w:tc>
          <w:tcPr>
            <w:tcW w:w="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(117)</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51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2,624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21.1</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2,819</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21.8</w:t>
            </w:r>
          </w:p>
        </w:tc>
        <w:tc>
          <w:tcPr>
            <w:tcW w:w="420" w:type="dxa"/>
            <w:vAlign w:val="bottom"/>
          </w:tcPr>
          <w:p>
            <w:pPr>
              <w:spacing w:after="0"/>
              <w:rPr>
                <w:sz w:val="18"/>
                <w:szCs w:val="18"/>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(195)</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468</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(394)</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(352)</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9"/>
                <w:szCs w:val="19"/>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w:t>
            </w:r>
          </w:p>
        </w:tc>
        <w:tc>
          <w:tcPr>
            <w:tcW w:w="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7"/>
        </w:trPr>
        <w:tc>
          <w:tcPr>
            <w:tcW w:w="5120" w:type="dxa"/>
            <w:vAlign w:val="bottom"/>
          </w:tcPr>
          <w:p>
            <w:pPr>
              <w:ind w:left="220"/>
              <w:spacing w:after="0"/>
              <w:rPr>
                <w:sz w:val="20"/>
                <w:szCs w:val="20"/>
                <w:color w:val="auto"/>
              </w:rPr>
            </w:pPr>
            <w:r>
              <w:rPr>
                <w:rFonts w:ascii="Arial" w:cs="Arial" w:eastAsia="Arial" w:hAnsi="Arial"/>
                <w:sz w:val="16"/>
                <w:szCs w:val="16"/>
                <w:color w:val="auto"/>
              </w:rPr>
              <w:t>Total interest and other expense, net</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(281)</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18"/>
                <w:szCs w:val="18"/>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187</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(418)</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19"/>
                <w:szCs w:val="19"/>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167</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744</w:t>
            </w: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c>
          <w:tcPr>
            <w:tcW w:w="42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(577)</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3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(557)</w:t>
            </w:r>
          </w:p>
        </w:tc>
        <w:tc>
          <w:tcPr>
            <w:tcW w:w="4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159</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Percentages may not total due to rounding.</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our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Hard disk drives (“HDD”)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6,618</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Flash-based</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6,317</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12,449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12,935</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Devices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5,244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6,489</w:t>
            </w:r>
          </w:p>
        </w:tc>
      </w:tr>
      <w:tr>
        <w:trPr>
          <w:trHeight w:val="223"/>
        </w:trPr>
        <w:tc>
          <w:tcPr>
            <w:tcW w:w="5160" w:type="dxa"/>
            <w:vAlign w:val="bottom"/>
          </w:tcPr>
          <w:p>
            <w:pPr>
              <w:ind w:left="120"/>
              <w:spacing w:after="0"/>
              <w:rPr>
                <w:sz w:val="20"/>
                <w:szCs w:val="20"/>
                <w:color w:val="auto"/>
              </w:rPr>
            </w:pPr>
            <w:r>
              <w:rPr>
                <w:rFonts w:ascii="Arial" w:cs="Arial" w:eastAsia="Arial" w:hAnsi="Arial"/>
                <w:sz w:val="16"/>
                <w:szCs w:val="16"/>
                <w:color w:val="auto"/>
              </w:rPr>
              <w:t>Data Center Devices &amp; Solutions</w:t>
            </w:r>
          </w:p>
        </w:tc>
        <w:tc>
          <w:tcPr>
            <w:tcW w:w="30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3,765</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Solutions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2,681</w:t>
            </w:r>
          </w:p>
        </w:tc>
      </w:tr>
      <w:tr>
        <w:trPr>
          <w:trHeight w:val="247"/>
        </w:trPr>
        <w:tc>
          <w:tcPr>
            <w:tcW w:w="5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12,449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12,935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Revenue by Geography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3,367</w:t>
            </w:r>
          </w:p>
        </w:tc>
      </w:tr>
      <w:tr>
        <w:trPr>
          <w:trHeight w:val="224"/>
        </w:trPr>
        <w:tc>
          <w:tcPr>
            <w:tcW w:w="516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30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2,394</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7,174</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12,449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12,935</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increase in net revenue for the three months ended April 3, 2020 from the comparable period in the prior year reflects higher volumes of memory for both HDD and flash products that contributed approximately 15 and 17 percentage points of growth, respectively, which were partially offset by lower average selling prices. Client Devices revenue increased 13% year over year. Higher volumes of memory contributed 16 percentage points of growth, primarily from client compute SSD and mobililty, partially offset by lower HDD pricing. Our revenue for Data Center Devices and Solutions increased 22% year over year, with volumes up 38% due to strength in both capacity enterprise HDD and SSD, partially offset by lower average selling prices with more efficient form factors. Client Solutions revenue increased 2% year over year with volume of memory up approximately 12 percentage points , primarily in flash products, partially offset by lower year-over-year pricing. While pricing for flash products remains down compared to the prior year, pricing has increased compared to last quarter and we expect flash pricing to continue to increase in the near term, if supply and demand become more closely aligned as expected.</w:t>
      </w:r>
    </w:p>
    <w:p>
      <w:pPr>
        <w:spacing w:after="0" w:line="22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slight decrease in net revenue for the nine months ended April 3, 2020 from the comparable period in the prior year reflects lower average selling prices which generated approximately 31 percentage points of the year-over-year decline, partially offset by higher HDD volumes contributing approximately 17 percentage points of growth and higher volumes of flash products contributing approximately 10 percentage points of growth. Client Devices revenue decreased 19% year over year, with approximately 14 percentage points due to lower average selling prices, predominantly related to flash products, and lower volumes for HDD products. Our revenue for Data Center Devices and Solutions increased 21% year over year, resulting from an approximately 44 percentage points of growth in volume of memory, primarily driven by strength in capacity enterprise HDD, partially offset by lower average selling prices with more efficient form factors. Client Solutions revenue was essentially flat year over year, with approximately 12 percentage points of growth from higher volumes of memory largely offset by lower prices on retail products.</w:t>
      </w:r>
    </w:p>
    <w:p>
      <w:pPr>
        <w:spacing w:after="0" w:line="20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changes in net revenue by geography for the year to date reflect a decrease in Asia earlier this year primarily driven by our decision to limit our participation in the mobile market resulting in lower sales to manufacturers in the Asia region and a slight increase in the Americas driven by increased sales of capacity enterprise HDD.</w:t>
      </w:r>
    </w:p>
    <w:p>
      <w:pPr>
        <w:spacing w:after="0" w:line="211"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Our top 10 customers accounted for 44% of our net revenue for both the three and nine months ended April 3, 2020, and 41% and 45% of our net revenue for the three and nine months ended March 29, 2019, respectively. For the three and nine months ended April 3, 2020 and March 29, 2019, no single customer accounted for 10% or more of the Company’s net revenue.</w:t>
      </w:r>
    </w:p>
    <w:p>
      <w:pPr>
        <w:spacing w:after="0" w:line="211"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and nine months ended April 3, 2020, these programs represented 15% and 16%, respectively, of gross revenues. For the three and nine months ended March 29, 2019, these programs represented 17% and 15%,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increase in Gross profit for the three months ended April 3, 2020 from the comparable period in the prior year was primarily due to the increase in revenues for the period as noted above, as well as manufacturing underutilization charges of $148 million incurred in the prior year, a charge to cost of revenue of $110 million in the prior year primarily to reduce component inventory to net realizable value for flash-based multi-chip package products that include externally-sourced dynamic random access memory products, and $43 million of higher charges in the prior year related to amortization expense on acquired intangible assets. Gross margin increased 8 percentage points for the three months ended April 3, 2020 from the comparable period in the prior year, substantially all of which is attributable to these costs in the prior year.</w:t>
      </w:r>
    </w:p>
    <w:p>
      <w:pPr>
        <w:spacing w:after="0" w:line="20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decrease in Gross profit for the nine months ended April 3, 2020 from the comparable periods in the prior year was due to the decrease in revenues for the period as noted above, partially offset by lower aggregate charges for amortization expense on acquired intangible assets, manufacturing underutilization charges, the charge to reduce inventory to net realizable value, and charges related to the power outage incident. These charges aggregated $534 million and $945 million, or 4% and 7% of net revenue, for the nine-month periods ended April 3, 2020 and March 29, 2019, respectively. Gross margin declined 3 percentage points for the nine months ended April 3, 2020 from the comparable period in the prior year, with substantially all of the decline attributable to the lower aggregate charges noted above.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Research and development (“R&amp;D”) expense increased $19 million for the three months ended April 3, 2020 from the comparable period in the prior year primarily due to increased variable compensation. R&amp;D expense increased $56 million for the nine months ended April 3, 2020 from the comparable period in the prior year, reflecting approximately $30 million of additional expense related to the additional week in the current year with the remainder primarily attributable to higher variable compensation.</w:t>
      </w:r>
    </w:p>
    <w:p>
      <w:pPr>
        <w:spacing w:after="0" w:line="21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Selling, general and administrative (“SG&amp;A”) expense decreased $72 million for the three months ended April 3, 2020 from the comparable period in the prior year primarily due to approximately $50 million lower litigation-related and outside services costs as well as savings realized from our cost reduction actions. SG&amp;A expense decreased $134 million for the nine months ended April 3, 2020 from the comparable period in the prior year primarily due to approximately $80 million lower litigation-related and outside services costs, approximately $40 million of savings from the exit of our storage systems business as well as savings from our cost reduction actions, partially offset by approximately $10 million of additional expense related to the additional week in the current year.</w:t>
      </w:r>
    </w:p>
    <w:p>
      <w:pPr>
        <w:spacing w:after="0" w:line="21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Employee termination, asset impairment and other charges decreased from the comparable periods in the prior year as many of the actions initiated in the prior year have been substantially completed. For additional information regarding employee termination, asset impairment and other charges, see Part I, Item 1, Note 14,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 on Form 10-Q.</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52"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The increases in total interest and other expense, net for both the three and nine months ended April 3, 2020 primarily reflect less Interest income resulting from lower invested cash in the current year and gains on the sales of investments included in Other income (expense), net in the prior year, partially offset by decreases in Interest expense resulting from the pay-down of principal on our debt and lower index rates.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sets forth income tax information from our Condensed Consolidated Statements of Operations by dollar and effective tax rate: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r>
      <w:tr>
        <w:trPr>
          <w:trHeight w:val="152"/>
        </w:trPr>
        <w:tc>
          <w:tcPr>
            <w:tcW w:w="5020" w:type="dxa"/>
            <w:vAlign w:val="bottom"/>
          </w:tcPr>
          <w:p>
            <w:pPr>
              <w:spacing w:after="0"/>
              <w:rPr>
                <w:sz w:val="13"/>
                <w:szCs w:val="13"/>
                <w:color w:val="auto"/>
              </w:rPr>
            </w:pPr>
          </w:p>
        </w:tc>
        <w:tc>
          <w:tcPr>
            <w:tcW w:w="1020" w:type="dxa"/>
            <w:vAlign w:val="bottom"/>
          </w:tcPr>
          <w:p>
            <w:pPr>
              <w:jc w:val="center"/>
              <w:ind w:left="346"/>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460" w:type="dxa"/>
            <w:vAlign w:val="bottom"/>
          </w:tcPr>
          <w:p>
            <w:pPr>
              <w:spacing w:after="0"/>
              <w:rPr>
                <w:sz w:val="13"/>
                <w:szCs w:val="13"/>
                <w:color w:val="auto"/>
              </w:rPr>
            </w:pPr>
          </w:p>
        </w:tc>
        <w:tc>
          <w:tcPr>
            <w:tcW w:w="1060" w:type="dxa"/>
            <w:vAlign w:val="bottom"/>
          </w:tcPr>
          <w:p>
            <w:pPr>
              <w:jc w:val="right"/>
              <w:ind w:right="464"/>
              <w:spacing w:after="0" w:line="153" w:lineRule="exact"/>
              <w:rPr>
                <w:sz w:val="20"/>
                <w:szCs w:val="20"/>
                <w:color w:val="auto"/>
              </w:rPr>
            </w:pPr>
            <w:r>
              <w:rPr>
                <w:rFonts w:ascii="Arial" w:cs="Arial" w:eastAsia="Arial" w:hAnsi="Arial"/>
                <w:sz w:val="14"/>
                <w:szCs w:val="14"/>
                <w:b w:val="1"/>
                <w:bCs w:val="1"/>
                <w:color w:val="auto"/>
              </w:rPr>
              <w:t>April 3,</w:t>
            </w:r>
          </w:p>
        </w:tc>
        <w:tc>
          <w:tcPr>
            <w:tcW w:w="320" w:type="dxa"/>
            <w:vAlign w:val="bottom"/>
          </w:tcPr>
          <w:p>
            <w:pPr>
              <w:spacing w:after="0"/>
              <w:rPr>
                <w:sz w:val="13"/>
                <w:szCs w:val="13"/>
                <w:color w:val="auto"/>
              </w:rPr>
            </w:pPr>
          </w:p>
        </w:tc>
        <w:tc>
          <w:tcPr>
            <w:tcW w:w="1020" w:type="dxa"/>
            <w:vAlign w:val="bottom"/>
          </w:tcPr>
          <w:p>
            <w:pPr>
              <w:jc w:val="right"/>
              <w:ind w:right="143"/>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r>
      <w:tr>
        <w:trPr>
          <w:trHeight w:val="192"/>
        </w:trPr>
        <w:tc>
          <w:tcPr>
            <w:tcW w:w="5020" w:type="dxa"/>
            <w:vAlign w:val="bottom"/>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223"/>
        </w:trPr>
        <w:tc>
          <w:tcPr>
            <w:tcW w:w="5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i w:val="1"/>
                <w:iCs w:val="1"/>
                <w:color w:val="auto"/>
              </w:rPr>
              <w:t>($ in millions)</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5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02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(231)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29</w:t>
            </w:r>
          </w:p>
        </w:tc>
        <w:tc>
          <w:tcPr>
            <w:tcW w:w="540" w:type="dxa"/>
            <w:vAlign w:val="bottom"/>
          </w:tcPr>
          <w:p>
            <w:pPr>
              <w:spacing w:after="0"/>
              <w:rPr>
                <w:sz w:val="19"/>
                <w:szCs w:val="19"/>
                <w:color w:val="auto"/>
              </w:rPr>
            </w:pPr>
          </w:p>
        </w:tc>
        <w:tc>
          <w:tcPr>
            <w:tcW w:w="1220" w:type="dxa"/>
            <w:vAlign w:val="bottom"/>
          </w:tcPr>
          <w:p>
            <w:pPr>
              <w:jc w:val="right"/>
              <w:ind w:right="14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184"/>
              <w:spacing w:after="0"/>
              <w:rPr>
                <w:sz w:val="20"/>
                <w:szCs w:val="20"/>
                <w:color w:val="auto"/>
              </w:rPr>
            </w:pPr>
            <w:r>
              <w:rPr>
                <w:rFonts w:ascii="Arial" w:cs="Arial" w:eastAsia="Arial" w:hAnsi="Arial"/>
                <w:sz w:val="16"/>
                <w:szCs w:val="16"/>
                <w:color w:val="auto"/>
              </w:rPr>
              <w:t>167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744</w:t>
            </w:r>
          </w:p>
        </w:tc>
        <w:tc>
          <w:tcPr>
            <w:tcW w:w="200" w:type="dxa"/>
            <w:vAlign w:val="bottom"/>
          </w:tcPr>
          <w:p>
            <w:pPr>
              <w:spacing w:after="0"/>
              <w:rPr>
                <w:sz w:val="19"/>
                <w:szCs w:val="19"/>
                <w:color w:val="auto"/>
              </w:rPr>
            </w:pPr>
          </w:p>
        </w:tc>
      </w:tr>
      <w:tr>
        <w:trPr>
          <w:trHeight w:val="33"/>
        </w:trPr>
        <w:tc>
          <w:tcPr>
            <w:tcW w:w="5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8"/>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primary drivers of the difference between the effective tax rate for the three and nine months ended April 3, 2020 and the U.S. Federal statutory rate of 21% are the relative mix of earnings and losses by jurisdiction, the deduction for foreign derived intangible income, credits and tax holidays in Malaysia, Philippines and Thailand that will expire at various dates during fiscal years 2021 through 2030. In addition, the effective tax rate for the nine months ended April 3, 2020 includes the discrete effect of a de-recognition of $31 million for certain deferred tax assets associated with creditable foreign withholding taxes due to the issuance of final regulatory guidance. The regulatory guidance does not preclude us from potentially claiming these creditable taxes as a period benefit when paid.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primary driver of the difference between the effective tax rate for the three and nine months ended March 29, 2019 and the U.S. Federal statutory rate of 21% is the discrete effect of the finalization of the accounting for the tax effects of the enactment of the 2017 Act. For the three months ended March 29, 2019, these discrete effects consist of income tax benefits of $71 million related to the mandatory deemed repatriation. For the nine months ended March 29, 2019, these discrete effects consist of $107 million related to the mandatory deemed repatriation tax and $152 million related to the decision to change our indefinite reinvestment assertion. For both periods, the remaining difference is attributable primarily to an increase in the estimated effective tax rate due to changes in the relative mix of earnings by jurisdiction, partially offset by credits and tax holidays.</w:t>
      </w:r>
    </w:p>
    <w:p>
      <w:pPr>
        <w:spacing w:after="0" w:line="191" w:lineRule="exact"/>
        <w:rPr>
          <w:sz w:val="20"/>
          <w:szCs w:val="20"/>
          <w:color w:val="auto"/>
        </w:rPr>
      </w:pPr>
    </w:p>
    <w:p>
      <w:pPr>
        <w:ind w:right="980" w:firstLine="324"/>
        <w:spacing w:after="0" w:line="342" w:lineRule="auto"/>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5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(benefit), see Part I, Item 1,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360" w:type="dxa"/>
            <w:vAlign w:val="bottom"/>
          </w:tcPr>
          <w:p>
            <w:pPr>
              <w:spacing w:after="0"/>
              <w:rPr>
                <w:sz w:val="13"/>
                <w:szCs w:val="13"/>
                <w:color w:val="auto"/>
              </w:rPr>
            </w:pPr>
          </w:p>
        </w:tc>
        <w:tc>
          <w:tcPr>
            <w:tcW w:w="108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4"/>
        </w:trPr>
        <w:tc>
          <w:tcPr>
            <w:tcW w:w="826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1,378</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(1,042)</w:t>
            </w:r>
          </w:p>
        </w:tc>
      </w:tr>
      <w:tr>
        <w:trPr>
          <w:trHeight w:val="223"/>
        </w:trPr>
        <w:tc>
          <w:tcPr>
            <w:tcW w:w="8260" w:type="dxa"/>
            <w:vAlign w:val="bottom"/>
          </w:tcPr>
          <w:p>
            <w:pPr>
              <w:ind w:left="1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9"/>
                <w:szCs w:val="19"/>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(1,657)</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r>
      <w:tr>
        <w:trPr>
          <w:trHeight w:val="247"/>
        </w:trPr>
        <w:tc>
          <w:tcPr>
            <w:tcW w:w="826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(1,323)</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w:t>
      </w:r>
    </w:p>
    <w:p>
      <w:pPr>
        <w:spacing w:after="0" w:line="21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During fiscal 2020, we expect expenditures for property, plant and equipment for our company plus our portion of the capital expenditures by our Flash Ventures joint venture with Kioxia for its operations to aggregate approximately $1.7 billion. After consideration of the Flash Ventures’ lease financing of its capital expenditures and cash flow from operations, we expect the Flash Ventures to continue to return cash to our company through net payments on our notes receivable during the remainder of fiscal 2020. As such, we expect net cash used for our purchases of property, plant and equipment and net activity in notes receivable relating to Flash Ventures to be a cash inflow of approximately $250 million. The total expected cash to be used could vary depending on the timing and completion of various capital projects and the availability, timing and terms of related financing</w:t>
      </w:r>
      <w:r>
        <w:rPr>
          <w:rFonts w:ascii="Arial" w:cs="Arial" w:eastAsia="Arial" w:hAnsi="Arial"/>
          <w:sz w:val="16"/>
          <w:szCs w:val="16"/>
          <w:u w:val="single" w:color="auto"/>
          <w:color w:val="7030A0"/>
        </w:rPr>
        <w:t>.</w:t>
      </w:r>
    </w:p>
    <w:p>
      <w:pPr>
        <w:spacing w:after="0" w:line="19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During fiscal 2019, we made the determination that it was our intention to repatriate all of our foreign undistributed earnings as a result of the 2017 Act</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 portion of our foreign undistributed earnings, which could result in additional federal taxes based on interpretive guidance issued by the IRS. After consideration of this interpretative guidance affecting the taxation of a certain portion of our foreign undistributed earnings, we made the determination that we do not intend to repatriate this portion of our foreign undistributed earnings and did not establish an accrual for this liability.</w:t>
      </w:r>
    </w:p>
    <w:p>
      <w:pPr>
        <w:spacing w:after="0" w:line="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total of $2.14 billion and $2.37 billion of our Cash and cash equivalents was held outside of the U.S. as of April 3, 2020 and June 28, 2019, respectively. As a result of the change in our permanent reinvestment assertion, there are no material tax consequences that were not previously accrued for on the repatriation of this cash.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$331 million for the nine months ended April 3, 2020, as compared to $7 million of net cash used for changes in operating assets and liabilities for the nine months ended March 29, 2019.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23495</wp:posOffset>
            </wp:positionV>
            <wp:extent cx="1868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980" w:type="dxa"/>
            <w:vAlign w:val="bottom"/>
          </w:tcPr>
          <w:p>
            <w:pPr>
              <w:ind w:left="480"/>
              <w:spacing w:after="0"/>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9280" w:type="dxa"/>
            <w:vAlign w:val="bottom"/>
            <w:gridSpan w:val="2"/>
          </w:tcPr>
          <w:p>
            <w:pPr>
              <w:ind w:left="886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196"/>
        </w:trPr>
        <w:tc>
          <w:tcPr>
            <w:tcW w:w="83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i w:val="1"/>
                <w:iCs w:val="1"/>
                <w:color w:val="auto"/>
              </w:rPr>
              <w:t>(in days)</w:t>
            </w:r>
          </w:p>
        </w:tc>
        <w:tc>
          <w:tcPr>
            <w:tcW w:w="1120" w:type="dxa"/>
            <w:vAlign w:val="bottom"/>
            <w:tcBorders>
              <w:top w:val="single" w:sz="8" w:color="auto"/>
            </w:tcBorders>
          </w:tcPr>
          <w:p>
            <w:pPr>
              <w:spacing w:after="0"/>
              <w:rPr>
                <w:sz w:val="17"/>
                <w:szCs w:val="17"/>
                <w:color w:val="auto"/>
              </w:rPr>
            </w:pPr>
          </w:p>
        </w:tc>
      </w:tr>
      <w:tr>
        <w:trPr>
          <w:trHeight w:val="242"/>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w:t>
            </w:r>
          </w:p>
        </w:tc>
      </w:tr>
      <w:tr>
        <w:trPr>
          <w:trHeight w:val="224"/>
        </w:trPr>
        <w:tc>
          <w:tcPr>
            <w:tcW w:w="928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101</w:t>
            </w:r>
          </w:p>
        </w:tc>
      </w:tr>
      <w:tr>
        <w:trPr>
          <w:trHeight w:val="33"/>
        </w:trPr>
        <w:tc>
          <w:tcPr>
            <w:tcW w:w="8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r>
      <w:tr>
        <w:trPr>
          <w:trHeight w:val="247"/>
        </w:trPr>
        <w:tc>
          <w:tcPr>
            <w:tcW w:w="8300" w:type="dxa"/>
            <w:vAlign w:val="bottom"/>
          </w:tcPr>
          <w:p>
            <w:pPr>
              <w:ind w:left="20"/>
              <w:spacing w:after="0"/>
              <w:rPr>
                <w:sz w:val="20"/>
                <w:szCs w:val="20"/>
                <w:color w:val="auto"/>
              </w:rPr>
            </w:pPr>
            <w:r>
              <w:rPr>
                <w:rFonts w:ascii="Arial" w:cs="Arial" w:eastAsia="Arial" w:hAnsi="Arial"/>
                <w:sz w:val="16"/>
                <w:szCs w:val="16"/>
                <w:color w:val="auto"/>
              </w:rPr>
              <w:t>Cash conversion cycle</w:t>
            </w:r>
          </w:p>
        </w:tc>
        <w:tc>
          <w:tcPr>
            <w:tcW w:w="9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76</w:t>
            </w:r>
          </w:p>
        </w:tc>
      </w:tr>
      <w:tr>
        <w:trPr>
          <w:trHeight w:val="23"/>
        </w:trPr>
        <w:tc>
          <w:tcPr>
            <w:tcW w:w="8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Changes in days sales outstanding (“DSO”) are generally due to the linearity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For the three months ended April 3, 2020, DSO increased by 13 days over the prior year, primarily reflecting lower factoring of receivables and the timing of shipments and customer collections. We have seen no significant deterioration in our receivables as a result of COVID-19. DIO decreased by 12 days over the prior year, reflecting higher stocking levels of HDD inventory in the prior year in response to the plant closure in Kuala Lumpur. DPO increased by 8 days over the prior year, primarily reflecting resumptions of normal flash production volumes as well as routine variations in the timing of purchases and payments during the period.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cash provided by investing activities for the nine months ended April 3, 2020 primarily consisted of a $627 million net decrease in notes receivable issuances to Flash Ventures, partially offset by $432 million of capital expenditures and $22 million for acquisitions. Net cash used in investing activities for the nine months ended March 29, 2019 primarily consisted of $722 million of capital expenditures and a net $288 million increase in notes receivable issuances to Flash Ventures to fund its capital expansion.</w:t>
      </w:r>
    </w:p>
    <w:p>
      <w:pPr>
        <w:spacing w:after="0" w:line="21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nine months ended April 3, 2020, net cash used in financing activities primarily consisted of $919 million for repayment of debt,</w:t>
      </w:r>
    </w:p>
    <w:p>
      <w:pPr>
        <w:spacing w:after="0" w:line="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$445 million to pay dividends on our common stock and $69 million for taxes paid on vested stock awards under employee stock plans, partially offset by $79 million of proceeds from the issuance of stock under our employee stock plans. Net cash used in financing activities for the nine months ended March 29, 2019 primarily consisted of $613 million for the repayment of our revolving credit facility and other debt, $563 million for share repurchases, $438 million to pay dividends on our common stock and $109 million for taxes paid on vested stock awards under employee stock plans, partially offset by $66 million of proceeds from the issuance of stock under our employee stock plans. We are suspending our dividend to reinvest in the business and to support our ongoing deleveraging efforts. We will reevaluate our dividend policy as our leverage ratio improves.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 Item 1, Note 9, </w:t>
      </w:r>
      <w:r>
        <w:rPr>
          <w:rFonts w:ascii="Arial" w:cs="Arial" w:eastAsia="Arial" w:hAnsi="Arial"/>
          <w:sz w:val="16"/>
          <w:szCs w:val="16"/>
          <w:i w:val="1"/>
          <w:iCs w:val="1"/>
          <w:color w:val="auto"/>
        </w:rPr>
        <w:t>Related Parties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April 3,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Remaining three</w:t>
            </w:r>
          </w:p>
        </w:tc>
        <w:tc>
          <w:tcPr>
            <w:tcW w:w="160" w:type="dxa"/>
            <w:vAlign w:val="bottom"/>
          </w:tcPr>
          <w:p>
            <w:pPr>
              <w:spacing w:after="0"/>
              <w:rPr>
                <w:sz w:val="14"/>
                <w:szCs w:val="14"/>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2021-2022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2023-2024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Beyond 2024</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months of 2020</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9,774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6,874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Interest on debt</w:t>
            </w:r>
          </w:p>
        </w:tc>
        <w:tc>
          <w:tcPr>
            <w:tcW w:w="26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5,977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6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Mandatory Deemed Repatriation Tax</w:t>
            </w:r>
          </w:p>
        </w:tc>
        <w:tc>
          <w:tcPr>
            <w:tcW w:w="26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21,704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5,951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9,666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772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3"/>
          <w:szCs w:val="23"/>
          <w:color w:val="auto"/>
          <w:vertAlign w:val="superscript"/>
        </w:rPr>
      </w:pPr>
    </w:p>
    <w:p>
      <w:pPr>
        <w:ind w:left="340" w:right="440" w:hanging="332"/>
        <w:spacing w:after="0" w:line="24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addition to our existing debt, we have $2.25 billion available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Condensed Consolidated Financial Statements in this Quarterly Report on Form 10-Q and in Part II, Item 8,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Consolidated Financial Statements included in our Annual Report on Form 10-K for the fiscal year ended June 28, 2019. The credit agreement governing our revolving credit facility and Term Loan A-1 requires us to comply with certain financial covenants, consisting of a leverage ratio and an interest coverage ratio. As of April 3, 2020, we were in compliance with these financial covenants.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April 3, 2020, we were in compliance with all covenants under these Japanese lease facilities. See Part I, Item 1, Note 9,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Condensed Consolidated Financial Statements included in this Quarterly Report on Form 10-Q for information regarding Flash Ventures.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April 3,</w:t>
            </w:r>
          </w:p>
        </w:tc>
      </w:tr>
      <w:tr>
        <w:trPr>
          <w:trHeight w:val="192"/>
        </w:trPr>
        <w:tc>
          <w:tcPr>
            <w:tcW w:w="9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3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three months of 2020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99</w:t>
            </w:r>
          </w:p>
        </w:tc>
      </w:tr>
      <w:tr>
        <w:trPr>
          <w:trHeight w:val="33"/>
        </w:trPr>
        <w:tc>
          <w:tcPr>
            <w:tcW w:w="9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99</w:t>
            </w:r>
          </w:p>
        </w:tc>
      </w:tr>
      <w:tr>
        <w:trPr>
          <w:trHeight w:val="33"/>
        </w:trPr>
        <w:tc>
          <w:tcPr>
            <w:tcW w:w="9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186</w:t>
            </w:r>
          </w:p>
        </w:tc>
      </w:tr>
      <w:tr>
        <w:trPr>
          <w:trHeight w:val="223"/>
        </w:trPr>
        <w:tc>
          <w:tcPr>
            <w:tcW w:w="9800" w:type="dxa"/>
            <w:vAlign w:val="bottom"/>
          </w:tcPr>
          <w:p>
            <w:pPr>
              <w:ind w:left="20"/>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247</w:t>
            </w:r>
          </w:p>
        </w:tc>
      </w:tr>
      <w:tr>
        <w:trPr>
          <w:trHeight w:val="33"/>
        </w:trPr>
        <w:tc>
          <w:tcPr>
            <w:tcW w:w="9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309</w:t>
            </w:r>
          </w:p>
        </w:tc>
      </w:tr>
      <w:tr>
        <w:trPr>
          <w:trHeight w:val="247"/>
        </w:trPr>
        <w:tc>
          <w:tcPr>
            <w:tcW w:w="9800" w:type="dxa"/>
            <w:vAlign w:val="bottom"/>
          </w:tcPr>
          <w:p>
            <w:pPr>
              <w:ind w:left="1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1,039</w:t>
            </w:r>
          </w:p>
        </w:tc>
      </w:tr>
      <w:tr>
        <w:trPr>
          <w:trHeight w:val="24"/>
        </w:trPr>
        <w:tc>
          <w:tcPr>
            <w:tcW w:w="9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 xml:space="preserve">For additional information regarding our estimate of the total tax liability for the mandatory deemed repatriation tax, see Part II, Item 8,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our Annual Report on Form 10-K for the fiscal year ended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5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April 3, 2020, the liability for unrecognized tax benefits (excluding accrued interest and penalties) was approximately $710 million. Accrued interest and penalties related to unrecognized tax benefits as of April 3, 2020 was approximately $136 million. Of these amounts, approximately $716 million could result in potential cash payments. We are not able to provide a reasonable estimate of the timing of future tax payments related to these obligations.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generally held a balance of fixed and variable rate debt. At April 3, 2020, we had $6.34 billion of variable rate debt, comprising 65%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$4.34 billion of Long-term debt subject to variations in interest rates and a one percent increase in the variable rate of interest would increase annual expense by $43 million.</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6,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10-Q.</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0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Board of Directors has authorized a stock repurchase program for the repurchase of up to $5.0 billion of our common stock, which authorization is effective through July 25, 2023. For the nine months ended April 3, 2020, we did not make any stock repurchases. The remaining amount available to be repurchased under our current stock repurchase program as of April 3, 2020 was $4.5 billion. Repurchases under the stock repurchase program may be made in the open market or in privately negotiated transactions and may be made under a Rule 10b5-1 plan.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Since the first quarter of 2013, we have issued a quarterly cash dividend. During the nine months ended April 3, 2020, we declared aggregate cash dividends of $1.50 per share on our outstanding common stock totaling $448 million, of which $150 million was paid on April 17, 2020. We are suspending our dividend to reinvest in the business and to support our ongoing deleveraging efforts. We will reevaluate our dividend policy as our leverage ratio improves.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215" w:lineRule="exact"/>
        <w:rPr>
          <w:sz w:val="20"/>
          <w:szCs w:val="20"/>
          <w:color w:val="auto"/>
        </w:rPr>
      </w:pPr>
    </w:p>
    <w:p>
      <w:pPr>
        <w:ind w:right="100" w:firstLine="324"/>
        <w:spacing w:after="0" w:line="219" w:lineRule="exact"/>
        <w:rPr>
          <w:sz w:val="20"/>
          <w:szCs w:val="20"/>
          <w:color w:val="auto"/>
        </w:rPr>
      </w:pPr>
      <w:r>
        <w:rPr>
          <w:rFonts w:ascii="Arial" w:cs="Arial" w:eastAsia="Arial" w:hAnsi="Arial"/>
          <w:sz w:val="18"/>
          <w:szCs w:val="18"/>
          <w:color w:val="auto"/>
        </w:rPr>
        <w:t xml:space="preserve">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 for a discussion of a recently adopted accounting pronouncement that affects our accounting for lease obligations. There have been no other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28, 2019.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28, 2019 for a discussion of our critical accounting policies and estimates.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0" w:lineRule="exact"/>
        <w:rPr>
          <w:sz w:val="20"/>
          <w:szCs w:val="20"/>
          <w:color w:val="auto"/>
        </w:rPr>
      </w:pPr>
    </w:p>
    <w:p>
      <w:pPr>
        <w:spacing w:after="0" w:line="29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There have been no material changes t</w:t>
      </w:r>
      <w:r>
        <w:rPr>
          <w:rFonts w:ascii="Arial" w:cs="Arial" w:eastAsia="Arial" w:hAnsi="Arial"/>
          <w:sz w:val="18"/>
          <w:szCs w:val="18"/>
          <w:color w:val="212529"/>
        </w:rPr>
        <w:t>o our market risk during the nine months ended</w:t>
      </w:r>
      <w:r>
        <w:rPr>
          <w:rFonts w:ascii="Arial" w:cs="Arial" w:eastAsia="Arial" w:hAnsi="Arial"/>
          <w:sz w:val="18"/>
          <w:szCs w:val="18"/>
          <w:color w:val="auto"/>
        </w:rPr>
        <w:t xml:space="preserve"> April 3, 2020</w:t>
      </w:r>
      <w:r>
        <w:rPr>
          <w:rFonts w:ascii="Arial" w:cs="Arial" w:eastAsia="Arial" w:hAnsi="Arial"/>
          <w:sz w:val="18"/>
          <w:szCs w:val="18"/>
          <w:color w:val="212529"/>
        </w:rPr>
        <w:t>. For a discussion of our exposure to market risk,</w:t>
      </w:r>
      <w:r>
        <w:rPr>
          <w:rFonts w:ascii="Arial" w:cs="Arial" w:eastAsia="Arial" w:hAnsi="Arial"/>
          <w:sz w:val="18"/>
          <w:szCs w:val="18"/>
          <w:color w:val="auto"/>
        </w:rPr>
        <w:t xml:space="preserve"> </w:t>
      </w:r>
      <w:r>
        <w:rPr>
          <w:rFonts w:ascii="Arial" w:cs="Arial" w:eastAsia="Arial" w:hAnsi="Arial"/>
          <w:sz w:val="18"/>
          <w:szCs w:val="18"/>
          <w:color w:val="212529"/>
        </w:rPr>
        <w:t>see Part II, Item 7A, “Quantitative and Qualitative Disclosures About Market Risk” in our Annual Report on Form 10-K for the fiscal year ended June 28,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right="140" w:firstLine="324"/>
        <w:spacing w:after="0" w:line="296"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represent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recent COVID-19 pandemic could adversely affect our business, results of operations and financial condition.</w:t>
      </w:r>
    </w:p>
    <w:p>
      <w:pPr>
        <w:spacing w:after="0" w:line="239"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The COVID-19 pandemic and efforts to control its spread have impacted and will continue to impact our workforce and operations, and those of our strategic partners, customers, suppliers and logistics providers. These impacts have included and may include under-absorbed overhead, increased logistics and other costs and decreased product output. While our manufacturing facilities and those used by Flash Ventures are all currently operational, in some cases with exemptions from government restrictions, this is subject to change based on evolving conditions related to the pandemic.</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the pandemic are uncertain and difficult to predict, but may include:</w:t>
      </w:r>
    </w:p>
    <w:p>
      <w:pPr>
        <w:spacing w:after="0" w:line="266" w:lineRule="exact"/>
        <w:rPr>
          <w:sz w:val="20"/>
          <w:szCs w:val="20"/>
          <w:color w:val="auto"/>
        </w:rPr>
      </w:pPr>
    </w:p>
    <w:p>
      <w:pPr>
        <w:ind w:left="660" w:right="2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Further disruptions to our supply chain, our operations or those of our strategic partners, customers or suppliers caused by employees or others contracting COVID-19, or governmental orders to contain the spread of COVID-19 such as travel restrictions, quarantines, shelter in place orders, trade controls, and business shutdowns;</w:t>
      </w:r>
    </w:p>
    <w:p>
      <w:pPr>
        <w:spacing w:after="0" w:line="220" w:lineRule="exact"/>
        <w:rPr>
          <w:rFonts w:ascii="Arial" w:cs="Arial" w:eastAsia="Arial" w:hAnsi="Arial"/>
          <w:sz w:val="20"/>
          <w:szCs w:val="20"/>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global economic downturn or a recession causing a decrease in short- or long-term demand for our products, resulting in industry oversupply and decreases of average selling prices (“ASPs”), which would impact our profitability;</w:t>
      </w:r>
    </w:p>
    <w:p>
      <w:pPr>
        <w:spacing w:after="0" w:line="197"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Deterioration of worldwide credit markets that may limit our ability or increase our cost to obtain external financing to fund our operations and capital expenditures and result in a higher rate of losses on our accounts receivables due to customer credit defaults;</w:t>
      </w:r>
    </w:p>
    <w:p>
      <w:pPr>
        <w:spacing w:after="0" w:line="186" w:lineRule="exact"/>
        <w:rPr>
          <w:rFonts w:ascii="Arial" w:cs="Arial" w:eastAsia="Arial" w:hAnsi="Arial"/>
          <w:sz w:val="17"/>
          <w:szCs w:val="17"/>
          <w:color w:val="auto"/>
        </w:rPr>
      </w:pPr>
    </w:p>
    <w:p>
      <w:pPr>
        <w:ind w:left="660" w:right="40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Extreme volatility in financial markets which has and may continue to adversely impact our stock price and our ability to access the financial markets on acceptable terms;</w:t>
      </w:r>
    </w:p>
    <w:p>
      <w:pPr>
        <w:spacing w:after="0" w:line="219" w:lineRule="exact"/>
        <w:rPr>
          <w:rFonts w:ascii="Arial" w:cs="Arial" w:eastAsia="Arial" w:hAnsi="Arial"/>
          <w:sz w:val="20"/>
          <w:szCs w:val="20"/>
          <w:color w:val="auto"/>
        </w:rPr>
      </w:pPr>
    </w:p>
    <w:p>
      <w:pPr>
        <w:ind w:left="6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data security and technology risk as many employees transition to work from home arrangements, including possible outages to systems and technologies critical to remote work and increased data privacy risk with cybercriminals attempting to take advantage of the disruption;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Management’s ongoing commitment of significant time, attention and resources to respond to the pandemic.</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degree to which the pandemic ultimately impacts our business and results of operations will depend on future developments beyond our control which are highly uncertain and cannot be predicted at this time, including the severity and duration of the pandemic, the extent of actions to contain or treat COVID-19, the effectiveness of government stimulus programs, any possible resurgence of COVID-19 that may occur after the initial outbreak subsides, how quickly and to what extent normal economic and operating activity can resume, and the severity and duration of the global economic downturn that results from the pandemic. To the extent the COVID-19 pandemic adversely affects our business and financial results, it may also have the effect of heightening many of the other risks described in more detail in this “Risk Factors” section, such as those relating to adverse global or regional conditions, our highly competitive industry, supply chain disruption, demand conditions and our ability to forecast demand, cost saving initiatives, our indebtedness and liquidity, and cyber attacks.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 results of operations and financial condition.</w:t>
      </w:r>
    </w:p>
    <w:p>
      <w:pPr>
        <w:spacing w:after="0" w:line="25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A large portion of our revenue is derived from our international operations, and many of our products and components are produced overseas. As a result, our business, results of operations and financial condition depend significantly on global and regional conditions. Adverse changes in global or regional economic conditions, including, but not limited to, volatility in the financial markets, tighter credit, slower growth in certain geographic regions, political uncertainty, other macroeconomic factors, and changes to social conditions, policies, rules and regulations, could significantly harm demand for our products, increase credit and collectability risks, result in revenue reductions, cause us to change our business practices, increase manufacturing and operating costs or result in impairment charges or other expenses.</w:t>
      </w:r>
    </w:p>
    <w:p>
      <w:pPr>
        <w:spacing w:after="0" w:line="20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revenue and future growth are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211" w:lineRule="exact"/>
        <w:rPr>
          <w:sz w:val="20"/>
          <w:szCs w:val="20"/>
          <w:color w:val="auto"/>
        </w:rPr>
      </w:pPr>
    </w:p>
    <w:p>
      <w:pPr>
        <w:ind w:left="660" w:right="8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 compliance with foreign laws and regulations and changes in foreign laws and regulations;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5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embargoes, sanctions, license and certification requirements (including semiconductor, encryption and other technology), new or increased tariffs and fees and complex customs regulations;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252"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We rely substantially on our business ventures with Kioxia for the development and supply of flash-based memory, which subjects us to risks and uncertainties that could harm our business, financial condition and operating results.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depend on our ventures with Kioxia to develop and manufacture our flash-based memory. We partner with Kioxia on the development of flash-based technology, including future generations of 3D NAND,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21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On the other hand, if we under-invest in Flash Ventures or otherwise grow or transition Flash Ventures’ capacity more slowly than we expect or than the rest of the industry, we may not have enough supply of the right type of memory or at all to meet demand on a timely and cost effective basis and we may lose opportunities for revenue, gross margin and market share as a result. If our supply is limited, we may make strategic decisions with respect to the allocation of our supply among our products and customers, and these strategic allocation decisions may result in less favorable gross margin or damage certain customer relationships. We are contractually obligated to pay for 50% of the fixed costs of Flash Ventures regardless of whether we purchase any wafers from Flash Ventures. Furthermore, purchase orders placed with Flash Ventures and under the foundry arrangements with Kioxia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Under the Flash Ventures agreements, we have limited power to unilaterally direct most of the activities that most significantly impact Flash Ventures’ performance and we have limited ability to source or fabricate flash-based memory outside of Flash Ventures. Lack of alignment with Kioxia with respect to Flash Ventures could adversely impact our ability to stay at the forefront of technological advancement and our investment in Flash Ventures and otherwise harm our business. Misalignment could arise due to changes in Kioxia’s strategic priorities, management and/or ownership, which has changed significantly recently and could continue to change. Kioxia’s stakeholders may include, or have included in the past, flash and HDD competitors, customers, a private equity firm and a bank owned by the Government of Japan. Kioxia’s management changes, ownership and capital structure could lead to delays in decision-making, disputes, or changes in strategic direction that could adversely impact Flash Ventures and/or adversely affect our business prospects, results of operations and financial condition. There may exist conflicts of interest between Kioxia’s stakeholders and Flash Ventures or us with respect to, among other things, protecting and growing Flash Ventures’ business, IP and competitively sensitive confidential information.</w:t>
      </w:r>
    </w:p>
    <w:p>
      <w:pPr>
        <w:spacing w:after="0" w:line="19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Flash Ventures requires significant investments by both Kioxia and us for technology transitions, including the transition to 3D NAND, and capacity expansions. In May 2019, Kioxia’s parent company, Kioxia Holdings Corporation (“KHC”), announced new financing in the amount of 1.2 trillion Japanese yen. KHC’s financing agreements and/or its high level of debt could limit Kioxia’s ability to timely fund or finance investments in Flash Ventures or our joint development efforts, as well as limit Flash Ventures’ ability to enter into lease financings. Availability of lease financings for Flash Ventures could also be limited by our and/or Kioxia’s financial performance. To the extent that lease financings for Flash Ventures are not accessible on favorable terms or at all, more cash would be required to fund investments. If Kioxia does not or we do not provide sufficient resources, or have adequate access to credit, to timely fund investments in Flash Ventures, our investments could be delayed or reduced. Delayed or reduced investment in manufacturing capacity or R&amp;D could harm Flash Ventures’ competitiveness and/or our investment in Flash Ventures. In addition, KHC’s financing arrangements might be secured by Kioxia’s equity interests in Flash Ventures, permitting the lenders to foreclose on those equity interests under certain circumstances.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May 2019, we entered into definitive agreements with Kioxia regarding a new 3D NAND wafer fabrication facility in Kitakami, Iwate, Japan, known as “K1.” Under the K1 agreement, we agreed to, among other things, fund 50% of K1’s initial production line. Output from the initial production line, which began in the third quarter of fiscal year 2020, could be delayed, reduced or otherwise fail to meet our expectations. As K1 is located at a new manufacturing site, K1 could be particularly susceptible to delays and other challenges in the production ramp and yields, qualification of wafers, shipment of samples to customers and customer approval process. Further, although we intend to continue to jointly invest with Kioxia to ramp up manufacturing capacity at K1, there is no certainty as to when, and on what terms, we will do so. If and for so long as our share of the K1 capacity falls below a specified threshold, we will be responsible for bearing fixed costs associated with K1’s operations at that threshold, which could adversely affect our financial results.</w:t>
      </w:r>
    </w:p>
    <w:p>
      <w:pPr>
        <w:spacing w:after="0" w:line="219" w:lineRule="exact"/>
        <w:rPr>
          <w:sz w:val="20"/>
          <w:szCs w:val="20"/>
          <w:color w:val="auto"/>
        </w:rPr>
      </w:pPr>
    </w:p>
    <w:p>
      <w:pPr>
        <w:ind w:right="420" w:firstLine="162"/>
        <w:spacing w:after="0" w:line="308" w:lineRule="auto"/>
        <w:rPr>
          <w:sz w:val="20"/>
          <w:szCs w:val="20"/>
          <w:color w:val="auto"/>
        </w:rPr>
      </w:pPr>
      <w:r>
        <w:rPr>
          <w:rFonts w:ascii="Arial" w:cs="Arial" w:eastAsia="Arial" w:hAnsi="Arial"/>
          <w:sz w:val="17"/>
          <w:szCs w:val="17"/>
          <w:b w:val="1"/>
          <w:bCs w:val="1"/>
          <w:i w:val="1"/>
          <w:iCs w:val="1"/>
          <w:color w:val="auto"/>
        </w:rPr>
        <w:t>We participate in a highly competitive industry that is subject to declining average selling prices (“ASPs”), volatile demand, rapid technological change and industry consolidation, all of which could adversely affect our operating results and financial condition.</w:t>
      </w:r>
    </w:p>
    <w:p>
      <w:pPr>
        <w:spacing w:after="0" w:line="17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adversely affect our ability to recover the cost of product development, and periods of excess capacity, which can lead to liquidation of excess inventories, significant reductions in ASPs and adverse impacts on our revenue and gross margins.</w:t>
      </w:r>
    </w:p>
    <w:p>
      <w:pPr>
        <w:spacing w:after="0" w:line="19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Further, our ASPs and gross margins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 Further consolidation across the industry could enhance the capacity, abilities and resources and lower the cost structure of some of our competitors, causing us to be at a competitive disadvantage. These factors may result in significant shifts in market share among the industry’s major participants, including a substantial decrease in our market share, all of which could adversely impact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addition, we compete based on our ability to offer our customers competitive solutions that provide the most current and desired products and service features. As we compete in new product areas, the overall complexity of our business may increase at an accelerated rate and may result in increases in R&amp;D expenses and substantial investments in manufacturing capability, technology enhancements and go-to-market capability. We must also qualify our products with customers through potentially lengthy testing processes, which may result in delayed, reduced or lost product sales. Some of our competitors offer products and technologies that we do not offer and may be able to use their broader product and technology portfolio to win sales from us, and some of our customers may be developing storage solutions internally, which may reduce their demand for our products. We expect that competition will continue to be intense, and there is a risk that our competitors may be able to gain a product offering or cost structure advantage over us, which may result in a loss of business to us. Further, some of our competitors may utilize certain pricing strategies, including offering products at prices at or below cost, that we may be unable to competitively match. We may also have difficulty effectively competing with manufacturers benefitting from governmental investments.</w:t>
      </w:r>
    </w:p>
    <w:p>
      <w:pPr>
        <w:spacing w:after="0" w:line="212"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19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storage markets in which we offer our products continuously undergo technology transitions that we must anticipate and adapt our existing products or develop new products to address in a timely manner. If we fail to implement new technologies successfully, if we are slower than our competitors at implementing new technologies, or if our technology transitions or product development are more costly to complete than anticipated, we may not be able to offer products our customers desire and our costs may not remain competitive, which would harm revenues, our gross margin and operating results.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success of our technology transitions and product development and introduction depends on a number of other factors, including:</w:t>
      </w:r>
    </w:p>
    <w:p>
      <w:pPr>
        <w:spacing w:after="0" w:line="26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5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and software associated with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Moving to new technologies and products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8"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Additionally, new technologies and products could substitute for or replace our current technologies and products and make them obsolete. We also develop products to meet certain industry and technical standards, which may change. We could incur substantial costs as a result of shifts in technology and standards, such as adopting new standards or investing in different capital equipment or manufacturing processes to remain competitive.</w:t>
      </w:r>
    </w:p>
    <w:p>
      <w:pPr>
        <w:spacing w:after="0" w:line="17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For additional technology transition risks related to Flash Ventures, see the risk factor entitled “</w:t>
      </w:r>
      <w:r>
        <w:rPr>
          <w:rFonts w:ascii="Arial" w:cs="Arial" w:eastAsia="Arial" w:hAnsi="Arial"/>
          <w:sz w:val="18"/>
          <w:szCs w:val="18"/>
          <w:i w:val="1"/>
          <w:iCs w:val="1"/>
          <w:color w:val="auto"/>
        </w:rPr>
        <w:t>We rely substantially on our business ventures with</w:t>
      </w:r>
      <w:r>
        <w:rPr>
          <w:rFonts w:ascii="Arial" w:cs="Arial" w:eastAsia="Arial" w:hAnsi="Arial"/>
          <w:sz w:val="18"/>
          <w:szCs w:val="18"/>
          <w:color w:val="auto"/>
        </w:rPr>
        <w:t xml:space="preserve"> </w:t>
      </w:r>
      <w:r>
        <w:rPr>
          <w:rFonts w:ascii="Arial" w:cs="Arial" w:eastAsia="Arial" w:hAnsi="Arial"/>
          <w:sz w:val="18"/>
          <w:szCs w:val="18"/>
          <w:i w:val="1"/>
          <w:iCs w:val="1"/>
          <w:color w:val="auto"/>
        </w:rPr>
        <w:t>Kioxia for the development and supply of flash-based memory, which subjects us to risks and uncertainties that could harm our business, financial condition and operating results.</w:t>
      </w:r>
      <w:r>
        <w:rPr>
          <w:rFonts w:ascii="Arial" w:cs="Arial" w:eastAsia="Arial" w:hAnsi="Arial"/>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6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Kioxia for flash-based memory development and manufacturing. These strategic relationships are subject to various risks that could adversely affect the value of our investments and our results of operations and financial condition. These risks include, but are not limited to, the following:</w:t>
      </w:r>
    </w:p>
    <w:p>
      <w:pPr>
        <w:spacing w:after="0" w:line="198" w:lineRule="exact"/>
        <w:rPr>
          <w:sz w:val="20"/>
          <w:szCs w:val="20"/>
          <w:color w:val="auto"/>
        </w:rPr>
      </w:pPr>
    </w:p>
    <w:p>
      <w:pPr>
        <w:ind w:left="660" w:right="1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5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197" w:lineRule="exact"/>
        <w:rPr>
          <w:rFonts w:ascii="Arial" w:cs="Arial" w:eastAsia="Arial" w:hAnsi="Arial"/>
          <w:sz w:val="18"/>
          <w:szCs w:val="18"/>
          <w:color w:val="auto"/>
        </w:rPr>
      </w:pPr>
    </w:p>
    <w:p>
      <w:pPr>
        <w:ind w:left="660" w:right="5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210"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50" w:lineRule="exact"/>
        <w:rPr>
          <w:rFonts w:ascii="Arial" w:cs="Arial" w:eastAsia="Arial" w:hAnsi="Arial"/>
          <w:sz w:val="16"/>
          <w:szCs w:val="16"/>
          <w:color w:val="auto"/>
        </w:rPr>
      </w:pPr>
    </w:p>
    <w:p>
      <w:pPr>
        <w:ind w:left="660" w:right="3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97"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b w:val="1"/>
          <w:bCs w:val="1"/>
          <w:i w:val="1"/>
          <w:iCs w:val="1"/>
          <w:color w:val="auto"/>
        </w:rPr>
        <w:t>We are dependent on a limited number of qualified suppliers who provide critical materials or components, and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p>
    <w:p>
      <w:pPr>
        <w:spacing w:after="0" w:line="19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depend on an external supply base for technologies, software (including firmware), preamps, controllers, DRAM,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meet our business needs including dedicating adequate engineering resources to develop components that can be successfully integrated into our products, technology and equipment.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suppliers have in the past been, and may in the future be, unable or unwilling to meet our requirements.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 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operating results.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When we do have contractual commitments with component suppliers in an effort to increase and stabilize the supply of those components, those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21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219"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9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fire, flood, earthquake, tsunami or other natural disaster, condition or event such as a power outage, terrorist attack, political instability, civil unrest, localized labor unrest or other employment issues, or a health epidemic that adversely affects any of these facilities, the employees, the technology infrastructure or logistics operators at these facilities, would significantly affect our ability to manufacture or sell our products and source components,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20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b w:val="1"/>
          <w:bCs w:val="1"/>
          <w:i w:val="1"/>
          <w:iCs w:val="1"/>
          <w:color w:val="auto"/>
        </w:rPr>
        <w:t>We experience sales seasonality and cyclicality, which could cause our operating results to fluctuate. In addition, accurately forecasting demand has become more difficult, which could adversely affect our business and financial results or operating efficiencies.</w:t>
      </w:r>
    </w:p>
    <w:p>
      <w:pPr>
        <w:spacing w:after="0" w:line="17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Sales of computer systems, mobile devices, storage subsystems, gaming consoles and consumer electronics tend to be seasonal and subject to supply-demand cycles, and therefore we expect to continue to experience seasonality and cyclicality in our business as we respond to variations in supply dynamics and customer demand. Changes in seasonal and cyclical supply and demand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actions by competitors, new product introductions and macroeconomic conditions.</w:t>
      </w:r>
    </w:p>
    <w:p>
      <w:pPr>
        <w:spacing w:after="0" w:line="193"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and industry consolidation, resulting in less availability of historical market data for certain product segments. Further, for many of our original equipment manufacturers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95"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197" w:lineRule="exact"/>
        <w:rPr>
          <w:sz w:val="20"/>
          <w:szCs w:val="20"/>
          <w:color w:val="auto"/>
        </w:rPr>
      </w:pPr>
    </w:p>
    <w:p>
      <w:pPr>
        <w:ind w:right="240"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Changes in our key management team can result in loss of continuity, loss of accumulated knowledge, departure of other key employees, disruptions to our operations and inefficiency during transitional periods. Global competition for skilled employees in the technology related industry is intense, and our business success becomes increasingly dependent on our ability to retain our key staff and skilled employees, to implement succession plans for our key management and staff, to attract, integrate and retain new skilled employees, including employees from acquisitions, and to make decisions to realign our business to take advantage of efficiencies or reduce redundancies.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versus other companies that may pay a relatively higher portion of base compensation. If we are unable to hire and retain key management, staff or skilled employees, our operating results would likely be harmed.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9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could result in inconsistencies in standards, controls, procedures and policies and may increase the risk that our internal controls are found to be ineffective.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196"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Any cost saving initiatives, restructurings or divestitures that we undertake may result in disruptions to our operations and may not deliver the results we expect, which may adversely affect our business.</w:t>
      </w:r>
    </w:p>
    <w:p>
      <w:pPr>
        <w:spacing w:after="0" w:line="19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From time to time, we engage in cost saving initiatives, restructurings and divestitures that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 If our operating costs are higher than we expect or if we do not maintain adequate control of our costs and expenses, our operating results could be adversely affected.</w:t>
      </w:r>
    </w:p>
    <w:p>
      <w:pPr>
        <w:spacing w:after="0" w:line="205"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adversely impact our liquidity, restrict our operations and ability to respond to business opportunities, and increase our vulnerability to adverse economic and industry conditions.</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April 3, 2020, our total indebtedness was $9.77 billion in aggregate principal, and we had $2.25 billion of additional borrowing availability under our revolving credit facility, subject to customary conditions under the credit agreement.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52" w:lineRule="exact"/>
        <w:rPr>
          <w:rFonts w:ascii="Arial" w:cs="Arial" w:eastAsia="Arial" w:hAnsi="Arial"/>
          <w:sz w:val="18"/>
          <w:szCs w:val="18"/>
          <w:color w:val="auto"/>
        </w:rPr>
      </w:pPr>
    </w:p>
    <w:p>
      <w:pPr>
        <w:ind w:left="660" w:right="30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 and</w:t>
      </w:r>
    </w:p>
    <w:p>
      <w:pPr>
        <w:spacing w:after="0" w:line="175" w:lineRule="exact"/>
        <w:rPr>
          <w:rFonts w:ascii="Arial" w:cs="Arial" w:eastAsia="Arial" w:hAnsi="Arial"/>
          <w:sz w:val="16"/>
          <w:szCs w:val="16"/>
          <w:color w:val="auto"/>
        </w:rPr>
      </w:pPr>
    </w:p>
    <w:p>
      <w:pPr>
        <w:ind w:left="660" w:right="7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9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19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credit agreement uses LIBOR as a reference rate for our term loans and revolving credit facility, such that the applicable interest rate may, at our option, be calculated based on LIBOR. In July 2017, the U.K.’s Financial Conduct Authority, which regulates LIBOR, announced that it intends to phase out LIBOR by the end of 2021. In April 2018, the Federal Reserve Bank of New York began publishing a Secured Overnight Funding Rate,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 In addition, replacing LIBOR with an alternative reference rate for any of our debt could be a taxable event.</w:t>
      </w:r>
    </w:p>
    <w:p>
      <w:pPr>
        <w:spacing w:after="0" w:line="20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which may dilute our existing shareholders, reduce the value of our common stock, or both.</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Our determination of our tax liability in the U.S. and other jurisdictions is subject to review by applicable domestic and foreign tax authorities. For example, as disclosed in Part I, Item 1,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of the Notes to Condensed Consolidated Financial Statements included in this Quarterly Report on Form 10-Q, we are under examination by the Internal Revenue Service for certain fiscal years and in connection with that examination, we received statutory notices of deficiency seeking certain adjustments to income and have filed petitions with the U.S. Tax Court.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9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1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adversely affected.</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During the nine months ended April 3, 2020, 44%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would likely harm our operating results and financial condition.</w:t>
      </w:r>
    </w:p>
    <w:p>
      <w:pPr>
        <w:spacing w:after="0" w:line="19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21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2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or loss of major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52"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successfully implement technology transitions or other technology developments, or other failure to reduce product costs to keep pace with reduction in ASPs;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costs due to warranty claims;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214" w:lineRule="exact"/>
        <w:rPr>
          <w:sz w:val="20"/>
          <w:szCs w:val="20"/>
          <w:color w:val="auto"/>
        </w:rPr>
      </w:pPr>
    </w:p>
    <w:p>
      <w:pPr>
        <w:ind w:right="54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design defects or sustain system failures, our operating results and financial condition could be adversely affected.</w:t>
      </w:r>
    </w:p>
    <w:p>
      <w:pPr>
        <w:spacing w:after="0" w:line="12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w:t>
      </w:r>
    </w:p>
    <w:p>
      <w:pPr>
        <w:spacing w:after="0" w:line="212"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6"/>
          <w:szCs w:val="16"/>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and indemnification claims and hurting our reputation.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9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We are subject to laws, rules, and regulations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b w:val="1"/>
          <w:bCs w:val="1"/>
          <w:color w:val="auto"/>
        </w:rPr>
        <w:t>.</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subject to laws, rules, and regulations relating to the collection, use, and security and privacy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Laws and regulations relating to the collection, use, and security and privacy of third-party data change over time and new laws and regulations become effective from time to time. For example, the California Consumer Privacy Act (“CCPA”), which became effective January 1, 2020, imposes new obligations on certain companies doing business in California with respect to the personal information of California residents. These obligations include new notice and privacy policy requirements, as well as new obligations to respond to requests to know and access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1" w:lineRule="exact"/>
        <w:rPr>
          <w:sz w:val="20"/>
          <w:szCs w:val="20"/>
          <w:color w:val="auto"/>
        </w:rPr>
      </w:pPr>
    </w:p>
    <w:p>
      <w:pPr>
        <w:ind w:right="180" w:firstLine="162"/>
        <w:spacing w:after="0" w:line="308" w:lineRule="auto"/>
        <w:rPr>
          <w:sz w:val="20"/>
          <w:szCs w:val="20"/>
          <w:color w:val="auto"/>
        </w:rPr>
      </w:pPr>
      <w:r>
        <w:rPr>
          <w:rFonts w:ascii="Arial" w:cs="Arial" w:eastAsia="Arial" w:hAnsi="Arial"/>
          <w:sz w:val="17"/>
          <w:szCs w:val="17"/>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7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20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b w:val="1"/>
          <w:bCs w:val="1"/>
          <w:i w:val="1"/>
          <w:iCs w:val="1"/>
          <w:color w:val="auto"/>
        </w:rPr>
        <w:t>We are subject to state, federal and international legal and regulatory requirements, such as environmental, labor, trade, health, safety, anti-corruption and tax regulations, customers’ standards of corporate citizenship, and industry and coalition standards, such as those established by the Responsible Business Alliance (“RBA”), and compliance with those requirements could cause an increase in our operating costs and failure to comply may harm our business.</w:t>
      </w:r>
    </w:p>
    <w:p>
      <w:pPr>
        <w:spacing w:after="0" w:line="214"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have a material adverse effect on our business, operating results and financial condition.</w:t>
      </w:r>
    </w:p>
    <w:p>
      <w:pPr>
        <w:spacing w:after="0" w:line="19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19" w:lineRule="exact"/>
        <w:rPr>
          <w:sz w:val="20"/>
          <w:szCs w:val="20"/>
          <w:color w:val="auto"/>
        </w:rPr>
      </w:pPr>
    </w:p>
    <w:p>
      <w:pPr>
        <w:ind w:right="24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22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9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22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9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98"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b w:val="1"/>
          <w:bCs w:val="1"/>
          <w:i w:val="1"/>
          <w:iCs w:val="1"/>
          <w:color w:val="auto"/>
        </w:rPr>
        <w:t>Our reliance on IP and other proprietary information subjects us to the risk that these key ingredients of our business could be copied by competitors.</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2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9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Flash Ventures sells to and leases back a portion of its equipment from a consortium of financial institutions. Most of the lease obligations are guaranteed 50% by us and 50% by Kioxia. Some of the lease obligations are guaranteed in full by us. As of April 3, 2020, the portion of outstanding obligations covered by our guarantees totaled approximately $1.83 billion, based upon the Japanese yen to U.S. dollar exchange rate at April 3, 2020. The leases are subject to customary covenants and cancellation events that relate to Flash Ventures and each of the guarantors. Cancellation events include, among other things, an assignment of all or a substantial part of a guarantor’s business and acceleration of other monetary debts of Flash Ventures or a guarantor above a specified threshold.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212"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b w:val="1"/>
          <w:bCs w:val="1"/>
          <w:i w:val="1"/>
          <w:iCs w:val="1"/>
          <w:color w:val="auto"/>
        </w:rPr>
        <w:t>If we do not resume paying a quarterly cash dividend or repurchasing shares of our common stock, the market price of our common stock could decline.</w:t>
      </w:r>
    </w:p>
    <w:p>
      <w:pPr>
        <w:spacing w:after="0" w:line="19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April 2020, we suspended our quarterly cash dividend policy. In addition, we have not repurchased shares of our common stock pursuant to our stock repurchase program since the first quarter of fiscal 2019. Although we will reevaluate paying cash dividends and repurchasing shares of our common stock when appropriate, there can be no assurance if, when or at what level we may resume these activities. If we choose not to or are unable to resume paying cash dividends or repurchasing shares of our common stock in the future, the market price of our common stock may decline.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5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If any of these events occur, they could have a negative impact on our operating results.</w:t>
      </w:r>
    </w:p>
    <w:p>
      <w:pPr>
        <w:spacing w:after="0" w:line="208"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9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0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2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net realizable value;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52"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5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5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 which may decrease the volume and profitability of sales of our existing products and increase the risk of inventory obsolescence;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6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20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6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From time to time, our investment portfolio may include various holdings, security types, and maturities. Our investment portfolio is subject to general credit, liquidity, market, political, sovereign and interest rate risks, which may be exacerbated by unusual events that affect global financial markets. Our investment portfolio may include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9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1" w:lineRule="exact"/>
        <w:rPr>
          <w:sz w:val="20"/>
          <w:szCs w:val="20"/>
          <w:color w:val="auto"/>
        </w:rPr>
      </w:pPr>
    </w:p>
    <w:p>
      <w:pPr>
        <w:ind w:right="160" w:firstLine="8"/>
        <w:spacing w:after="0" w:line="281"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firstLine="8"/>
        <w:spacing w:after="0" w:line="260"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60" w:type="dxa"/>
            <w:vAlign w:val="bottom"/>
          </w:tcPr>
          <w:p>
            <w:pPr>
              <w:ind w:left="3600"/>
              <w:spacing w:after="0"/>
              <w:rPr>
                <w:sz w:val="20"/>
                <w:szCs w:val="20"/>
                <w:color w:val="auto"/>
              </w:rPr>
            </w:pPr>
            <w:r>
              <w:rPr>
                <w:rFonts w:ascii="Arial" w:cs="Arial" w:eastAsia="Arial" w:hAnsi="Arial"/>
                <w:sz w:val="20"/>
                <w:szCs w:val="20"/>
                <w:b w:val="1"/>
                <w:bCs w:val="1"/>
                <w:color w:val="auto"/>
              </w:rPr>
              <w:t>EXHIBIT INDEX</w:t>
            </w:r>
          </w:p>
        </w:tc>
      </w:tr>
      <w:tr>
        <w:trPr>
          <w:trHeight w:val="252"/>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Exhibit</w:t>
            </w:r>
          </w:p>
        </w:tc>
        <w:tc>
          <w:tcPr>
            <w:tcW w:w="9960" w:type="dxa"/>
            <w:vAlign w:val="bottom"/>
          </w:tcPr>
          <w:p>
            <w:pPr>
              <w:spacing w:after="0"/>
              <w:rPr>
                <w:sz w:val="21"/>
                <w:szCs w:val="21"/>
                <w:color w:val="auto"/>
              </w:rPr>
            </w:pPr>
          </w:p>
        </w:tc>
      </w:tr>
      <w:tr>
        <w:trPr>
          <w:trHeight w:val="23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9960" w:type="dxa"/>
            <w:vAlign w:val="bottom"/>
          </w:tcPr>
          <w:p>
            <w:pPr>
              <w:ind w:left="4560"/>
              <w:spacing w:after="0"/>
              <w:rPr>
                <w:sz w:val="20"/>
                <w:szCs w:val="20"/>
                <w:color w:val="auto"/>
              </w:rPr>
            </w:pPr>
            <w:r>
              <w:rPr>
                <w:rFonts w:ascii="Arial" w:cs="Arial" w:eastAsia="Arial" w:hAnsi="Arial"/>
                <w:sz w:val="18"/>
                <w:szCs w:val="18"/>
                <w:color w:val="auto"/>
              </w:rPr>
              <w:t>Description</w:t>
            </w:r>
          </w:p>
        </w:tc>
      </w:tr>
      <w:tr>
        <w:trPr>
          <w:trHeight w:val="27"/>
        </w:trPr>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96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jc w:val="center"/>
              <w:spacing w:after="0"/>
              <w:rPr>
                <w:rFonts w:ascii="Arial" w:cs="Arial" w:eastAsia="Arial" w:hAnsi="Arial"/>
                <w:sz w:val="18"/>
                <w:szCs w:val="18"/>
                <w:u w:val="single" w:color="auto"/>
                <w:color w:val="0000FF"/>
                <w:w w:val="87"/>
              </w:rPr>
            </w:pPr>
            <w:hyperlink r:id="rId97">
              <w:r>
                <w:rPr>
                  <w:rFonts w:ascii="Arial" w:cs="Arial" w:eastAsia="Arial" w:hAnsi="Arial"/>
                  <w:sz w:val="18"/>
                  <w:szCs w:val="18"/>
                  <w:u w:val="single" w:color="auto"/>
                  <w:color w:val="0000FF"/>
                  <w:w w:val="87"/>
                </w:rPr>
                <w:t>3.1</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Amended and Restated Certificate of Incorporation of Western Digital Corporation, as amended to date (Filed as Exhibit 3.1 to the</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r>
      <w:tr>
        <w:trPr>
          <w:trHeight w:val="229"/>
        </w:trPr>
        <w:tc>
          <w:tcPr>
            <w:tcW w:w="1120" w:type="dxa"/>
            <w:vAlign w:val="bottom"/>
          </w:tcPr>
          <w:p>
            <w:pPr>
              <w:jc w:val="center"/>
              <w:spacing w:after="0"/>
              <w:rPr>
                <w:rFonts w:ascii="Arial" w:cs="Arial" w:eastAsia="Arial" w:hAnsi="Arial"/>
                <w:sz w:val="18"/>
                <w:szCs w:val="18"/>
                <w:u w:val="single" w:color="auto"/>
                <w:color w:val="0000FF"/>
                <w:w w:val="87"/>
              </w:rPr>
            </w:pPr>
            <w:hyperlink r:id="rId98">
              <w:r>
                <w:rPr>
                  <w:rFonts w:ascii="Arial" w:cs="Arial" w:eastAsia="Arial" w:hAnsi="Arial"/>
                  <w:sz w:val="18"/>
                  <w:szCs w:val="18"/>
                  <w:u w:val="single" w:color="auto"/>
                  <w:color w:val="0000FF"/>
                  <w:w w:val="87"/>
                </w:rPr>
                <w:t>3.2</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8"/>
                <w:szCs w:val="18"/>
                <w:color w:val="auto"/>
                <w:w w:val="94"/>
              </w:rPr>
              <w:t>Amended and Restated By-Laws of Western Digital Corporation, as amended effective as of May 2, 2018 (Filed as Exhibit 3.1 to the</w:t>
            </w:r>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7, 2018)</w:t>
            </w:r>
          </w:p>
        </w:tc>
      </w:tr>
    </w:tbl>
    <w:p>
      <w:pPr>
        <w:spacing w:after="0" w:line="26" w:lineRule="exact"/>
        <w:rPr>
          <w:sz w:val="20"/>
          <w:szCs w:val="20"/>
          <w:color w:val="auto"/>
        </w:rPr>
      </w:pPr>
    </w:p>
    <w:p>
      <w:pPr>
        <w:sectPr>
          <w:pgSz w:w="11900" w:h="16838" w:orient="portrait"/>
          <w:cols w:equalWidth="0" w:num="1">
            <w:col w:w="11220"/>
          </w:cols>
          <w:pgMar w:left="320" w:top="125" w:right="359" w:bottom="1440" w:gutter="0" w:footer="0" w:header="0"/>
        </w:sectPr>
      </w:pPr>
    </w:p>
    <w:p>
      <w:pPr>
        <w:ind w:left="440"/>
        <w:spacing w:after="0"/>
        <w:rPr>
          <w:rFonts w:ascii="Arial" w:cs="Arial" w:eastAsia="Arial" w:hAnsi="Arial"/>
          <w:sz w:val="15"/>
          <w:szCs w:val="15"/>
          <w:u w:val="single" w:color="auto"/>
          <w:color w:val="0000FF"/>
        </w:rPr>
      </w:pPr>
      <w:hyperlink w:anchor="page71">
        <w:r>
          <w:rPr>
            <w:rFonts w:ascii="Arial" w:cs="Arial" w:eastAsia="Arial" w:hAnsi="Arial"/>
            <w:sz w:val="15"/>
            <w:szCs w:val="15"/>
            <w:u w:val="single" w:color="auto"/>
            <w:color w:val="0000FF"/>
          </w:rPr>
          <w:t>10.1</w:t>
        </w:r>
      </w:hyperlink>
    </w:p>
    <w:p>
      <w:pPr>
        <w:spacing w:after="0" w:line="98" w:lineRule="exact"/>
        <w:rPr>
          <w:sz w:val="20"/>
          <w:szCs w:val="20"/>
          <w:color w:val="auto"/>
        </w:rPr>
      </w:pPr>
    </w:p>
    <w:p>
      <w:pPr>
        <w:ind w:left="440"/>
        <w:spacing w:after="0"/>
        <w:rPr>
          <w:rFonts w:ascii="Arial" w:cs="Arial" w:eastAsia="Arial" w:hAnsi="Arial"/>
          <w:sz w:val="15"/>
          <w:szCs w:val="15"/>
          <w:u w:val="single" w:color="auto"/>
          <w:color w:val="0000FF"/>
        </w:rPr>
      </w:pPr>
      <w:hyperlink w:anchor="page75">
        <w:r>
          <w:rPr>
            <w:rFonts w:ascii="Arial" w:cs="Arial" w:eastAsia="Arial" w:hAnsi="Arial"/>
            <w:sz w:val="15"/>
            <w:szCs w:val="15"/>
            <w:u w:val="single" w:color="auto"/>
            <w:color w:val="0000FF"/>
          </w:rPr>
          <w:t>10.2</w:t>
        </w:r>
      </w:hyperlink>
    </w:p>
    <w:p>
      <w:pPr>
        <w:spacing w:after="0" w:line="98" w:lineRule="exact"/>
        <w:rPr>
          <w:sz w:val="20"/>
          <w:szCs w:val="20"/>
          <w:color w:val="auto"/>
        </w:rPr>
      </w:pPr>
    </w:p>
    <w:p>
      <w:pPr>
        <w:ind w:left="440"/>
        <w:spacing w:after="0"/>
        <w:rPr>
          <w:rFonts w:ascii="Arial" w:cs="Arial" w:eastAsia="Arial" w:hAnsi="Arial"/>
          <w:sz w:val="15"/>
          <w:szCs w:val="15"/>
          <w:u w:val="single" w:color="auto"/>
          <w:color w:val="0000FF"/>
        </w:rPr>
      </w:pPr>
      <w:hyperlink w:anchor="page82">
        <w:r>
          <w:rPr>
            <w:rFonts w:ascii="Arial" w:cs="Arial" w:eastAsia="Arial" w:hAnsi="Arial"/>
            <w:sz w:val="15"/>
            <w:szCs w:val="15"/>
            <w:u w:val="single" w:color="auto"/>
            <w:color w:val="0000FF"/>
          </w:rPr>
          <w:t>10.3</w:t>
        </w:r>
      </w:hyperlink>
    </w:p>
    <w:p>
      <w:pPr>
        <w:spacing w:after="0" w:line="98" w:lineRule="exact"/>
        <w:rPr>
          <w:sz w:val="20"/>
          <w:szCs w:val="20"/>
          <w:color w:val="auto"/>
        </w:rPr>
      </w:pPr>
    </w:p>
    <w:p>
      <w:pPr>
        <w:ind w:left="440"/>
        <w:spacing w:after="0"/>
        <w:rPr>
          <w:rFonts w:ascii="Arial" w:cs="Arial" w:eastAsia="Arial" w:hAnsi="Arial"/>
          <w:sz w:val="15"/>
          <w:szCs w:val="15"/>
          <w:u w:val="single" w:color="auto"/>
          <w:color w:val="0000FF"/>
        </w:rPr>
      </w:pPr>
      <w:hyperlink w:anchor="page90">
        <w:r>
          <w:rPr>
            <w:rFonts w:ascii="Arial" w:cs="Arial" w:eastAsia="Arial" w:hAnsi="Arial"/>
            <w:sz w:val="15"/>
            <w:szCs w:val="15"/>
            <w:u w:val="single" w:color="auto"/>
            <w:color w:val="0000FF"/>
          </w:rPr>
          <w:t>31.1</w:t>
        </w:r>
      </w:hyperlink>
    </w:p>
    <w:p>
      <w:pPr>
        <w:spacing w:after="0" w:line="98" w:lineRule="exact"/>
        <w:rPr>
          <w:sz w:val="20"/>
          <w:szCs w:val="20"/>
          <w:color w:val="auto"/>
        </w:rPr>
      </w:pPr>
    </w:p>
    <w:p>
      <w:pPr>
        <w:ind w:left="440"/>
        <w:spacing w:after="0"/>
        <w:rPr>
          <w:rFonts w:ascii="Arial" w:cs="Arial" w:eastAsia="Arial" w:hAnsi="Arial"/>
          <w:sz w:val="15"/>
          <w:szCs w:val="15"/>
          <w:u w:val="single" w:color="auto"/>
          <w:color w:val="0000FF"/>
        </w:rPr>
      </w:pPr>
      <w:hyperlink w:anchor="page91">
        <w:r>
          <w:rPr>
            <w:rFonts w:ascii="Arial" w:cs="Arial" w:eastAsia="Arial" w:hAnsi="Arial"/>
            <w:sz w:val="15"/>
            <w:szCs w:val="15"/>
            <w:u w:val="single" w:color="auto"/>
            <w:color w:val="0000FF"/>
          </w:rPr>
          <w:t>31.2</w:t>
        </w:r>
      </w:hyperlink>
    </w:p>
    <w:p>
      <w:pPr>
        <w:spacing w:after="0" w:line="98" w:lineRule="exact"/>
        <w:rPr>
          <w:sz w:val="20"/>
          <w:szCs w:val="20"/>
          <w:color w:val="auto"/>
        </w:rPr>
      </w:pPr>
    </w:p>
    <w:p>
      <w:pPr>
        <w:ind w:left="440"/>
        <w:spacing w:after="0"/>
        <w:rPr>
          <w:rFonts w:ascii="Arial" w:cs="Arial" w:eastAsia="Arial" w:hAnsi="Arial"/>
          <w:sz w:val="15"/>
          <w:szCs w:val="15"/>
          <w:u w:val="single" w:color="auto"/>
          <w:color w:val="0000FF"/>
        </w:rPr>
      </w:pPr>
      <w:hyperlink w:anchor="page92">
        <w:r>
          <w:rPr>
            <w:rFonts w:ascii="Arial" w:cs="Arial" w:eastAsia="Arial" w:hAnsi="Arial"/>
            <w:sz w:val="15"/>
            <w:szCs w:val="15"/>
            <w:u w:val="single" w:color="auto"/>
            <w:color w:val="0000FF"/>
          </w:rPr>
          <w:t>32.1</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Offer Letter, dated February 18, 2020, to David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-139065</wp:posOffset>
            </wp:positionV>
            <wp:extent cx="710628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Notice of Grant of Restricted Stock Units and Restricted Stock Unit Award Agreement – CEO Sign-On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31750</wp:posOffset>
            </wp:positionV>
            <wp:extent cx="710628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Notice of Grant of Performance Stock Units and Performance Stock Unit Award Agreement – TSR Measure (CEO Sign-On Award)†*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31750</wp:posOffset>
            </wp:positionV>
            <wp:extent cx="710628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p>
      <w:pPr>
        <w:spacing w:after="0" w:line="63"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 w:lineRule="exact"/>
        <w:rPr>
          <w:sz w:val="20"/>
          <w:szCs w:val="20"/>
          <w:color w:val="auto"/>
        </w:rPr>
      </w:pPr>
    </w:p>
    <w:p>
      <w:pPr>
        <w:sectPr>
          <w:pgSz w:w="11900" w:h="16838" w:orient="portrait"/>
          <w:cols w:equalWidth="0" w:num="2">
            <w:col w:w="740" w:space="540"/>
            <w:col w:w="994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1060" w:type="dxa"/>
            <w:vAlign w:val="bottom"/>
            <w:shd w:val="clear" w:color="auto" w:fill="CCEEFF"/>
          </w:tcPr>
          <w:p>
            <w:pPr>
              <w:jc w:val="center"/>
              <w:spacing w:after="0"/>
              <w:rPr>
                <w:rFonts w:ascii="Arial" w:cs="Arial" w:eastAsia="Arial" w:hAnsi="Arial"/>
                <w:sz w:val="18"/>
                <w:szCs w:val="18"/>
                <w:u w:val="single" w:color="auto"/>
                <w:color w:val="0000FF"/>
                <w:w w:val="85"/>
              </w:rPr>
            </w:pPr>
            <w:hyperlink w:anchor="page93">
              <w:r>
                <w:rPr>
                  <w:rFonts w:ascii="Arial" w:cs="Arial" w:eastAsia="Arial" w:hAnsi="Arial"/>
                  <w:sz w:val="18"/>
                  <w:szCs w:val="18"/>
                  <w:u w:val="single" w:color="auto"/>
                  <w:color w:val="0000FF"/>
                  <w:w w:val="85"/>
                </w:rPr>
                <w:t>32.2</w:t>
              </w:r>
            </w:hyperlink>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10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 of 2002**</w:t>
            </w:r>
          </w:p>
        </w:tc>
      </w:tr>
      <w:tr>
        <w:trPr>
          <w:trHeight w:val="243"/>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0120" w:type="dxa"/>
            <w:vAlign w:val="bottom"/>
          </w:tcPr>
          <w:p>
            <w:pPr>
              <w:ind w:left="180"/>
              <w:spacing w:after="0"/>
              <w:rPr>
                <w:sz w:val="20"/>
                <w:szCs w:val="20"/>
                <w:color w:val="auto"/>
              </w:rPr>
            </w:pPr>
            <w:r>
              <w:rPr>
                <w:rFonts w:ascii="Arial" w:cs="Arial" w:eastAsia="Arial" w:hAnsi="Arial"/>
                <w:sz w:val="18"/>
                <w:szCs w:val="18"/>
                <w:color w:val="auto"/>
              </w:rPr>
              <w:t>XBRL Instance Document - formatted in Inline XBRL†</w:t>
            </w:r>
          </w:p>
        </w:tc>
      </w:tr>
      <w:tr>
        <w:trPr>
          <w:trHeight w:val="27"/>
        </w:trPr>
        <w:tc>
          <w:tcPr>
            <w:tcW w:w="106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06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1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06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10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06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1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06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243"/>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060" w:type="dxa"/>
            <w:vAlign w:val="bottom"/>
            <w:shd w:val="clear" w:color="auto" w:fill="CCEEFF"/>
          </w:tcPr>
          <w:p>
            <w:pPr>
              <w:spacing w:after="0"/>
              <w:rPr>
                <w:sz w:val="2"/>
                <w:szCs w:val="2"/>
                <w:color w:val="auto"/>
              </w:rPr>
            </w:pPr>
          </w:p>
        </w:tc>
        <w:tc>
          <w:tcPr>
            <w:tcW w:w="10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1280" w:hanging="827"/>
        <w:spacing w:after="0"/>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977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3" w:lineRule="exact"/>
        <w:rPr>
          <w:sz w:val="20"/>
          <w:szCs w:val="20"/>
          <w:color w:val="auto"/>
        </w:rPr>
      </w:pPr>
    </w:p>
    <w:p>
      <w:pPr>
        <w:ind w:left="340" w:right="100" w:hanging="332"/>
        <w:spacing w:after="0" w:line="250" w:lineRule="auto"/>
        <w:tabs>
          <w:tab w:leader="none" w:pos="1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5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WESTERN DIGITAL CORPORATION</w:t>
      </w:r>
    </w:p>
    <w:p>
      <w:pPr>
        <w:spacing w:after="0" w:line="225" w:lineRule="exact"/>
        <w:rPr>
          <w:sz w:val="20"/>
          <w:szCs w:val="20"/>
          <w:color w:val="auto"/>
        </w:rPr>
      </w:pPr>
    </w:p>
    <w:p>
      <w:pPr>
        <w:ind w:left="6000"/>
        <w:spacing w:after="0"/>
        <w:tabs>
          <w:tab w:leader="none" w:pos="644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31750</wp:posOffset>
            </wp:positionV>
            <wp:extent cx="30346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Gene Zamiska</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Vice President, Global Accounting and Chief Accounting Officer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125" w:right="4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88820"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9888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Western Digital Corporation</w:t>
      </w:r>
    </w:p>
    <w:p>
      <w:pPr>
        <w:spacing w:after="0" w:line="42"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5601 Great Oaks Parkway</w:t>
      </w:r>
    </w:p>
    <w:p>
      <w:pPr>
        <w:spacing w:after="0" w:line="42"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San Jose, California 95119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February 18, 2020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David Goeckeler</w:t>
      </w:r>
    </w:p>
    <w:p>
      <w:pPr>
        <w:spacing w:after="0"/>
        <w:rPr>
          <w:sz w:val="20"/>
          <w:szCs w:val="20"/>
          <w:color w:val="auto"/>
        </w:rPr>
      </w:pPr>
      <w:r>
        <w:rPr>
          <w:rFonts w:ascii="Arial" w:cs="Arial" w:eastAsia="Arial" w:hAnsi="Arial"/>
          <w:sz w:val="22"/>
          <w:szCs w:val="22"/>
          <w:color w:val="auto"/>
        </w:rPr>
        <w:t>[address redacted]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Dear David,</w:t>
      </w:r>
    </w:p>
    <w:p>
      <w:pPr>
        <w:spacing w:after="0" w:line="233" w:lineRule="exact"/>
        <w:rPr>
          <w:sz w:val="20"/>
          <w:szCs w:val="20"/>
          <w:color w:val="auto"/>
        </w:rPr>
      </w:pPr>
    </w:p>
    <w:p>
      <w:pPr>
        <w:ind w:right="480"/>
        <w:spacing w:after="0" w:line="247" w:lineRule="auto"/>
        <w:rPr>
          <w:sz w:val="20"/>
          <w:szCs w:val="20"/>
          <w:color w:val="auto"/>
        </w:rPr>
      </w:pPr>
      <w:r>
        <w:rPr>
          <w:rFonts w:ascii="Arial" w:cs="Arial" w:eastAsia="Arial" w:hAnsi="Arial"/>
          <w:sz w:val="21"/>
          <w:szCs w:val="21"/>
          <w:color w:val="auto"/>
        </w:rPr>
        <w:t>It is with great pleasure that we at Western Digital extend this offer of employment to you to serve as our Chief Executive Officer reporting to the Board of Directors. In connection with your appointment as our Chief Executive Officer, the Board of Directors also intends to appoint you as a member of the Board, effective on or around your employment start date. This offer is contingent upon successful completion of background and reference checks.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Salary</w:t>
      </w:r>
    </w:p>
    <w:p>
      <w:pPr>
        <w:spacing w:after="0"/>
        <w:rPr>
          <w:sz w:val="20"/>
          <w:szCs w:val="20"/>
          <w:color w:val="auto"/>
        </w:rPr>
      </w:pPr>
      <w:r>
        <w:rPr>
          <w:rFonts w:ascii="Arial" w:cs="Arial" w:eastAsia="Arial" w:hAnsi="Arial"/>
          <w:sz w:val="22"/>
          <w:szCs w:val="22"/>
          <w:color w:val="auto"/>
        </w:rPr>
        <w:t>This position is exempt and will pay an annual base salary of $1,250,000 (US Dollars).</w:t>
      </w:r>
    </w:p>
    <w:p>
      <w:pPr>
        <w:spacing w:after="0" w:line="233"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u w:val="single" w:color="auto"/>
          <w:color w:val="auto"/>
        </w:rPr>
        <w:t>Annual Short-Term Incentive Compensation</w:t>
      </w:r>
      <w:r>
        <w:rPr>
          <w:rFonts w:ascii="Arial" w:cs="Arial" w:eastAsia="Arial" w:hAnsi="Arial"/>
          <w:sz w:val="22"/>
          <w:szCs w:val="22"/>
          <w:color w:val="auto"/>
        </w:rPr>
        <w:t xml:space="preserve"> During your employment, you will be eligible to participate in Western Digital's Executive Short-Term Incentive (STI) Plan beginning with a pro rata award for fiscal year 2020. The performance period is Western Digital’s fiscal year, which begins on or about July 1 each fiscal year. Your start date must be at least one month prior to the end of the fiscal year to be eligible to participate. The payout will be based on your eligible wages earned during the performance period. Funding will be based on corporate business results and is contingent upon approval by the Compensation Committee of the Board of Directors (Committee). Your individual target payout is 175% of your eligible earnings for each performance period.</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Annual Long-Term Incentive Compensation</w:t>
      </w:r>
    </w:p>
    <w:p>
      <w:pPr>
        <w:ind w:right="20"/>
        <w:spacing w:after="0" w:line="234" w:lineRule="auto"/>
        <w:rPr>
          <w:sz w:val="20"/>
          <w:szCs w:val="20"/>
          <w:color w:val="auto"/>
        </w:rPr>
      </w:pPr>
      <w:r>
        <w:rPr>
          <w:rFonts w:ascii="Arial" w:cs="Arial" w:eastAsia="Arial" w:hAnsi="Arial"/>
          <w:sz w:val="22"/>
          <w:szCs w:val="22"/>
          <w:color w:val="auto"/>
        </w:rPr>
        <w:t>During your employment, you will also be eligible to receive awards under our annual long-term incentive (LTI) program beginning in fiscal year 2021. Contingent upon approval by the Committee, we will recommend a fiscal year 2021 LTI award with a market value at grant of $12,000,000 (US Dollars). The LTI award will consist of 40% restricted stock units (RSUs) and 60% performance stock units (PSUs).</w:t>
      </w:r>
    </w:p>
    <w:p>
      <w:pPr>
        <w:sectPr>
          <w:pgSz w:w="11900" w:h="16838" w:orient="portrait"/>
          <w:cols w:equalWidth="0" w:num="1">
            <w:col w:w="11240"/>
          </w:cols>
          <w:pgMar w:left="320" w:top="1417"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u w:val="single" w:color="auto"/>
          <w:color w:val="auto"/>
        </w:rPr>
        <w:t>Sign-On Awards</w:t>
      </w:r>
    </w:p>
    <w:p>
      <w:pPr>
        <w:ind w:right="320"/>
        <w:spacing w:after="0" w:line="238" w:lineRule="auto"/>
        <w:rPr>
          <w:sz w:val="20"/>
          <w:szCs w:val="20"/>
          <w:color w:val="auto"/>
        </w:rPr>
      </w:pPr>
      <w:r>
        <w:rPr>
          <w:rFonts w:ascii="Arial" w:cs="Arial" w:eastAsia="Arial" w:hAnsi="Arial"/>
          <w:sz w:val="22"/>
          <w:szCs w:val="22"/>
          <w:color w:val="auto"/>
        </w:rPr>
        <w:t>Contingent upon your commencing employment with Western Digital, you will receive the following sign-on awards with an aggregate market value at grant of $34,000,000 (US Dollars):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RSU Award</w:t>
      </w:r>
    </w:p>
    <w:p>
      <w:pPr>
        <w:ind w:left="660" w:right="80"/>
        <w:spacing w:after="0" w:line="231" w:lineRule="auto"/>
        <w:rPr>
          <w:sz w:val="20"/>
          <w:szCs w:val="20"/>
          <w:color w:val="auto"/>
        </w:rPr>
      </w:pPr>
      <w:r>
        <w:rPr>
          <w:rFonts w:ascii="Arial" w:cs="Arial" w:eastAsia="Arial" w:hAnsi="Arial"/>
          <w:sz w:val="22"/>
          <w:szCs w:val="22"/>
          <w:color w:val="auto"/>
        </w:rPr>
        <w:t>The sign-on award will include an RSU grant with a market value at grant of $10,000,000 (US Dollars) which will be subject to Western Digital's Standard Terms and Conditions for restricted stock unit awards. This award value will be converted to a number (rounded down to the nearest whole number) of RSUs equal to (i) $10,000,000 (US Dollars), divided by (ii) the closing stock price of a share of Western Digital’s common stock as of the grant date of the award. The grant date will be within 30 calendar days of your first day of employment at Western Digital. These RSUs are to be settled in shares of Western Digital common stock at the time of vesting. Vesting will occur in substantially equal annual installments on each of the next two (2) anniversaries of the date of grant. Please note that vesting will cease upon termination of your service with Western Digital or one of its subsidiaries, except if we terminate your employment without “Cause” (as defined in Western Digital’s Executive Severance Plan). If we terminate your employment without Cause, the sign-on RSU award will fully vest and be settled in connection with your separation date provided that you satisfy applicable release requirements.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PSU Award</w:t>
      </w:r>
    </w:p>
    <w:p>
      <w:pPr>
        <w:ind w:left="660"/>
        <w:spacing w:after="0" w:line="223" w:lineRule="auto"/>
        <w:rPr>
          <w:sz w:val="20"/>
          <w:szCs w:val="20"/>
          <w:color w:val="auto"/>
        </w:rPr>
      </w:pPr>
      <w:r>
        <w:rPr>
          <w:rFonts w:ascii="Arial" w:cs="Arial" w:eastAsia="Arial" w:hAnsi="Arial"/>
          <w:sz w:val="22"/>
          <w:szCs w:val="22"/>
          <w:color w:val="auto"/>
        </w:rPr>
        <w:t>The sign-on award will include a PSU grant with a market value at grant of $20,500,000 (US Dollars) which will be subject to Western Digital's Standard Terms and Conditions for performance stock unit awards. This award value will be converted to a number (rounded down to the nearest whole number) of PSUs equal to (i) $20,500,000 (US Dollars), divided by (ii) the closing stock price of a share of Western Digital’s common stock as of the grant date of the award. The grant date will be within 30 calendar days of your first day of employment at Western Digital. These PSUs are to be settled in shares of Western Digital common stock at the time of vesting. Vesting will be based on Western Digital’s relative TSR performance compared to the S&amp;P 500 Index constituents over a three (3) year period, with payout of 50% at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performance, 80% payout at median performance and 150% payout at 75 </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performance. Payout for performance between these points will be determined using straight line interpolation. Please note that vesting will cease upon termination of your service with Western Digital or one of its subsidiaries, except if we terminate your employment without Cause. If we terminate your employment without Cause, the sign-on PSU award will remain outstanding and subject to the performance conditions underlying the award; the award will settle at the end of the performance period based on Western Digital’s actual performance under the award provided that you satisfy applicable release requirements.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Sign-On Cash</w:t>
      </w:r>
    </w:p>
    <w:p>
      <w:pPr>
        <w:ind w:left="660" w:right="60"/>
        <w:spacing w:after="0" w:line="233" w:lineRule="auto"/>
        <w:rPr>
          <w:sz w:val="20"/>
          <w:szCs w:val="20"/>
          <w:color w:val="auto"/>
        </w:rPr>
      </w:pPr>
      <w:r>
        <w:rPr>
          <w:rFonts w:ascii="Arial" w:cs="Arial" w:eastAsia="Arial" w:hAnsi="Arial"/>
          <w:sz w:val="22"/>
          <w:szCs w:val="22"/>
          <w:color w:val="auto"/>
        </w:rPr>
        <w:t>The sign-on award will include a cash payment of $3,500,000 (US Dollars), payable within three weeks of your start date. The sign-on cash award is subject to repayment to Western Digital if you do not remain employed by Western Digital through the first anniversary of your start date, unless we terminate your employment without Cause. If we terminate your employment without Cause, you will not be required to repay the sign-on cash award if you provide a satisfactory release of claims to Western Digital. The sign-on cash award is considered taxable income to you.</w:t>
      </w:r>
    </w:p>
    <w:p>
      <w:pPr>
        <w:sectPr>
          <w:pgSz w:w="11900" w:h="16838" w:orient="portrait"/>
          <w:cols w:equalWidth="0" w:num="1">
            <w:col w:w="11240"/>
          </w:cols>
          <w:pgMar w:left="320" w:top="1419"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u w:val="single" w:color="auto"/>
          <w:color w:val="auto"/>
        </w:rPr>
        <w:t>Change in Control</w:t>
      </w:r>
    </w:p>
    <w:p>
      <w:pPr>
        <w:ind w:right="20"/>
        <w:spacing w:after="0" w:line="231" w:lineRule="auto"/>
        <w:rPr>
          <w:sz w:val="20"/>
          <w:szCs w:val="20"/>
          <w:color w:val="auto"/>
        </w:rPr>
      </w:pPr>
      <w:r>
        <w:rPr>
          <w:rFonts w:ascii="Arial" w:cs="Arial" w:eastAsia="Arial" w:hAnsi="Arial"/>
          <w:sz w:val="22"/>
          <w:szCs w:val="22"/>
          <w:color w:val="auto"/>
        </w:rPr>
        <w:t>Western Digital’s current Standard Terms and Conditions for RSUs and PSUs generally provide that, in connection with a transaction in which Western Digital will not survive or will not survive as a public company in respect of our common stock, the Committee may provide that performance will be deemed satisfied as to open PSU performance periods at 100% of the applicable “target” level or such greater level as the Committee may provide, a unit subject to the awards may be settled in cash based on the closing transaction price, and if the awards are to be terminated (and not assumed or continued) in the transaction, all time-based vesting requirements applicable to RSUs and PSUs will be deemed satisfied. In addition to the foregoing change in control benefits, you will be entitled to severance benefits in the event you are terminated without “Cause” or you resign for “Good Reason” following a Change in Control pursuant to Western Digital’s Change of Control Severance Plan. Such severance benefits generally consist of: a lump sum payment equal to two times your annual base salary plus target STI award; 100% vesting of any unvested outstanding equity awards, with any performance-based equity awards becoming vested at target; and 24 months of continued health and welfare benefits.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Confidential Information</w:t>
      </w:r>
    </w:p>
    <w:p>
      <w:pPr>
        <w:spacing w:after="0" w:line="231" w:lineRule="auto"/>
        <w:rPr>
          <w:sz w:val="20"/>
          <w:szCs w:val="20"/>
          <w:color w:val="auto"/>
        </w:rPr>
      </w:pPr>
      <w:r>
        <w:rPr>
          <w:rFonts w:ascii="Arial" w:cs="Arial" w:eastAsia="Arial" w:hAnsi="Arial"/>
          <w:sz w:val="22"/>
          <w:szCs w:val="22"/>
          <w:color w:val="auto"/>
        </w:rPr>
        <w:t>As a condition of employment, immediately upon hire you will be required to sign an Employee Inventions and Confidentiality Agreement governing inventions, proprietary information and such other subject matter, which Western Digital considers vital to protect its operation. Please also be advised that Western Digital respects the confidential information and trade secrets of others and endeavors to comply with all laws regarding the use and protection of trade secret information. Western Digital takes its obligations in this respect very seriously and expects the same from its employees. As you prepare to terminate your current employment, please ensure that all documents and property belonging to your employer are returned. This includes documents you may have prepared in the course of your employment and documents that may be in your home, on your home computer or in your car. Western Digital does not want access to any confidential information belonging to your former employer and specifically directs you not to take this information with you or bring onto Western Digital’s premises. You are prohibited from using trade secret or confidential information or property of any previous employer or other person in connection with carrying out your job duties at Western Digital.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Employment Terms</w:t>
      </w:r>
    </w:p>
    <w:p>
      <w:pPr>
        <w:ind w:right="20"/>
        <w:spacing w:after="0" w:line="244" w:lineRule="auto"/>
        <w:rPr>
          <w:sz w:val="20"/>
          <w:szCs w:val="20"/>
          <w:color w:val="auto"/>
        </w:rPr>
      </w:pPr>
      <w:r>
        <w:rPr>
          <w:rFonts w:ascii="Arial" w:cs="Arial" w:eastAsia="Arial" w:hAnsi="Arial"/>
          <w:sz w:val="21"/>
          <w:szCs w:val="21"/>
          <w:color w:val="auto"/>
        </w:rPr>
        <w:t>You are employed by Western Digital on an at-will basis. This means that either you or Western Digital may terminate the employment relationship at any time, with or without cause. The at-will nature of your employment with Western Digital can only be changed by an agreement in writing signed by you and the Chief Human Resources Officer. Furthermore, by accepting employment with Western Digital, you warrant that you are not bound by the terms of an employment agreement with a third party that would preclude or limit your right to work for Western Digital. You agree to provide Western Digital with a copy of any and all agreements with a third party that contain any restrictions or obligations that conflict with, or are inconsistent with, the performance of your duties for Western Digital.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Benefits</w:t>
      </w:r>
    </w:p>
    <w:p>
      <w:pPr>
        <w:jc w:val="both"/>
        <w:ind w:right="160"/>
        <w:spacing w:after="0" w:line="235" w:lineRule="auto"/>
        <w:rPr>
          <w:sz w:val="20"/>
          <w:szCs w:val="20"/>
          <w:color w:val="auto"/>
        </w:rPr>
      </w:pPr>
      <w:r>
        <w:rPr>
          <w:rFonts w:ascii="Arial" w:cs="Arial" w:eastAsia="Arial" w:hAnsi="Arial"/>
          <w:sz w:val="22"/>
          <w:szCs w:val="22"/>
          <w:color w:val="auto"/>
        </w:rPr>
        <w:t>As a senior leader in the organization you will not accrue vacation hours, but will coordinate your time off around the needs of the business. You will be eligible on your first day of employment for our benefits plan, which allows you to choose the coverage that fits your needs. You will also be eligible to</w:t>
      </w:r>
    </w:p>
    <w:p>
      <w:pPr>
        <w:sectPr>
          <w:pgSz w:w="11900" w:h="16838" w:orient="portrait"/>
          <w:cols w:equalWidth="0" w:num="1">
            <w:col w:w="11220"/>
          </w:cols>
          <w:pgMar w:left="320" w:top="1419" w:right="359" w:bottom="1440" w:gutter="0" w:footer="0" w:header="0"/>
        </w:sectPr>
      </w:pPr>
    </w:p>
    <w:bookmarkStart w:id="73" w:name="page74"/>
    <w:bookmarkEnd w:id="73"/>
    <w:p>
      <w:pPr>
        <w:ind w:right="300"/>
        <w:spacing w:after="0" w:line="234" w:lineRule="auto"/>
        <w:rPr>
          <w:sz w:val="20"/>
          <w:szCs w:val="20"/>
          <w:color w:val="auto"/>
        </w:rPr>
      </w:pPr>
      <w:r>
        <w:rPr>
          <w:rFonts w:ascii="Arial" w:cs="Arial" w:eastAsia="Arial" w:hAnsi="Arial"/>
          <w:sz w:val="22"/>
          <w:szCs w:val="22"/>
          <w:color w:val="auto"/>
        </w:rPr>
        <w:t>join the Western Digital Corporation 401(k) Plan immediately. You will receive a complete benefits summary during your orientation on your first day of employment. Your position qualifies you for additional benefits provided exclusively to executives of your level including Financial Counseling Reimbursement and company paid life insurance up to $500,000 (US Dollars) (which may require evidence of insurability).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Employment Commencement</w:t>
      </w:r>
    </w:p>
    <w:p>
      <w:pPr>
        <w:ind w:right="80"/>
        <w:spacing w:after="0" w:line="235" w:lineRule="auto"/>
        <w:rPr>
          <w:sz w:val="20"/>
          <w:szCs w:val="20"/>
          <w:color w:val="auto"/>
        </w:rPr>
      </w:pPr>
      <w:r>
        <w:rPr>
          <w:rFonts w:ascii="Arial" w:cs="Arial" w:eastAsia="Arial" w:hAnsi="Arial"/>
          <w:sz w:val="22"/>
          <w:szCs w:val="22"/>
          <w:color w:val="auto"/>
        </w:rPr>
        <w:t>Your first day of employment will be a mutually acceptable date in March 2020 to be determined. Your work location will be at our headquarters at 5601 Great Oaks Parkway, San Jose, CA 95119. On your first day, you will be required to provide authentic documents that establish your identity and employment eligibility.</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Notwithstanding anything else contained herein to the contrary, this offer and your employment by Western Digital are subject to your appointment by the Board of Directors as Western Digital’s Chief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If there are any questions of which I may be of assistance, please let me know.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/s/Lori Sundberg</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Lori Sundberg</w:t>
      </w:r>
    </w:p>
    <w:p>
      <w:pPr>
        <w:spacing w:after="0"/>
        <w:rPr>
          <w:sz w:val="20"/>
          <w:szCs w:val="20"/>
          <w:color w:val="auto"/>
        </w:rPr>
      </w:pPr>
      <w:r>
        <w:rPr>
          <w:rFonts w:ascii="Arial" w:cs="Arial" w:eastAsia="Arial" w:hAnsi="Arial"/>
          <w:sz w:val="22"/>
          <w:szCs w:val="22"/>
          <w:color w:val="auto"/>
        </w:rPr>
        <w:t>Chief Human Resources Officer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Accepted and Agreed:</w:t>
      </w:r>
    </w:p>
    <w:p>
      <w:pPr>
        <w:sectPr>
          <w:pgSz w:w="11900" w:h="16838" w:orient="portrait"/>
          <w:cols w:equalWidth="0" w:num="1">
            <w:col w:w="11220"/>
          </w:cols>
          <w:pgMar w:left="320" w:top="1429" w:right="359" w:bottom="1440" w:gutter="0" w:footer="0" w:header="0"/>
        </w:sect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1"/>
          <w:szCs w:val="21"/>
          <w:u w:val="single" w:color="auto"/>
          <w:color w:val="auto"/>
        </w:rPr>
        <w:t>/s/David Goeckeler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David Goeckeler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auto"/>
        </w:rPr>
        <w:t>Date: 03/02/20</w:t>
      </w:r>
    </w:p>
    <w:p>
      <w:pPr>
        <w:sectPr>
          <w:pgSz w:w="11900" w:h="16838" w:orient="portrait"/>
          <w:cols w:equalWidth="0" w:num="2">
            <w:col w:w="8520" w:space="720"/>
            <w:col w:w="1980"/>
          </w:cols>
          <w:pgMar w:left="320" w:top="1429" w:right="35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88820"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9888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Western Digital Corporation</w:t>
      </w:r>
    </w:p>
    <w:p>
      <w:pPr>
        <w:spacing w:after="0" w:line="46"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5601 Great Oaks Parkway</w:t>
      </w:r>
    </w:p>
    <w:p>
      <w:pPr>
        <w:spacing w:after="0" w:line="42"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San Jose, California 95119</w:t>
      </w:r>
    </w:p>
    <w:p>
      <w:pPr>
        <w:spacing w:after="0" w:line="42"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(408) 717-6000</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Restricted Stock Units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Restricted Stock Unit Award Agreement – CEO Sign-On Award</w:t>
      </w:r>
    </w:p>
    <w:p>
      <w:pPr>
        <w:sectPr>
          <w:pgSz w:w="11900" w:h="16838" w:orient="portrait"/>
          <w:cols w:equalWidth="0" w:num="1">
            <w:col w:w="11240"/>
          </w:cols>
          <w:pgMar w:left="320" w:top="1417" w:right="339" w:bottom="1440" w:gutter="0" w:footer="0" w:header="0"/>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David Goeckeler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[address redacted]</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Number: [redacted]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Plan: 2017 Performance Incentive Plan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 [redacted]</w:t>
      </w:r>
    </w:p>
    <w:p>
      <w:pPr>
        <w:spacing w:after="0" w:line="200" w:lineRule="exact"/>
        <w:rPr>
          <w:sz w:val="20"/>
          <w:szCs w:val="20"/>
          <w:color w:val="auto"/>
        </w:rPr>
      </w:pPr>
    </w:p>
    <w:p>
      <w:pPr>
        <w:sectPr>
          <w:pgSz w:w="11900" w:h="16838" w:orient="portrait"/>
          <w:cols w:equalWidth="0" w:num="2">
            <w:col w:w="4820" w:space="720"/>
            <w:col w:w="5700"/>
          </w:cols>
          <w:pgMar w:left="320" w:top="1417" w:right="3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Congratulations! Effective March 9, 2020 (the “Grant Date”), you have been granted stock units (the “Restricted Stock Units”) of Western Digital Corporation. The Restricted Stock Units were granted under and are subject to the Corporation’s 2017 Performance Incentive Plan, as amended (the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265"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1500" w:type="dxa"/>
            <w:vAlign w:val="bottom"/>
            <w:gridSpan w:val="2"/>
          </w:tcPr>
          <w:p>
            <w:pPr>
              <w:jc w:val="center"/>
              <w:ind w:right="580"/>
              <w:spacing w:after="0"/>
              <w:rPr>
                <w:sz w:val="20"/>
                <w:szCs w:val="20"/>
                <w:color w:val="auto"/>
              </w:rPr>
            </w:pPr>
            <w:r>
              <w:rPr>
                <w:rFonts w:ascii="Arial" w:cs="Arial" w:eastAsia="Arial" w:hAnsi="Arial"/>
                <w:sz w:val="20"/>
                <w:szCs w:val="20"/>
                <w:color w:val="auto"/>
                <w:w w:val="90"/>
              </w:rPr>
              <w:t>Stock Units</w:t>
            </w:r>
          </w:p>
        </w:tc>
        <w:tc>
          <w:tcPr>
            <w:tcW w:w="700" w:type="dxa"/>
            <w:vAlign w:val="bottom"/>
          </w:tcPr>
          <w:p>
            <w:pPr>
              <w:spacing w:after="0"/>
              <w:rPr>
                <w:sz w:val="19"/>
                <w:szCs w:val="19"/>
                <w:color w:val="auto"/>
              </w:rPr>
            </w:pPr>
          </w:p>
        </w:tc>
        <w:tc>
          <w:tcPr>
            <w:tcW w:w="2160" w:type="dxa"/>
            <w:vAlign w:val="bottom"/>
            <w:gridSpan w:val="2"/>
          </w:tcPr>
          <w:p>
            <w:pPr>
              <w:jc w:val="center"/>
              <w:ind w:right="1380"/>
              <w:spacing w:after="0"/>
              <w:rPr>
                <w:sz w:val="20"/>
                <w:szCs w:val="20"/>
                <w:color w:val="auto"/>
              </w:rPr>
            </w:pPr>
            <w:r>
              <w:rPr>
                <w:rFonts w:ascii="Arial" w:cs="Arial" w:eastAsia="Arial" w:hAnsi="Arial"/>
                <w:sz w:val="20"/>
                <w:szCs w:val="20"/>
                <w:color w:val="auto"/>
                <w:w w:val="86"/>
              </w:rPr>
              <w:t>Vest Type</w:t>
            </w:r>
          </w:p>
        </w:tc>
        <w:tc>
          <w:tcPr>
            <w:tcW w:w="700" w:type="dxa"/>
            <w:vAlign w:val="bottom"/>
          </w:tcPr>
          <w:p>
            <w:pPr>
              <w:spacing w:after="0"/>
              <w:rPr>
                <w:sz w:val="20"/>
                <w:szCs w:val="20"/>
                <w:color w:val="auto"/>
              </w:rPr>
            </w:pPr>
            <w:r>
              <w:rPr>
                <w:rFonts w:ascii="Arial" w:cs="Arial" w:eastAsia="Arial" w:hAnsi="Arial"/>
                <w:sz w:val="20"/>
                <w:szCs w:val="20"/>
                <w:color w:val="auto"/>
                <w:w w:val="87"/>
              </w:rPr>
              <w:t>Full Vest</w:t>
            </w: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308"/>
        </w:trPr>
        <w:tc>
          <w:tcPr>
            <w:tcW w:w="920" w:type="dxa"/>
            <w:vAlign w:val="bottom"/>
          </w:tcPr>
          <w:p>
            <w:pPr>
              <w:jc w:val="center"/>
              <w:spacing w:after="0"/>
              <w:rPr>
                <w:sz w:val="20"/>
                <w:szCs w:val="20"/>
                <w:color w:val="auto"/>
              </w:rPr>
            </w:pPr>
            <w:r>
              <w:rPr>
                <w:rFonts w:ascii="Arial" w:cs="Arial" w:eastAsia="Arial" w:hAnsi="Arial"/>
                <w:sz w:val="20"/>
                <w:szCs w:val="20"/>
                <w:color w:val="auto"/>
                <w:w w:val="88"/>
              </w:rPr>
              <w:t>105,485</w:t>
            </w:r>
          </w:p>
        </w:tc>
        <w:tc>
          <w:tcPr>
            <w:tcW w:w="580" w:type="dxa"/>
            <w:vAlign w:val="bottom"/>
          </w:tcPr>
          <w:p>
            <w:pPr>
              <w:spacing w:after="0"/>
              <w:rPr>
                <w:sz w:val="24"/>
                <w:szCs w:val="24"/>
                <w:color w:val="auto"/>
              </w:rPr>
            </w:pPr>
          </w:p>
        </w:tc>
        <w:tc>
          <w:tcPr>
            <w:tcW w:w="2860" w:type="dxa"/>
            <w:vAlign w:val="bottom"/>
            <w:gridSpan w:val="3"/>
          </w:tcPr>
          <w:p>
            <w:pPr>
              <w:jc w:val="center"/>
              <w:ind w:right="680"/>
              <w:spacing w:after="0"/>
              <w:rPr>
                <w:sz w:val="20"/>
                <w:szCs w:val="20"/>
                <w:color w:val="auto"/>
              </w:rPr>
            </w:pPr>
            <w:r>
              <w:rPr>
                <w:rFonts w:ascii="Arial" w:cs="Arial" w:eastAsia="Arial" w:hAnsi="Arial"/>
                <w:sz w:val="20"/>
                <w:szCs w:val="20"/>
                <w:color w:val="auto"/>
                <w:w w:val="88"/>
              </w:rPr>
              <w:t>On Vest Date</w:t>
            </w:r>
          </w:p>
        </w:tc>
        <w:tc>
          <w:tcPr>
            <w:tcW w:w="700" w:type="dxa"/>
            <w:vAlign w:val="bottom"/>
          </w:tcPr>
          <w:p>
            <w:pPr>
              <w:spacing w:after="0"/>
              <w:rPr>
                <w:sz w:val="20"/>
                <w:szCs w:val="20"/>
                <w:color w:val="auto"/>
              </w:rPr>
            </w:pPr>
            <w:r>
              <w:rPr>
                <w:rFonts w:ascii="Arial" w:cs="Arial" w:eastAsia="Arial" w:hAnsi="Arial"/>
                <w:sz w:val="20"/>
                <w:szCs w:val="20"/>
                <w:color w:val="auto"/>
                <w:w w:val="87"/>
              </w:rPr>
              <w:t>3/9/2021</w:t>
            </w:r>
          </w:p>
        </w:tc>
      </w:tr>
      <w:tr>
        <w:trPr>
          <w:trHeight w:val="283"/>
        </w:trPr>
        <w:tc>
          <w:tcPr>
            <w:tcW w:w="920" w:type="dxa"/>
            <w:vAlign w:val="bottom"/>
          </w:tcPr>
          <w:p>
            <w:pPr>
              <w:jc w:val="center"/>
              <w:spacing w:after="0"/>
              <w:rPr>
                <w:sz w:val="20"/>
                <w:szCs w:val="20"/>
                <w:color w:val="auto"/>
              </w:rPr>
            </w:pPr>
            <w:r>
              <w:rPr>
                <w:rFonts w:ascii="Arial" w:cs="Arial" w:eastAsia="Arial" w:hAnsi="Arial"/>
                <w:sz w:val="20"/>
                <w:szCs w:val="20"/>
                <w:color w:val="auto"/>
                <w:w w:val="88"/>
              </w:rPr>
              <w:t>105,485</w:t>
            </w:r>
          </w:p>
        </w:tc>
        <w:tc>
          <w:tcPr>
            <w:tcW w:w="580" w:type="dxa"/>
            <w:vAlign w:val="bottom"/>
          </w:tcPr>
          <w:p>
            <w:pPr>
              <w:spacing w:after="0"/>
              <w:rPr>
                <w:sz w:val="24"/>
                <w:szCs w:val="24"/>
                <w:color w:val="auto"/>
              </w:rPr>
            </w:pPr>
          </w:p>
        </w:tc>
        <w:tc>
          <w:tcPr>
            <w:tcW w:w="2860" w:type="dxa"/>
            <w:vAlign w:val="bottom"/>
            <w:gridSpan w:val="3"/>
          </w:tcPr>
          <w:p>
            <w:pPr>
              <w:jc w:val="center"/>
              <w:ind w:right="680"/>
              <w:spacing w:after="0"/>
              <w:rPr>
                <w:sz w:val="20"/>
                <w:szCs w:val="20"/>
                <w:color w:val="auto"/>
              </w:rPr>
            </w:pPr>
            <w:r>
              <w:rPr>
                <w:rFonts w:ascii="Arial" w:cs="Arial" w:eastAsia="Arial" w:hAnsi="Arial"/>
                <w:sz w:val="20"/>
                <w:szCs w:val="20"/>
                <w:color w:val="auto"/>
                <w:w w:val="88"/>
              </w:rPr>
              <w:t>On Vest Date</w:t>
            </w:r>
          </w:p>
        </w:tc>
        <w:tc>
          <w:tcPr>
            <w:tcW w:w="700" w:type="dxa"/>
            <w:vAlign w:val="bottom"/>
          </w:tcPr>
          <w:p>
            <w:pPr>
              <w:spacing w:after="0"/>
              <w:rPr>
                <w:sz w:val="20"/>
                <w:szCs w:val="20"/>
                <w:color w:val="auto"/>
              </w:rPr>
            </w:pPr>
            <w:r>
              <w:rPr>
                <w:rFonts w:ascii="Arial" w:cs="Arial" w:eastAsia="Arial" w:hAnsi="Arial"/>
                <w:sz w:val="20"/>
                <w:szCs w:val="20"/>
                <w:color w:val="auto"/>
                <w:w w:val="87"/>
              </w:rPr>
              <w:t>3/9/2022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Your Restricted Stock Unit award is subject to the terms and conditions of this Notice, the attached Terms and Conditions for Restricted Stock Unit Award – CEO (the “Terms”) and the Plan. By accepting the award, you are agreeing to the terms of the award as set forth in those documents. You should read the Plan, the Prospectus for the Plan, and the Terms. The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Restricted Stock Units will be cancelled.</w:t>
      </w:r>
    </w:p>
    <w:p>
      <w:pPr>
        <w:spacing w:after="0" w:line="212"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auto"/>
        </w:rPr>
        <w:t>A copy of the Plan, the Prospectus for the Plan, and the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240"/>
          </w:cols>
          <w:pgMar w:left="320" w:top="1417" w:right="33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color w:val="auto"/>
        </w:rPr>
        <w:t>TERMS AND CONDITIONS FOR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 CEO</w:t>
      </w:r>
    </w:p>
    <w:p>
      <w:pPr>
        <w:jc w:val="center"/>
        <w:ind w:right="-19"/>
        <w:spacing w:after="0"/>
        <w:rPr>
          <w:sz w:val="20"/>
          <w:szCs w:val="20"/>
          <w:color w:val="auto"/>
        </w:rPr>
      </w:pPr>
      <w:r>
        <w:rPr>
          <w:rFonts w:ascii="Arial" w:cs="Arial" w:eastAsia="Arial" w:hAnsi="Arial"/>
          <w:sz w:val="22"/>
          <w:szCs w:val="22"/>
          <w:color w:val="auto"/>
        </w:rPr>
        <w:t>Amended and Restated 2017 Performance Incentive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Restricted Stock Units Subject to Amended and Restated 2017 Performance Incentive Plan</w:t>
      </w:r>
    </w:p>
    <w:p>
      <w:pPr>
        <w:spacing w:after="0" w:line="24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Restricted Stock Unit Award (the “Award”) referred to in the attached Notice of Grant of Restricted Stock Units and Restricted Stock Unit Award Agreement – CEO Sign-On Award (the “Notice”) was awarded under Western Digital Corporation’s (the “Corporation’s”) Amended and Restated 2017 Performance Incentive Plan, as amended (the “Plan”). Each Restricted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9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Stock Units are subject to the terms and provisions of the Notice, these Terms and Conditions for the Restricted Stock Unit Award – CEO (these “Terms”), and the Plan. To the extent any information in the Notice, the prospectus for the Plan, or other information provided by the Corporation conflicts with the Plan and/or these Terms, the Plan or these Terms, as applicable, shall control. To the extent any terms and provisions in these Terms conflict with the terms and provisions of the Plan, the Plan shall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Award Agreement</w:t>
      </w:r>
    </w:p>
    <w:p>
      <w:pPr>
        <w:spacing w:after="0" w:line="24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Notice and these Terms, together (the “Award Agreement”), constitute the award agreement with respect to the Award pursuant to Section 5.2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Deferral of Stock Units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Vesting</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Except as otherwise provided in this Award Agreement, the Award shall vest and become nonforfeitable in percentage installments of the aggregate number of Stock Units as set forth in the Notice. Except as expressly provided in Sections 7 and 8 below, vesting requires continued employment or service with the Corporation or one of its Subsidiaries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Dividend Equivalent Rights Distributions</w:t>
      </w:r>
    </w:p>
    <w:p>
      <w:pPr>
        <w:spacing w:after="0" w:line="24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spacing w:after="0" w:line="1" w:lineRule="exact"/>
        <w:rPr>
          <w:sz w:val="20"/>
          <w:szCs w:val="20"/>
          <w:color w:val="auto"/>
        </w:rPr>
      </w:pPr>
    </w:p>
    <w:p>
      <w:pPr>
        <w:ind w:right="180" w:firstLine="8"/>
        <w:spacing w:after="0" w:line="260"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Timing and Manner of Payment of Stock Units</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Subject to Section 7 below, any Stock Unit granted (or credited pursuant to Section 5) to the Participant that becomes vested (whether pursuant to Section 4, Section 7 or Section 8 hereof) shall be paid to the Participant on or within sixty (60) days following the date on</w:t>
      </w:r>
    </w:p>
    <w:p>
      <w:pPr>
        <w:sectPr>
          <w:pgSz w:w="11900" w:h="16838" w:orient="portrait"/>
          <w:cols w:equalWidth="0" w:num="1">
            <w:col w:w="11220"/>
          </w:cols>
          <w:pgMar w:left="320" w:top="1408" w:right="359" w:bottom="1440" w:gutter="0" w:footer="0" w:header="0"/>
        </w:sectPr>
      </w:pPr>
    </w:p>
    <w:bookmarkStart w:id="76" w:name="page77"/>
    <w:bookmarkEnd w:id="76"/>
    <w:p>
      <w:pPr>
        <w:spacing w:after="0" w:line="253" w:lineRule="auto"/>
        <w:rPr>
          <w:sz w:val="20"/>
          <w:szCs w:val="20"/>
          <w:color w:val="auto"/>
        </w:rPr>
      </w:pPr>
      <w:r>
        <w:rPr>
          <w:rFonts w:ascii="Arial" w:cs="Arial" w:eastAsia="Arial" w:hAnsi="Arial"/>
          <w:sz w:val="17"/>
          <w:szCs w:val="17"/>
          <w:color w:val="auto"/>
        </w:rPr>
        <w:t>which the Stock Unit vests.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Control Event</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payment for each Stock Unit that is otherwise outstanding on the date of such event and that becomes vested may be made in the form of cash in an amount equal to the fair market value of a share of Common Stock as of the date of the closing of such transaction.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and (B) such acceleration, termination and payment of the Award satisfies the requirements of Treas. Reg. Section 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Termination of Employment</w:t>
      </w:r>
    </w:p>
    <w:p>
      <w:pPr>
        <w:spacing w:after="0" w:line="243" w:lineRule="exact"/>
        <w:rPr>
          <w:sz w:val="20"/>
          <w:szCs w:val="20"/>
          <w:color w:val="auto"/>
        </w:rPr>
      </w:pPr>
    </w:p>
    <w:p>
      <w:pPr>
        <w:ind w:firstLine="8"/>
        <w:spacing w:after="0" w:line="238" w:lineRule="auto"/>
        <w:tabs>
          <w:tab w:leader="none" w:pos="2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Generally</w:t>
      </w:r>
      <w:r>
        <w:rPr>
          <w:rFonts w:ascii="Arial" w:cs="Arial" w:eastAsia="Arial" w:hAnsi="Arial"/>
          <w:sz w:val="18"/>
          <w:szCs w:val="18"/>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the Participant’s Stock Units shall, to the extent such Stock Units have not become vested upon the Separation Date,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immediately following the Separation Date.</w:t>
      </w:r>
    </w:p>
    <w:p>
      <w:pPr>
        <w:spacing w:after="0" w:line="220" w:lineRule="exact"/>
        <w:rPr>
          <w:rFonts w:ascii="Arial" w:cs="Arial" w:eastAsia="Arial" w:hAnsi="Arial"/>
          <w:sz w:val="18"/>
          <w:szCs w:val="18"/>
          <w:color w:val="auto"/>
        </w:rPr>
      </w:pPr>
    </w:p>
    <w:p>
      <w:pPr>
        <w:ind w:firstLine="8"/>
        <w:spacing w:after="0" w:line="269"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at a time when the Participant is employed by or providing services to the Corporation or any of its Subsidiaries, a portion of the otherwise outstanding and unvested Stock Units subject to the Award shall automatically become vested as of the date of the Participant’s death, and shall be paid to the Participant as provided in Section 6 above. In such event, the number of Stock Units that shall become vested on the date of the date of the Participant’s death equals (i) minus (ii) (but not less than zero), where (i) is the Employment Fraction (determined as set forth below)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date of the Separation Date (before taking the acceleration contemplated by this Section 8(b) into account and before taking the crediting of dividend equivalent Stock Units pursuant to Section 5 above into account). To the extent any Stock Units accelerate in connection with the Participant’s death pursuant to the preceding sentence, the dividend equivalent Stock Units credited pursuant to Section 5 above with respect to such Stock Units shall also accelerate and become vested as of the Separation Date. For purposes of this Section 8, the “Employment Fraction” equals a fraction (not greater than one), the numerator of which is the total number of calendar days in the period beginning with the Grant Date as set forth in the Notice through and including the Participant’s Separation Date, and the denominator of which is the total number of calendar days in the period</w:t>
      </w:r>
    </w:p>
    <w:p>
      <w:pPr>
        <w:sectPr>
          <w:pgSz w:w="11900" w:h="16838" w:orient="portrait"/>
          <w:cols w:equalWidth="0" w:num="1">
            <w:col w:w="11220"/>
          </w:cols>
          <w:pgMar w:left="320" w:top="1421" w:right="359" w:bottom="1440" w:gutter="0" w:footer="0" w:header="0"/>
        </w:sectPr>
      </w:pPr>
    </w:p>
    <w:bookmarkStart w:id="77" w:name="page78"/>
    <w:bookmarkEnd w:id="77"/>
    <w:p>
      <w:pPr>
        <w:ind w:right="340"/>
        <w:spacing w:after="0" w:line="261" w:lineRule="auto"/>
        <w:rPr>
          <w:sz w:val="20"/>
          <w:szCs w:val="20"/>
          <w:color w:val="auto"/>
        </w:rPr>
      </w:pPr>
      <w:r>
        <w:rPr>
          <w:rFonts w:ascii="Arial" w:cs="Arial" w:eastAsia="Arial" w:hAnsi="Arial"/>
          <w:sz w:val="18"/>
          <w:szCs w:val="18"/>
          <w:color w:val="auto"/>
        </w:rPr>
        <w:t>beginning with the Grant Date as set forth in the Notice through and including the last scheduled vesting date applicable to the Award as set forth in the Notice.</w:t>
      </w:r>
    </w:p>
    <w:p>
      <w:pPr>
        <w:spacing w:after="0" w:line="198" w:lineRule="exact"/>
        <w:rPr>
          <w:sz w:val="20"/>
          <w:szCs w:val="20"/>
          <w:color w:val="auto"/>
        </w:rPr>
      </w:pPr>
    </w:p>
    <w:p>
      <w:pPr>
        <w:ind w:right="380" w:firstLine="8"/>
        <w:spacing w:after="0" w:line="294" w:lineRule="auto"/>
        <w:tabs>
          <w:tab w:leader="none" w:pos="24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In the event the Participant ceases to be employed by the Corporation or any of its Subsidiaries as a result of a termination of employment by the Corporation or one of its Subsidiaries without “Cause” (as defined below), the Award (to the extent outstanding and not previously vested) shall fully vest on the Participant’s Separation Date and shall be paid to the Participant as provided in Section 6 above.</w:t>
      </w:r>
    </w:p>
    <w:p>
      <w:pPr>
        <w:spacing w:after="0" w:line="17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For purposes of this Award Agreement, the term “Cause” is used as defined in the Western Digital Corporation Executive Severance Plan (or any applicable successor executive severance plan, as each is in effect at the time of such termination of employment) (“Pre-CIC Severance Plan”); provided, however, that if such termination of the Participant’s employment occurs upon or within the one (1) year period following the occurrence of a Change in Control Event, the term “Cause” is used as defined in the Western Digital Corporation Amended and Restated Change of Control Severance Plan (or any applicable successor change of control severance plan, as each is in effect at the time of such termination of employment) (a “CIC Severance Plan”).</w:t>
      </w:r>
    </w:p>
    <w:p>
      <w:pPr>
        <w:spacing w:after="0" w:line="18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the event the Participant’s employment terminates in circumstances as to which the Participant is entitled to severance benefits pursuant to a CIC Severance Plan (and other than a termination in the circumstances described in the first paragraph of this Section 8(c)), the extent to which the Award vests will be determined in accordance with the applicable provisions of the CIC Severance Plan.</w:t>
      </w:r>
    </w:p>
    <w:p>
      <w:pPr>
        <w:spacing w:after="0" w:line="209"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Notwithstanding the foregoing, any accelerated vesting of the Award pursuant to this Section 8(c) is subject to the Participant satisfying the release requirements of the Pre-CIC Severance Plan (in the case of a termination prior to or more than one year after a Change in Control Event) or of the CIC Severance Plan (in the case of a termination within one year after a Change in Control Event).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treatment of the Award in any circumstances as to which the Participant is entitled to severance benefits pursuant to a Pre-CIC Severance Plan or a CIC Severance Plan (including, without limitation, the extent (if any) to which the Award vests or accelerates in such circumstances (other than as expressly provided in this Section 8(c)) as well as the timing of payment of the Award)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Adjustments</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Withholding Taxes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ectPr>
          <w:pgSz w:w="11900" w:h="16838" w:orient="portrait"/>
          <w:cols w:equalWidth="0" w:num="1">
            <w:col w:w="11240"/>
          </w:cols>
          <w:pgMar w:left="320" w:top="14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11. Nontransferability</w:t>
      </w:r>
    </w:p>
    <w:p>
      <w:pPr>
        <w:spacing w:after="0" w:line="2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w:t>
      </w:r>
      <w:r>
        <w:rPr>
          <w:rFonts w:ascii="Arial" w:cs="Arial" w:eastAsia="Arial" w:hAnsi="Arial"/>
          <w:sz w:val="17"/>
          <w:szCs w:val="17"/>
          <w:i w:val="1"/>
          <w:iCs w:val="1"/>
          <w:color w:val="auto"/>
        </w:rPr>
        <w:t>i.e.</w:t>
      </w:r>
      <w:r>
        <w:rPr>
          <w:rFonts w:ascii="Arial" w:cs="Arial" w:eastAsia="Arial" w:hAnsi="Arial"/>
          <w:sz w:val="17"/>
          <w:szCs w:val="17"/>
          <w:color w:val="auto"/>
        </w:rPr>
        <w:t>, upon the termination of a Stock Unit), or (b) transfers by will or the laws of descent and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 Right to Employment</w:t>
      </w:r>
    </w:p>
    <w:p>
      <w:pPr>
        <w:spacing w:after="0" w:line="24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Rights as a Stockholder</w:t>
      </w:r>
    </w:p>
    <w:p>
      <w:pPr>
        <w:spacing w:after="0" w:line="2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Subject to the provisions of the Plan, the Notice and these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Notices</w:t>
      </w:r>
    </w:p>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Arbitration</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Any controversy arising out of or relating to this Award Agreement (including these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w:t>
      </w:r>
    </w:p>
    <w:p>
      <w:pPr>
        <w:sectPr>
          <w:pgSz w:w="11900" w:h="16838" w:orient="portrait"/>
          <w:cols w:equalWidth="0" w:num="1">
            <w:col w:w="11240"/>
          </w:cols>
          <w:pgMar w:left="320" w:top="1417" w:right="339" w:bottom="1440" w:gutter="0" w:footer="0" w:header="0"/>
        </w:sectPr>
      </w:pPr>
    </w:p>
    <w:bookmarkStart w:id="79" w:name="page80"/>
    <w:bookmarkEnd w:id="79"/>
    <w:p>
      <w:pPr>
        <w:spacing w:after="0" w:line="252" w:lineRule="auto"/>
        <w:rPr>
          <w:sz w:val="20"/>
          <w:szCs w:val="20"/>
          <w:color w:val="auto"/>
        </w:rPr>
      </w:pPr>
      <w:r>
        <w:rPr>
          <w:rFonts w:ascii="Arial" w:cs="Arial" w:eastAsia="Arial" w:hAnsi="Arial"/>
          <w:sz w:val="17"/>
          <w:szCs w:val="17"/>
          <w:color w:val="auto"/>
        </w:rPr>
        <w:t>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Governing Law</w:t>
      </w:r>
    </w:p>
    <w:p>
      <w:pPr>
        <w:spacing w:after="0" w:line="2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This Award Agreement, including these Terms, shall be interpreted and construed in accordance with the laws of the State of Delaware (without regard to conflict of law principles thereunder) and applicable United States federal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Severability</w:t>
      </w:r>
    </w:p>
    <w:p>
      <w:pPr>
        <w:spacing w:after="0" w:line="1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Except as otherwise provided by Section 15, if the arbitrator selected in accordance with Section 15 above or a court of competent jurisdiction determines that any portion of this Award Agreement (including these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Entire Agreement</w:t>
      </w:r>
    </w:p>
    <w:p>
      <w:pPr>
        <w:spacing w:after="0" w:line="243"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This Award Agreement (including these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Section Headings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Imposition of Other Requirements</w:t>
      </w:r>
    </w:p>
    <w:p>
      <w:pPr>
        <w:spacing w:after="0" w:line="243"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ectPr>
          <w:pgSz w:w="11900" w:h="16838" w:orient="portrait"/>
          <w:cols w:equalWidth="0" w:num="1">
            <w:col w:w="11240"/>
          </w:cols>
          <w:pgMar w:left="320" w:top="14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21. Construction</w:t>
      </w:r>
    </w:p>
    <w:p>
      <w:pPr>
        <w:spacing w:after="0" w:line="2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Clawback Policy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as well as any payment (whether in cash, shares of Common Stock or other property) made pursuant to the Award with respect to the Stock Units, are subject to the terms of the Corporation’s Compensation Recovery Policy (as well as any successor compensation recoupment, clawback or similar policy adopted by the Corporation), as each may be in effect from time to time, as well as any compensation recoupment, clawback or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No Advice Regarding Grant</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180"/>
          </w:cols>
          <w:pgMar w:left="320" w:top="1417" w:right="3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88820" cy="342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988820" cy="34290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Western Digital Corporation</w:t>
      </w:r>
    </w:p>
    <w:p>
      <w:pPr>
        <w:spacing w:after="0" w:line="46"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5601 Great Oaks Parkway</w:t>
      </w:r>
    </w:p>
    <w:p>
      <w:pPr>
        <w:spacing w:after="0" w:line="42"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San Jose, California 95119</w:t>
      </w:r>
    </w:p>
    <w:p>
      <w:pPr>
        <w:spacing w:after="0" w:line="42"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(408) 717-6000</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Performance Stock Units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Performance Stock Unit Award Agreement – TSR Measure (CEO Sign-On Award)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David Goeckeler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Award Number: [redacted]</w:t>
      </w:r>
    </w:p>
    <w:p>
      <w:pPr>
        <w:spacing w:after="0" w:line="79" w:lineRule="exact"/>
        <w:rPr>
          <w:sz w:val="20"/>
          <w:szCs w:val="20"/>
          <w:color w:val="auto"/>
        </w:rPr>
      </w:pPr>
    </w:p>
    <w:p>
      <w:pPr>
        <w:sectPr>
          <w:pgSz w:w="11900" w:h="16838" w:orient="portrait"/>
          <w:cols w:equalWidth="0" w:num="2">
            <w:col w:w="6020" w:space="720"/>
            <w:col w:w="4500"/>
          </w:cols>
          <w:pgMar w:left="320" w:top="141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[address redacted]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Plan: 2017 Performance Incentive Plan</w:t>
      </w:r>
    </w:p>
    <w:p>
      <w:pPr>
        <w:spacing w:after="0" w:line="79" w:lineRule="exact"/>
        <w:rPr>
          <w:sz w:val="20"/>
          <w:szCs w:val="20"/>
          <w:color w:val="auto"/>
        </w:rPr>
      </w:pPr>
    </w:p>
    <w:p>
      <w:pPr>
        <w:sectPr>
          <w:pgSz w:w="11900" w:h="16838" w:orient="portrait"/>
          <w:cols w:equalWidth="0" w:num="2">
            <w:col w:w="6020" w:space="720"/>
            <w:col w:w="4500"/>
          </w:cols>
          <w:pgMar w:left="320" w:top="1417" w:right="339" w:bottom="1440" w:gutter="0" w:footer="0" w:header="0"/>
          <w:type w:val="continuous"/>
        </w:sectPr>
      </w:pPr>
    </w:p>
    <w:p>
      <w:pPr>
        <w:ind w:left="6740"/>
        <w:spacing w:after="0"/>
        <w:rPr>
          <w:sz w:val="20"/>
          <w:szCs w:val="20"/>
          <w:color w:val="auto"/>
        </w:rPr>
      </w:pPr>
      <w:r>
        <w:rPr>
          <w:rFonts w:ascii="Arial" w:cs="Arial" w:eastAsia="Arial" w:hAnsi="Arial"/>
          <w:sz w:val="19"/>
          <w:szCs w:val="19"/>
          <w:b w:val="1"/>
          <w:bCs w:val="1"/>
          <w:color w:val="auto"/>
        </w:rPr>
        <w:t>ID: [redacted]</w:t>
      </w: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Congratulations! Effective March 9, 2020 (the “Grant Date”), you have been granted stock units (the “Performance Stock Units”) of Western Digital Corporation (the “Corporation”). These Performance Stock Units were granted under and are subject to the Corporation’s 2017 Performance Incentive Plan, as amended (the “Plan”).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Target Number of Performance Stock Units: </w:t>
      </w:r>
      <w:r>
        <w:rPr>
          <w:rFonts w:ascii="Arial" w:cs="Arial" w:eastAsia="Arial" w:hAnsi="Arial"/>
          <w:sz w:val="22"/>
          <w:szCs w:val="22"/>
          <w:color w:val="auto"/>
        </w:rPr>
        <w:t>432,489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The last day of the Measurement Period (as defined below)</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Measurement Period covered by grant: </w:t>
      </w:r>
      <w:r>
        <w:rPr>
          <w:rFonts w:ascii="Arial" w:cs="Arial" w:eastAsia="Arial" w:hAnsi="Arial"/>
          <w:sz w:val="22"/>
          <w:szCs w:val="22"/>
          <w:color w:val="auto"/>
        </w:rPr>
        <w:t>The “Measurement Period” applicable to the Performance Stock Units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award is the performance measurement period that begins March 9, 2020 and ends March 8, 2023. The actual number of Performance Stock Units that may become eligible to vest on the Vesting Date based on performance during the Measurement Period may range from 0% to 150% of the Total Target Number of Performance Stock Units subject to the award, subject to forfeiture under Section 8 of the attached Terms and Conditions for Performance Stock Unit Award </w:t>
      </w:r>
      <w:r>
        <w:rPr>
          <w:rFonts w:ascii="Arial" w:cs="Arial" w:eastAsia="Arial" w:hAnsi="Arial"/>
          <w:sz w:val="22"/>
          <w:szCs w:val="22"/>
          <w:b w:val="1"/>
          <w:bCs w:val="1"/>
          <w:color w:val="auto"/>
        </w:rPr>
        <w:t>–</w:t>
      </w:r>
      <w:r>
        <w:rPr>
          <w:rFonts w:ascii="Arial" w:cs="Arial" w:eastAsia="Arial" w:hAnsi="Arial"/>
          <w:sz w:val="22"/>
          <w:szCs w:val="22"/>
          <w:color w:val="auto"/>
        </w:rPr>
        <w:t xml:space="preserve"> TSR Measure (CEO Sign-On Award) (the “Terms”).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Your Performance Stock Unit award is subject to the terms and conditions of this Notice, the attached Terms and the Plan. By accepting the award, you are agreeing to the terms of the award as set forth in those documents. You should read the Plan, the Prospectus for the Plan, and the Terms. The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206"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color w:val="auto"/>
        </w:rPr>
        <w:t>A copy of the Plan, the Prospectus for the Plan, and the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240"/>
          </w:cols>
          <w:pgMar w:left="320" w:top="1417"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TERMS AND CONDITIONS 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AWARD - TSR MEASURE (CEO SIGN-ON AWARD)</w:t>
      </w:r>
    </w:p>
    <w:p>
      <w:pPr>
        <w:jc w:val="center"/>
        <w:ind w:right="-19"/>
        <w:spacing w:after="0"/>
        <w:rPr>
          <w:sz w:val="20"/>
          <w:szCs w:val="20"/>
          <w:color w:val="auto"/>
        </w:rPr>
      </w:pPr>
      <w:r>
        <w:rPr>
          <w:rFonts w:ascii="Arial" w:cs="Arial" w:eastAsia="Arial" w:hAnsi="Arial"/>
          <w:sz w:val="22"/>
          <w:szCs w:val="22"/>
          <w:color w:val="auto"/>
        </w:rPr>
        <w:t>Amended and Restated 2017 Performance Incentive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Performance Stock Units Subject to Amended and Restated 2017 Performance Incentive Plan</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Performance Stock Unit Award (the “Award”) referred to in the attached Notice of Grant of Performance Stock Units and Performance Stock Unit Award Agreement - TSR Measure (CEO Sign-On Award)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Units are subject to the terms and provisions of the Notice, these Terms and Conditions for the Performance Stock Unit Award – TSR Measure (CEO Sign-On Award) (these “Terms”), and the Plan. To the extent any information in the Notice, the prospectus for the Plan, or other information provided by the Corporation conflicts with the Plan and/or these Terms, the Plan or these Terms, as applicable, shall control. To the extent any terms and provisions in these Terms conflict with the terms and provisions of the Plan, the Plan shall control.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Award Agreement</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Notice and these Terms, together (the “Award Agreement”), constitute the award agreement with respect to the Award pursuant to Section 5.2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Deferral of Stock Units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Vesting</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Following the end of the Measurement Period as set forth in the Notice, the Administrator shall determine, in accordance with the performance goals and related criteria and methodology established by the Administrator for the Measurement Period, the extent to which the performance goals have been achieved and the actual number of Stock Units becoming eligible to vest (subject to the following paragraph) based on performance during the Measurement Period. Any Stock Units (including any related Stock Units credited as dividend equivalents pursuant to Section 5) that do not become eligible to vest based on performance during the Measurement Period shall terminate as of the end of the Measurement Period when the Administrator has determined the extent to which the performance goal has not been achieved for the Measurement Period, and the Participant shall have no further rights with respect to such terminated Stock Units.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Except as otherwise provided in this Award Agreement, and subject to Section 8 below, the number of Stock Units becoming eligible to vest based on performance during the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ectPr>
          <w:pgSz w:w="11900" w:h="16838" w:orient="portrait"/>
          <w:cols w:equalWidth="0" w:num="1">
            <w:col w:w="11240"/>
          </w:cols>
          <w:pgMar w:left="320" w:top="14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5. Dividend Equivalent Rights Distributions</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spacing w:after="0" w:line="1" w:lineRule="exact"/>
        <w:rPr>
          <w:sz w:val="20"/>
          <w:szCs w:val="20"/>
          <w:color w:val="auto"/>
        </w:rPr>
      </w:pPr>
    </w:p>
    <w:p>
      <w:pPr>
        <w:jc w:val="both"/>
        <w:ind w:firstLine="8"/>
        <w:spacing w:after="0" w:line="237" w:lineRule="auto"/>
        <w:tabs>
          <w:tab w:leader="none" w:pos="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Timing and Manner of Payment of Stock Units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Subject to Section 7 below, any Stock Unit granted (or credited pursuant to Section 5) to the Participant that becomes vested (whether pursuant to Section 4, Section 7 or Section 8 hereof), shall be paid to the Participant within sixty (60) days following the Vesting Date.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Control Event</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 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ectPr>
          <w:pgSz w:w="11900" w:h="16838" w:orient="portrait"/>
          <w:cols w:equalWidth="0" w:num="1">
            <w:col w:w="11240"/>
          </w:cols>
          <w:pgMar w:left="320" w:top="141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8. Termination of Employment</w:t>
      </w:r>
    </w:p>
    <w:p>
      <w:pPr>
        <w:spacing w:after="0" w:line="243" w:lineRule="exact"/>
        <w:rPr>
          <w:sz w:val="20"/>
          <w:szCs w:val="20"/>
          <w:color w:val="auto"/>
        </w:rPr>
      </w:pPr>
    </w:p>
    <w:p>
      <w:pPr>
        <w:jc w:val="both"/>
        <w:ind w:firstLine="8"/>
        <w:spacing w:after="0" w:line="274" w:lineRule="auto"/>
        <w:tabs>
          <w:tab w:leader="none" w:pos="24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90" w:lineRule="exact"/>
        <w:rPr>
          <w:rFonts w:ascii="Arial" w:cs="Arial" w:eastAsia="Arial" w:hAnsi="Arial"/>
          <w:sz w:val="16"/>
          <w:szCs w:val="16"/>
          <w:color w:val="auto"/>
        </w:rPr>
      </w:pPr>
    </w:p>
    <w:p>
      <w:pPr>
        <w:jc w:val="both"/>
        <w:ind w:firstLine="8"/>
        <w:spacing w:after="0" w:line="270"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that shall become vested on the Vesting Date equals (i) the Employment Fraction (determined as set forth below) multiplied by (ii) the number of Stock Units subject to the Award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w:t>
      </w:r>
    </w:p>
    <w:p>
      <w:pPr>
        <w:spacing w:after="0" w:line="198" w:lineRule="exact"/>
        <w:rPr>
          <w:rFonts w:ascii="Arial" w:cs="Arial" w:eastAsia="Arial" w:hAnsi="Arial"/>
          <w:sz w:val="16"/>
          <w:szCs w:val="16"/>
          <w:color w:val="auto"/>
        </w:rPr>
      </w:pPr>
    </w:p>
    <w:p>
      <w:pPr>
        <w:jc w:val="both"/>
        <w:ind w:firstLine="8"/>
        <w:spacing w:after="0" w:line="241" w:lineRule="auto"/>
        <w:tabs>
          <w:tab w:leader="none" w:pos="24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event the Participant ceases to be employed by the Corporation or any of its Subsidiaries prior to the Vesting Date as a result of a termination of employment by the Corporation or one of its Subsidiaries without “Cause” (as defined below), the Award shall vest on the Vesting Date as to the number of Stock Units subject to the Award that would have otherwise (had the Separation Date not occurred prior to the Vesting Date) become vested on the Vesting Date (determined before taking the crediting of dividend equivalent Stock Units pursuant to Section 5 above into account) and shall be paid to the Participant as provided in Section 6 above.</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purposes of this Award Agreement, the term “Cause” is used as defined in the Western Digital Corporation Executive Severance Plan (or any applicable successor executive severance plan, as each is in effect at the time of such termination of employment) (“Pre-CIC Severance Plan”); provided, however, that if such termination of the Participant’s employment occurs upon or within the one (1) year period following the occurrence of a Change in Control Event, the term “Cause” is used as defined in the Western Digital Corporation Amended and Restated Change of Control Severance Plan (or any applicable successor change of control severance plan, as each is in effect at the time of such termination of employment) (a “CIC Severance Plan”).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event the Participant’s employment terminates in circumstances as to which the Participant is entitled to severance benefits pursuant to a CIC Severance Plan (and other than a termination in the circumstances described in the first paragraph of this Section 8(c)), the extent to which the Award vests will be determined in accordance with the applicable provisions of the CIC Severance Plan.</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Notwithstanding the foregoing, any accelerated vesting of the Award pursuant to this Section 8(c) above is subject to the Participant satisfying the release requirements of the Pre-CIC Severance Plan (in the case of a termination prior to or more than one year after a Change in Control Event) or of the CIC Severance Plan (in the case of a termination within one year after a Change in Control Event).</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treatment of the Award in any circumstances as to which the Participant is entitled to severance benefits pursuant to a Pre-CIC Severance Plan or a CIC Severance Plan (including, without limitation, the extent (if any) to which the Award vests or accelerates in such circumstances (other than as expressly provided in this Section 8(c))) as well as the timing of payment of the Award),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ectPr>
          <w:pgSz w:w="11900" w:h="16838" w:orient="portrait"/>
          <w:cols w:equalWidth="0" w:num="1">
            <w:col w:w="11240"/>
          </w:cols>
          <w:pgMar w:left="320" w:top="141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9. Adjustments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Withholding Taxes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Nontransferability</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 Right to Employment</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Rights as a Stockholder</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Subject to the provisions of the Plan, the Notice and these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Notices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w:t>
      </w:r>
    </w:p>
    <w:p>
      <w:pPr>
        <w:sectPr>
          <w:pgSz w:w="11900" w:h="16838" w:orient="portrait"/>
          <w:cols w:equalWidth="0" w:num="1">
            <w:col w:w="11240"/>
          </w:cols>
          <w:pgMar w:left="320" w:top="1417" w:right="339" w:bottom="1440" w:gutter="0" w:footer="0" w:header="0"/>
        </w:sectPr>
      </w:pPr>
    </w:p>
    <w:bookmarkStart w:id="86" w:name="page87"/>
    <w:bookmarkEnd w:id="86"/>
    <w:p>
      <w:pPr>
        <w:jc w:val="both"/>
        <w:spacing w:after="0" w:line="248" w:lineRule="auto"/>
        <w:rPr>
          <w:sz w:val="20"/>
          <w:szCs w:val="20"/>
          <w:color w:val="auto"/>
        </w:rPr>
      </w:pPr>
      <w:r>
        <w:rPr>
          <w:rFonts w:ascii="Arial" w:cs="Arial" w:eastAsia="Arial" w:hAnsi="Arial"/>
          <w:sz w:val="18"/>
          <w:szCs w:val="18"/>
          <w:color w:val="auto"/>
        </w:rPr>
        <w:t>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Arbitration</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Any controversy arising out of or relating to this Award Agreement (including these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(“Covered Claims”), shall be resolved in accordance with the terms and conditions of the Western Digital Technologies, Inc. Dispute Resolution Agreement (the “DRA”). If, however, Participant has opted out of the DRA pursuant to Section 3.3 of the DRA, any Covered Claims by Corporation or Participant shall be submitted to arbitration pursuant to this Section 15. Such arbitration shall be held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Except as otherwise stated herein, this Section 15 also requires arbitration of any disputes concerning the enforceability, interpretation, and/or implementation of this Section 15 and the arbitrability of any claims brought hereunder, which shall also be decided by an arbitrator. To the fullest extent permitted by applicable law, Participant and Corporation agree to bring any Covered Claims on an individual basis only, and not on a class, collective, joint, or representative basis. If, however, the preceding sentence be determined invalid or unenforceable with respect to any particular Covered Claim, than that Covered Claim will not proceed in arbitration but rather will be resolved in a court of competent jurisdiction. If that occurs, however, this Section 15 will still be fully enforceable as to all other Covered Claims, which must be resolved in arbitration on an individual basis. Any arbitrable claims in arbitration will be resolved first and the parties agree to seek a stay of any non-arbitrable claims until the full completion of the arbitral process. Any claim that the requirement in this Section 15 that Covered Claims be arbitrated on an individual basis only is invalid, unenforceable, unconscionable, void or voidable may be determined only by a court of competent jurisdiction and not by an Arbitrator. Final resolution of any dispute through arbitration may include any and all remedies that may be obtained in a court. Statutes of limitation for Covered Claims submitted to arbitration under this Section 15 shall be the same as they would be if those claims were brought in court.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arbitrator may not award attorneys’ fees to a party that would not otherwise be entitled to such an award under the applicable statute. The parties acknowledge and agree that they are hereby waiving any rights to trial by jury in any action, proceeding or counterclaim brought by either of the parties against the other in connection with any matter whatsoever arising out of or in any way connected with any Covered Claim(s), either by virtue of Participant’s acceptance without opting out of the DRA or, if Participant did opt out of the DRA, by virtue of the provisions of this Section 15.</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Governing Law</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This Award Agreement, including these Terms, shall be interpreted and construed in accordance with the laws of the State of Delaware (without regard to conflict of law principles thereunder) and applicable United States federal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Severability</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Except as otherwise provided by Section 15, if the arbitrator selected in accordance with Section 15 above or a court of competent jurisdiction determines that any portion of this Award Agreement (including these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except as otherwise provided by Section 15, it is the parties’ intent that any order striking any portion of this Award Agreement and/or the Plan should modify the stricken terms as narrowly as possible to give as much effect as possible to the intentions of the parties hereunder.</w:t>
      </w:r>
    </w:p>
    <w:p>
      <w:pPr>
        <w:sectPr>
          <w:pgSz w:w="11900" w:h="16838" w:orient="portrait"/>
          <w:cols w:equalWidth="0" w:num="1">
            <w:col w:w="11240"/>
          </w:cols>
          <w:pgMar w:left="320" w:top="1421" w:right="339" w:bottom="1440" w:gutter="0" w:footer="0" w:header="0"/>
        </w:sectPr>
      </w:pPr>
    </w:p>
    <w:bookmarkStart w:id="87" w:name="page88"/>
    <w:bookmarkEnd w:id="87"/>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Entire Agreement</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Award Agreement (including these Terms) and the Plan together constitute the entire agreement and supersede all prior understandings and agreements, written or oral, of the parties hereto with respect to the subject matter hereof. However, this Award Agreement shall not supersede or in any way affect the DRA, which shall remain in full force and effect, unless Participant opted out of the DRA pursuant to the provisions therein.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Section Headings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Imposition of Other Requirements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Construction</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Clawback Policy</w:t>
      </w:r>
    </w:p>
    <w:p>
      <w:pPr>
        <w:spacing w:after="0" w:line="24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Stock Units, as well as any payment (whether in cash, shares of Common Stock or other property) made pursuant to the Award with respect to the Stock Units, are subject to the terms of the Corporation’s Compensation Recovery Policy (as well as any successor compensation recoupment, clawback or similar policy adopted by the Corporation), as each may be in effect from time to time, as well as any compensation recoupment, clawback or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No Advice Regarding Grant</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STOCK UNIT AWARD – TSR MEASURE (CEO SIGN-ON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AWARD)</w:t>
      </w:r>
    </w:p>
    <w:p>
      <w:pPr>
        <w:jc w:val="center"/>
        <w:ind w:right="-19"/>
        <w:spacing w:after="0"/>
        <w:rPr>
          <w:sz w:val="20"/>
          <w:szCs w:val="20"/>
          <w:color w:val="auto"/>
        </w:rPr>
      </w:pPr>
      <w:r>
        <w:rPr>
          <w:rFonts w:ascii="Arial" w:cs="Arial" w:eastAsia="Arial" w:hAnsi="Arial"/>
          <w:sz w:val="22"/>
          <w:szCs w:val="22"/>
          <w:b w:val="1"/>
          <w:bCs w:val="1"/>
          <w:color w:val="auto"/>
        </w:rPr>
        <w:t>Performance Measures and Goals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DEFINED TERMS:</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Relative TSR</w:t>
      </w:r>
      <w:r>
        <w:rPr>
          <w:rFonts w:ascii="Arial" w:cs="Arial" w:eastAsia="Arial" w:hAnsi="Arial"/>
          <w:sz w:val="18"/>
          <w:szCs w:val="18"/>
          <w:color w:val="auto"/>
        </w:rPr>
        <w:t>” means the percentile ranking of the Corporation’s TSR for the Measurement Period among the TSRs for the S&amp;P 500 Index Companies for the Measurement Period. If the Corporation’s TSR for the Measurement Period is equal to the TSR(s) of one or more other S&amp;P 500 Index Companies for the Measurement Period, the Corporation’s TSR will be deemed to be greater than the TSR of such other S&amp;P 500 Index Company (or Companies) for that period.</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b w:val="1"/>
          <w:bCs w:val="1"/>
          <w:color w:val="auto"/>
        </w:rPr>
        <w:t xml:space="preserve">“Total Stockholder Return” </w:t>
      </w:r>
      <w:r>
        <w:rPr>
          <w:rFonts w:ascii="Arial" w:cs="Arial" w:eastAsia="Arial" w:hAnsi="Arial"/>
          <w:sz w:val="17"/>
          <w:szCs w:val="17"/>
          <w:color w:val="auto"/>
        </w:rPr>
        <w:t>or “</w:t>
      </w:r>
      <w:r>
        <w:rPr>
          <w:rFonts w:ascii="Arial" w:cs="Arial" w:eastAsia="Arial" w:hAnsi="Arial"/>
          <w:sz w:val="17"/>
          <w:szCs w:val="17"/>
          <w:b w:val="1"/>
          <w:bCs w:val="1"/>
          <w:color w:val="auto"/>
        </w:rPr>
        <w:t>TSR</w:t>
      </w:r>
      <w:r>
        <w:rPr>
          <w:rFonts w:ascii="Arial" w:cs="Arial" w:eastAsia="Arial" w:hAnsi="Arial"/>
          <w:sz w:val="17"/>
          <w:szCs w:val="17"/>
          <w:color w:val="auto"/>
        </w:rPr>
        <w:t>” means, with respect to the Corporation and each of the S&amp;P 500 Index Companies, the change 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price plus dividends paid over the Measurement Period, using the average of closing stock prices during the first forty-five (45) calendar days of the Measurement Period, inclusive of the first trading day of the Measurement Period, and the average of the closing stock prices during the forty-five (45) calendar days prior to the end of the Measurement Period, inclusive of the last trading day of the Measurement Period, and with dividends deemed reinvested on the applicable dividend payment date. There shall also be an equitable and proportionate adjustment to the relevant stock price(s) to the extent (if any) necessary to preserve the intended incentives and mitigate the impact of any stock split, stock dividend or reverse stock split occurring after the start of the applicable forty-five (45) day period and before the end of the Measurement Period.</w:t>
      </w:r>
    </w:p>
    <w:p>
      <w:pPr>
        <w:spacing w:after="0" w:line="20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 xml:space="preserve">“S&amp;P 500 Index Companies” </w:t>
      </w:r>
      <w:r>
        <w:rPr>
          <w:rFonts w:ascii="Arial" w:cs="Arial" w:eastAsia="Arial" w:hAnsi="Arial"/>
          <w:sz w:val="18"/>
          <w:szCs w:val="18"/>
          <w:color w:val="auto"/>
        </w:rPr>
        <w:t>means each company that is a member of the Standard &amp; Poor’s 500 index at the beginning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Notwithstanding the foregoing, a company shall not be included as an S&amp;P 500 Index Company if it does not separately and publicly report with the U.S. Securities and Exchange Commission financial information over the course of the entire Measurement Period, except in the event of a company’s bankruptcy, filing for protection from creditors or adoption of a plan of liquidation, in which case that company’s TSR performance for the Measurement Period shall be reflected at -100%.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not defined in this Exhibit have the meaning set forth in the Award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DETERMINATION OF STOCK UNITS ELIGIBLE TO VEST WITH RESPECT TO THE MEASUREMENT PERIOD:</w:t>
      </w:r>
    </w:p>
    <w:p>
      <w:pPr>
        <w:spacing w:after="0" w:line="243" w:lineRule="exact"/>
        <w:rPr>
          <w:sz w:val="20"/>
          <w:szCs w:val="20"/>
          <w:color w:val="auto"/>
        </w:rPr>
      </w:pPr>
    </w:p>
    <w:p>
      <w:pPr>
        <w:ind w:left="660" w:firstLine="648"/>
        <w:spacing w:after="0" w:line="261" w:lineRule="auto"/>
        <w:rPr>
          <w:sz w:val="20"/>
          <w:szCs w:val="20"/>
          <w:color w:val="auto"/>
        </w:rPr>
      </w:pPr>
      <w:r>
        <w:rPr>
          <w:rFonts w:ascii="Arial" w:cs="Arial" w:eastAsia="Arial" w:hAnsi="Arial"/>
          <w:sz w:val="18"/>
          <w:szCs w:val="18"/>
          <w:color w:val="auto"/>
        </w:rPr>
        <w:t>The portion of the total target number of Stock Units subject to the award (as set forth in the Notice) that become eligible to vest will be determined based on a Relative TSR measure for the Measurement Period as set forth below:</w:t>
      </w:r>
    </w:p>
    <w:p>
      <w:pPr>
        <w:spacing w:after="0" w:line="219" w:lineRule="exact"/>
        <w:rPr>
          <w:sz w:val="20"/>
          <w:szCs w:val="20"/>
          <w:color w:val="auto"/>
        </w:rPr>
      </w:pPr>
    </w:p>
    <w:tbl>
      <w:tblPr>
        <w:tblLayout w:type="fixed"/>
        <w:tblInd w:w="1310" w:type="dxa"/>
        <w:tblCellMar>
          <w:top w:w="0" w:type="dxa"/>
          <w:left w:w="0" w:type="dxa"/>
          <w:bottom w:w="0" w:type="dxa"/>
          <w:right w:w="0" w:type="dxa"/>
        </w:tblCellMar>
      </w:tblPr>
      <w:tr>
        <w:trPr>
          <w:trHeight w:val="238"/>
        </w:trPr>
        <w:tc>
          <w:tcPr>
            <w:tcW w:w="3780" w:type="dxa"/>
            <w:vAlign w:val="bottom"/>
            <w:tcBorders>
              <w:top w:val="single" w:sz="8" w:color="auto"/>
              <w:left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1"/>
              </w:rPr>
              <w:t>Corporation’s Relative TSR results for the</w:t>
            </w:r>
          </w:p>
        </w:tc>
        <w:tc>
          <w:tcPr>
            <w:tcW w:w="358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9"/>
              </w:rPr>
              <w:t>Portion of the Stock Units subject to the</w:t>
            </w:r>
          </w:p>
        </w:tc>
      </w:tr>
      <w:tr>
        <w:trPr>
          <w:trHeight w:val="266"/>
        </w:trPr>
        <w:tc>
          <w:tcPr>
            <w:tcW w:w="3780" w:type="dxa"/>
            <w:vAlign w:val="bottom"/>
            <w:tcBorders>
              <w:left w:val="single" w:sz="8" w:color="auto"/>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1"/>
              </w:rPr>
              <w:t>Measurement Period</w:t>
            </w:r>
          </w:p>
        </w:tc>
        <w:tc>
          <w:tcPr>
            <w:tcW w:w="35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9"/>
              </w:rPr>
              <w:t>Award that become eligible to vest*</w:t>
            </w:r>
          </w:p>
        </w:tc>
      </w:tr>
      <w:tr>
        <w:trPr>
          <w:trHeight w:val="237"/>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the 25th percentile</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6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64"/>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6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 or greater</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bl>
    <w:p>
      <w:pPr>
        <w:spacing w:after="0" w:line="337" w:lineRule="exact"/>
        <w:rPr>
          <w:sz w:val="20"/>
          <w:szCs w:val="20"/>
          <w:color w:val="auto"/>
        </w:rPr>
      </w:pPr>
    </w:p>
    <w:p>
      <w:pPr>
        <w:ind w:left="1300" w:firstLine="4"/>
        <w:spacing w:after="0" w:line="258" w:lineRule="auto"/>
        <w:tabs>
          <w:tab w:leader="none" w:pos="14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Relative TSR performance between points, the corresponding portion (or applicable percentage) of the Stock Units subject to the Award that become eligible to vest will be determined on a straight-line basis between the corresponding percentages.</w:t>
      </w:r>
    </w:p>
    <w:p>
      <w:pPr>
        <w:ind w:left="5440"/>
        <w:spacing w:after="0"/>
        <w:rPr>
          <w:rFonts w:ascii="Arial" w:cs="Arial" w:eastAsia="Arial" w:hAnsi="Arial"/>
          <w:sz w:val="17"/>
          <w:szCs w:val="17"/>
          <w:color w:val="auto"/>
        </w:rPr>
      </w:pPr>
      <w:r>
        <w:rPr>
          <w:rFonts w:ascii="Arial" w:cs="Arial" w:eastAsia="Arial" w:hAnsi="Arial"/>
          <w:sz w:val="18"/>
          <w:szCs w:val="18"/>
          <w:color w:val="auto"/>
        </w:rPr>
        <w:t>* * *</w:t>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31750</wp:posOffset>
            </wp:positionV>
            <wp:extent cx="30346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David V. Goeckeler</w:t>
      </w:r>
    </w:p>
    <w:p>
      <w:pPr>
        <w:spacing w:after="0" w:line="63" w:lineRule="exact"/>
        <w:rPr>
          <w:sz w:val="20"/>
          <w:szCs w:val="20"/>
          <w:color w:val="auto"/>
        </w:rPr>
      </w:pPr>
    </w:p>
    <w:p>
      <w:pPr>
        <w:jc w:val="center"/>
        <w:ind w:left="638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104"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3111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2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ectPr>
          <w:pgSz w:w="11900" w:h="16838" w:orient="portrait"/>
          <w:cols w:equalWidth="0" w:num="1">
            <w:col w:w="11240"/>
          </w:cols>
          <w:pgMar w:left="320" w:top="891" w:right="33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540" w:firstLine="332"/>
        <w:spacing w:after="0" w:line="308" w:lineRule="auto"/>
        <w:tabs>
          <w:tab w:leader="none" w:pos="53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April 3, 2020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31750</wp:posOffset>
            </wp:positionV>
            <wp:extent cx="30346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David V. Goeckeler</w:t>
      </w:r>
    </w:p>
    <w:p>
      <w:pPr>
        <w:spacing w:after="0" w:line="63" w:lineRule="exact"/>
        <w:rPr>
          <w:sz w:val="20"/>
          <w:szCs w:val="20"/>
          <w:color w:val="auto"/>
        </w:rPr>
      </w:pPr>
    </w:p>
    <w:p>
      <w:pPr>
        <w:jc w:val="center"/>
        <w:ind w:left="638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ectPr>
          <w:pgSz w:w="11900" w:h="16838" w:orient="portrait"/>
          <w:cols w:equalWidth="0" w:num="1">
            <w:col w:w="11240"/>
          </w:cols>
          <w:pgMar w:left="320" w:top="891" w:right="339" w:bottom="1440" w:gutter="0" w:footer="0" w:header="0"/>
        </w:sectPr>
      </w:pPr>
    </w:p>
    <w:bookmarkStart w:id="92" w:name="page93"/>
    <w:bookmarkEnd w:id="92"/>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540" w:firstLine="332"/>
        <w:spacing w:after="0" w:line="308" w:lineRule="auto"/>
        <w:tabs>
          <w:tab w:leader="none" w:pos="5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April 3, 2020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30778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Roman"/>
      <w:start w:val="2"/>
    </w:lvl>
  </w:abstractNum>
  <w:abstractNum w:abstractNumId="18">
    <w:nsid w:val="79838CB2"/>
    <w:multiLevelType w:val="hybridMultilevel"/>
    <w:lvl w:ilvl="0">
      <w:lvlJc w:val="left"/>
      <w:lvlText w:val="(%1)"/>
      <w:numFmt w:val="lowerRoman"/>
      <w:start w:val="4"/>
    </w:lvl>
  </w:abstractNum>
  <w:abstractNum w:abstractNumId="19">
    <w:nsid w:val="4353D0CD"/>
    <w:multiLevelType w:val="hybridMultilevel"/>
    <w:lvl w:ilvl="0">
      <w:lvlJc w:val="left"/>
      <w:lvlText w:val="†"/>
      <w:numFmt w:val="bullet"/>
      <w:start w:val="1"/>
    </w:lvl>
    <w:lvl w:ilvl="1">
      <w:lvlJc w:val="left"/>
      <w:lvlText w:val="%2"/>
      <w:numFmt w:val="decimal"/>
      <w:start w:val="104"/>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Roman"/>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3"/>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
      <w:numFmt w:val="bullet"/>
      <w:start w:val="1"/>
    </w:lvl>
    <w:lvl w:ilvl="1">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97" Type="http://schemas.openxmlformats.org/officeDocument/2006/relationships/hyperlink" Target="http://www.sec.gov/Archives/edgar/data/106040/000095013706001502/a17011exv3w1.htm" TargetMode="External"/><Relationship Id="rId98" Type="http://schemas.openxmlformats.org/officeDocument/2006/relationships/hyperlink" Target="http://www.sec.gov/Archives/edgar/data/106040/000119312518153458/d577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2020-05-08T15:17:17Z</dcterms:created>
  <dcterms:modified xsi:type="dcterms:W3CDTF">2020-05-08T15:17:17Z</dcterms:modified>
</cp:coreProperties>
</file>