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27, 2024</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390525</wp:posOffset>
            </wp:positionV>
            <wp:extent cx="2966085" cy="985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985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ectPr>
          <w:pgSz w:w="11900" w:h="16838" w:orient="portrait"/>
          <w:cols w:equalWidth="0" w:num="1">
            <w:col w:w="11180"/>
          </w:cols>
          <w:pgMar w:left="320" w:top="1037" w:right="39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2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53340</wp:posOffset>
            </wp:positionV>
            <wp:extent cx="2768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97" w:lineRule="exact"/>
        <w:rPr>
          <w:sz w:val="24"/>
          <w:szCs w:val="24"/>
          <w:color w:val="auto"/>
        </w:rPr>
      </w:pPr>
    </w:p>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63" w:lineRule="exact"/>
        <w:rPr>
          <w:sz w:val="24"/>
          <w:szCs w:val="24"/>
          <w:color w:val="auto"/>
        </w:rPr>
      </w:pPr>
    </w:p>
    <w:p>
      <w:pPr>
        <w:jc w:val="right"/>
        <w:ind w:right="154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40" w:space="720"/>
            <w:col w:w="6920"/>
          </w:cols>
          <w:pgMar w:left="320" w:top="1037" w:right="399" w:bottom="1440" w:gutter="0" w:footer="0" w:header="0"/>
          <w:type w:val="continuous"/>
        </w:sectPr>
      </w:pPr>
    </w:p>
    <w:p>
      <w:pPr>
        <w:ind w:left="800"/>
        <w:spacing w:after="0"/>
        <w:tabs>
          <w:tab w:leader="none" w:pos="2780" w:val="left"/>
          <w:tab w:leader="none" w:pos="3620" w:val="left"/>
          <w:tab w:leader="none" w:pos="854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4"/>
          <w:szCs w:val="14"/>
          <w:b w:val="1"/>
          <w:bCs w:val="1"/>
          <w:color w:val="auto"/>
        </w:rPr>
        <w:t>95119</w:t>
      </w:r>
    </w:p>
    <w:p>
      <w:pPr>
        <w:spacing w:after="0" w:line="46" w:lineRule="exact"/>
        <w:rPr>
          <w:sz w:val="24"/>
          <w:szCs w:val="24"/>
          <w:color w:val="auto"/>
        </w:rPr>
      </w:pPr>
    </w:p>
    <w:p>
      <w:pPr>
        <w:ind w:left="1500"/>
        <w:spacing w:after="0"/>
        <w:tabs>
          <w:tab w:leader="none" w:pos="844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3"/>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9"/>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234"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2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type w:val="continuous"/>
        </w:sectPr>
      </w:pPr>
    </w:p>
    <w:bookmarkStart w:id="1" w:name="page2"/>
    <w:bookmarkEnd w:id="1"/>
    <w:p>
      <w:pPr>
        <w:ind w:firstLine="324"/>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1048" w:right="45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0"/>
          <w:szCs w:val="20"/>
          <w:color w:val="auto"/>
        </w:rPr>
      </w:pPr>
    </w:p>
    <w:p>
      <w:pPr>
        <w:sectPr>
          <w:pgSz w:w="11900" w:h="16838" w:orient="portrait"/>
          <w:cols w:equalWidth="0" w:num="5">
            <w:col w:w="2140" w:space="720"/>
            <w:col w:w="1400" w:space="720"/>
            <w:col w:w="1340" w:space="720"/>
            <w:col w:w="1580" w:space="680"/>
            <w:col w:w="1820"/>
          </w:cols>
          <w:pgMar w:left="320" w:top="1048" w:right="45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1100"/>
          </w:cols>
          <w:pgMar w:left="320" w:top="1048" w:right="459" w:bottom="1440" w:gutter="0" w:footer="0" w:header="0"/>
          <w:type w:val="continuous"/>
        </w:sectPr>
      </w:pPr>
    </w:p>
    <w:p>
      <w:pPr>
        <w:spacing w:after="0" w:line="106" w:lineRule="exact"/>
        <w:rPr>
          <w:sz w:val="20"/>
          <w:szCs w:val="20"/>
          <w:color w:val="auto"/>
        </w:rPr>
      </w:pPr>
    </w:p>
    <w:p>
      <w:pPr>
        <w:ind w:right="1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the close of business on October 22, 2024, 345,708,453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8"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4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980" w:type="dxa"/>
            <w:vAlign w:val="bottom"/>
          </w:tcPr>
          <w:p>
            <w:pPr>
              <w:ind w:left="34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Financial Statements (unaudited)</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Balance Sheets — As of September 27, 2024 and June 28, 2024</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Operations — Three Months Ended September 27, 2024 and September 29, 2023</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7</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Comprehensive Income (Loss) — Three Months Ended September 27, 2024 and</w:t>
            </w:r>
          </w:p>
        </w:tc>
        <w:tc>
          <w:tcPr>
            <w:tcW w:w="680" w:type="dxa"/>
            <w:vAlign w:val="bottom"/>
            <w:gridSpan w:val="2"/>
            <w:vMerge w:val="restart"/>
          </w:tcPr>
          <w:p>
            <w:pPr>
              <w:spacing w:after="0"/>
              <w:rPr>
                <w:sz w:val="14"/>
                <w:szCs w:val="14"/>
                <w:color w:val="auto"/>
              </w:rPr>
            </w:pPr>
          </w:p>
        </w:tc>
        <w:tc>
          <w:tcPr>
            <w:tcW w:w="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3635D6"/>
                <w:w w:val="99"/>
              </w:rPr>
              <w:t>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September 29, 2023</w:t>
            </w:r>
          </w:p>
        </w:tc>
        <w:tc>
          <w:tcPr>
            <w:tcW w:w="6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Cash Flows — Three Months Ended September 27, 2024 and September 29, 2023</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9</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Convertible Preferred Stock and Shareholders' Equity — Three Months Ended September</w:t>
            </w:r>
          </w:p>
        </w:tc>
        <w:tc>
          <w:tcPr>
            <w:tcW w:w="800" w:type="dxa"/>
            <w:vAlign w:val="bottom"/>
            <w:gridSpan w:val="4"/>
            <w:vMerge w:val="restart"/>
          </w:tcPr>
          <w:p>
            <w:pPr>
              <w:jc w:val="center"/>
              <w:ind w:left="559"/>
              <w:spacing w:after="0"/>
              <w:rPr>
                <w:sz w:val="20"/>
                <w:szCs w:val="20"/>
                <w:color w:val="auto"/>
              </w:rPr>
            </w:pPr>
            <w:r>
              <w:rPr>
                <w:rFonts w:ascii="Times New Roman" w:cs="Times New Roman" w:eastAsia="Times New Roman" w:hAnsi="Times New Roman"/>
                <w:sz w:val="16"/>
                <w:szCs w:val="16"/>
                <w:color w:val="3635D6"/>
                <w:w w:val="99"/>
              </w:rPr>
              <w:t>10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27, 2024 and September 29, 2023</w:t>
            </w:r>
          </w:p>
        </w:tc>
        <w:tc>
          <w:tcPr>
            <w:tcW w:w="80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CCEEFF"/>
            </w:tcBorders>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Notes to Condensed Consolidated Financial Statements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12</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39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3.</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54</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4.</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Controls and Procedures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4"/>
        </w:trPr>
        <w:tc>
          <w:tcPr>
            <w:tcW w:w="820" w:type="dxa"/>
            <w:vAlign w:val="bottom"/>
          </w:tcPr>
          <w:p>
            <w:pPr>
              <w:spacing w:after="0"/>
              <w:rPr>
                <w:sz w:val="24"/>
                <w:szCs w:val="24"/>
                <w:color w:val="auto"/>
              </w:rPr>
            </w:pPr>
          </w:p>
        </w:tc>
        <w:tc>
          <w:tcPr>
            <w:tcW w:w="8980" w:type="dxa"/>
            <w:vAlign w:val="bottom"/>
          </w:tcPr>
          <w:p>
            <w:pPr>
              <w:ind w:left="356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tc>
        <w:tc>
          <w:tcPr>
            <w:tcW w:w="64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tcBorders>
              <w:bottom w:val="single" w:sz="8" w:color="CCEEFF"/>
            </w:tcBorders>
            <w:shd w:val="clear" w:color="auto" w:fill="CCEEFF"/>
          </w:tcPr>
          <w:p>
            <w:pPr>
              <w:ind w:left="200"/>
              <w:spacing w:after="0" w:line="178" w:lineRule="exact"/>
              <w:rPr>
                <w:sz w:val="20"/>
                <w:szCs w:val="20"/>
                <w:color w:val="auto"/>
              </w:rPr>
            </w:pPr>
            <w:r>
              <w:rPr>
                <w:rFonts w:ascii="Times New Roman" w:cs="Times New Roman" w:eastAsia="Times New Roman" w:hAnsi="Times New Roman"/>
                <w:sz w:val="16"/>
                <w:szCs w:val="16"/>
                <w:color w:val="auto"/>
              </w:rPr>
              <w:t>Legal Proceedings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3635D6"/>
                <w:w w:val="99"/>
              </w:rPr>
              <w:t>55</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1A.</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Risk Factors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55</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5.</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Other Information</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55</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6.</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Exhibits</w:t>
            </w:r>
          </w:p>
        </w:tc>
        <w:tc>
          <w:tcPr>
            <w:tcW w:w="640" w:type="dxa"/>
            <w:vAlign w:val="bottom"/>
          </w:tcPr>
          <w:p>
            <w:pPr>
              <w:spacing w:after="0"/>
              <w:rPr>
                <w:sz w:val="15"/>
                <w:szCs w:val="15"/>
                <w:color w:val="auto"/>
              </w:rPr>
            </w:pPr>
          </w:p>
        </w:tc>
        <w:tc>
          <w:tcPr>
            <w:tcW w:w="160" w:type="dxa"/>
            <w:vAlign w:val="bottom"/>
            <w:tcBorders>
              <w:bottom w:val="single" w:sz="8" w:color="3635D6"/>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55</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Western Digital, the Western Digital logo, SanDisk, and WD are registered trademarks or trademarks of Western Digital or its affiliates in the 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Examples of forward-looking statements include, but are not limited to, statements concerning: our expectations regarding our plan to separate our hard disk drives (“HDD”) and flash-based products (“Flash”) business units; the impact of the global macroeconomic environment; expectations regarding demand trends and market conditions for our products; expectations related to our sale of a portion of our equity interest in SanDisk Semiconductor (Shanghai) Co. Ltd.; expectations related to our joint ventures and partnerships including relating to our Flash Ventures joint venture with Kioxia Corporation (“Kioxia”); expectations regarding our tax resolutions, effective tax rate and our unrecognized tax benefits; expectations regarding the merits of our position and our plans with respect to certain litigation matters; and our beliefs regarding our capital allocation plans and the sufficiency of our available liquidity to meet our working capital, debt and capital expenditure needs.</w:t>
      </w:r>
    </w:p>
    <w:p>
      <w:pPr>
        <w:spacing w:after="0" w:line="21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management’s current expectations, represent the most current information available to us as of the date of this Quarterly Report on Form 10-Q and are subject to a number of risks, uncertainties and other factors that could cause actual results or performance to differ materially from those expressed or implied in the forward-looking statements. These risks and uncertainties include, but are not limited to:</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in global or regional economic conditions and our responsive actions thereto;</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financial and legal challenges and difficulties inherent in implementing a separation of our HDD and Flash business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final approval of the separation by our board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dependence on a limited number of suppliers or disruptions in our supply chain;</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outcome, timing and impact of the planned separation of our HDD and Flash business units, including with respect to customer and supplier relationships, contractual restrictions, stock price volatility and the diversion of management’s attention from ongoing business operations and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responses to and effects of public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business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strategic relationships with key partners, including Kioxia;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competitive environment, including actions by our competitors, and the impact of competitive products and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or unanticipated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currency exchange rates in connection with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our goals relating to environmental, social and governance matters, including our ability to meet our GHG emissions reduction and other ESG goals;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intellectual property and other proprietary information; and</w:t>
      </w:r>
    </w:p>
    <w:p>
      <w:pPr>
        <w:spacing w:after="0" w:line="9" w:lineRule="exact"/>
        <w:rPr>
          <w:rFonts w:ascii="Times New Roman" w:cs="Times New Roman" w:eastAsia="Times New Roman" w:hAnsi="Times New Roman"/>
          <w:sz w:val="18"/>
          <w:szCs w:val="18"/>
          <w:color w:val="auto"/>
        </w:rPr>
      </w:pPr>
    </w:p>
    <w:p>
      <w:pPr>
        <w:ind w:left="660" w:right="28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June 28, 2024 (our “2024 Annual Report on Form 10-K”), as amended, supplemented or superseded in our other reports filed with the Securities and Exchange Commission, including under “Risk Factors” in Item 1A of our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2024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2024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8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10,032</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10, 12 and 16)</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preferred stock, $0.01 par value; authorized — 5 shares; issued and outstanding — 0.2 shares; aggregate</w:t>
            </w: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liquidation preference of $261 and $257, respectively</w:t>
            </w: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authorized — 750 shares; issued and outstanding — 346 shares and 343 shares,</w:t>
            </w: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dividends allocated to preferred shareholders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8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59"/>
        </w:trPr>
        <w:tc>
          <w:tcPr>
            <w:tcW w:w="8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0"/>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1"/>
                <w:szCs w:val="11"/>
                <w:color w:val="auto"/>
              </w:rPr>
            </w:pPr>
          </w:p>
        </w:tc>
        <w:tc>
          <w:tcPr>
            <w:tcW w:w="126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unrealized gain (loss) on derivative contracts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 before tax</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3"/>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asset impairment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9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convertible preferred stock, net of issuance costs</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0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reclassified to assets held for sale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6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080" w:type="dxa"/>
            <w:vAlign w:val="bottom"/>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28, 2024</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27,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0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29,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based on both hard disk drive and NAND flash technologies.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addresses the following key end markets: Cloud, Client, and Consumer. The Company also generates immaterial license and royalty revenue from its extensive intellectual property portfolio, which is included in each of these three end market categories.</w:t>
      </w:r>
    </w:p>
    <w:p>
      <w:pPr>
        <w:spacing w:after="0" w:line="201"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the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In the opinion of management, all adjustments necessary to fairly state the Condensed Consolidated Financial Statements have been made. Such adjustments consist of items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The results of operations for interim periods are not necessarily indicative of results to be expected for the full year.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2025, which will end on June 27, 2025, and fiscal year 2024, which ended on June 28, 2024, are each comprised of 52 weeks, with all quarters presented consisting of 13 weeks.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United States (“U.S.”) and in foreign countries through its sales personnel, dealers, distributors, retailers, and subsidiaries. The Company manages and reports under two reportable segments: hard disk drives (“HDD”) and Flash-based products (“Flash”).</w:t>
      </w:r>
    </w:p>
    <w:p>
      <w:pPr>
        <w:spacing w:after="0" w:line="20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Chief Executive Officer, who is the Company’s Chief Operating Decision Maker (“CODM”), evaluates the performance of the Company and makes decisions regarding the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Separation Costs</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October 30, 2023, the Company announced that its Board of Directors had completed its strategic review of the business and, after evaluating a comprehensive range of alternatives, authorized the Company to pursue a plan to separate its HDD and Flash business units to create two independent, public companies. As a result of the plan, the Company has incurred separation and transition costs and expects to incur such costs through the completion of the separation of the businesses. The separation and transition costs are recorded within Business separation costs in the Condensed Consolidated Statements of Operations.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As required by the ASU, the Company began to provide disclosure of outstanding obligations to such suppliers for all balance sheet dates presented beginning with the Company’s first quarter of 2024. The ASU also requires the Company to provide certain annual rollforward information related to those obligations, which will be required beginning with the Company’s financial statements for the year ending June 27, 2025. The Company will provide this disclosure in its Annual Report on Form 10-K for the year ended June 27, 2025. The ASU does not affect the recognition, measurement, or financial statement presentation of supplier finance program obligations. See Note 15, </w:t>
      </w:r>
      <w:r>
        <w:rPr>
          <w:rFonts w:ascii="Times New Roman" w:cs="Times New Roman" w:eastAsia="Times New Roman" w:hAnsi="Times New Roman"/>
          <w:sz w:val="18"/>
          <w:szCs w:val="18"/>
          <w:i w:val="1"/>
          <w:iCs w:val="1"/>
          <w:color w:val="auto"/>
        </w:rPr>
        <w:t>Supplier Finance Program,</w:t>
      </w:r>
      <w:r>
        <w:rPr>
          <w:rFonts w:ascii="Times New Roman" w:cs="Times New Roman" w:eastAsia="Times New Roman" w:hAnsi="Times New Roman"/>
          <w:sz w:val="18"/>
          <w:szCs w:val="18"/>
          <w:color w:val="auto"/>
        </w:rPr>
        <w:t xml:space="preserve"> of the Notes to the Condensed Consolidated Financial Statements for information regarding the supplier finance program.</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expands on segment reporting requirements primarily through enhanced disclosures surrounding significant segment expenses. The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expects to provide any required disclosures at that time.</w:t>
      </w:r>
    </w:p>
    <w:p>
      <w:pPr>
        <w:spacing w:after="0" w:line="21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June 26, 2026, with early adoption permitted. The Company expects to provide any required disclosures at that time.</w:t>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Business Segments, Geographic Information, and Concentrations of Risk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operating performance of the Company’s reportable segments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20" w:type="dxa"/>
            <w:vAlign w:val="bottom"/>
          </w:tcPr>
          <w:p>
            <w:pPr>
              <w:spacing w:after="0"/>
              <w:rPr>
                <w:sz w:val="11"/>
                <w:szCs w:val="11"/>
                <w:color w:val="auto"/>
              </w:rPr>
            </w:pPr>
          </w:p>
        </w:tc>
        <w:tc>
          <w:tcPr>
            <w:tcW w:w="1340" w:type="dxa"/>
            <w:vAlign w:val="bottom"/>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1,194</w:t>
            </w: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1,556</w:t>
            </w:r>
          </w:p>
        </w:tc>
      </w:tr>
      <w:tr>
        <w:trPr>
          <w:trHeight w:val="207"/>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2,750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273</w:t>
            </w: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w:t>
            </w:r>
          </w:p>
        </w:tc>
      </w:tr>
      <w:tr>
        <w:trPr>
          <w:trHeight w:val="207"/>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gross profit for segments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112</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licenses related to a litigation matter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r>
      <w:tr>
        <w:trPr>
          <w:trHeight w:val="207"/>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-2679065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addresses multiple end markets. Cloud is comprised primarily of products for public or private cloud environments and end customers. Through the Client end market, the Company provides its original equipment manufacturer (“OEM”) and channel customers a broad array of high-performance HDD and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disaggregated revenue information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106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-1739265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Company’s top 10 customers accounted for 51% and 44% of its net revenue for the three months ended September 27, 2024 and September 29, 2023, respectively. For the three months ended September 27, 2024, one customer accounted for 14% of the Company’s net revenue. No customer accounted for 10% or more of the Company’s net revenue for the three months ended September 29, 2023.</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is not amortized. Instead, it is tested for impairment annually as of the beginning of the Company’s fourth quarter, or more frequently if</w:t>
      </w:r>
    </w:p>
    <w:p>
      <w:pPr>
        <w:spacing w:after="0" w:line="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events or changes in circumstances indicate that goodwill may be impaired. Management performed goodwill impairment assessments for each segment and concluded that there were no indications of impairment for the periods presented. The following table provides a summary of goodwill activity for the period: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HDD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Flash</w:t>
            </w:r>
          </w:p>
        </w:tc>
        <w:tc>
          <w:tcPr>
            <w:tcW w:w="34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4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14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28, 2024</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10,032</w:t>
            </w:r>
          </w:p>
        </w:tc>
      </w:tr>
      <w:tr>
        <w:trPr>
          <w:trHeight w:val="213"/>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676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Goodwill reclassified to assets held for sale </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September 27, 2024</w:t>
            </w: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5,491</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9,812</w:t>
            </w:r>
          </w:p>
        </w:tc>
      </w:tr>
      <w:tr>
        <w:trPr>
          <w:trHeight w:val="21"/>
        </w:trPr>
        <w:tc>
          <w:tcPr>
            <w:tcW w:w="14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1480" w:type="dxa"/>
            <w:vAlign w:val="bottom"/>
            <w:tcBorders>
              <w:bottom w:val="single" w:sz="8" w:color="auto"/>
            </w:tcBorders>
          </w:tcPr>
          <w:p>
            <w:pPr>
              <w:spacing w:after="0"/>
              <w:rPr>
                <w:sz w:val="10"/>
                <w:szCs w:val="10"/>
                <w:color w:val="auto"/>
              </w:rPr>
            </w:pPr>
          </w:p>
        </w:tc>
        <w:tc>
          <w:tcPr>
            <w:tcW w:w="5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103" w:lineRule="exact"/>
        <w:rPr>
          <w:sz w:val="20"/>
          <w:szCs w:val="20"/>
          <w:color w:val="auto"/>
        </w:rPr>
      </w:pPr>
    </w:p>
    <w:p>
      <w:pPr>
        <w:ind w:left="340" w:right="220" w:hanging="332"/>
        <w:spacing w:after="0" w:line="229" w:lineRule="auto"/>
        <w:tabs>
          <w:tab w:leader="none" w:pos="36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As of September 27, 2024, $225 million of Goodwill was reclassified to assets held for sale due to the sale of a majority interest in a subsidiary. See further discussion in Note 4, </w:t>
      </w:r>
      <w:r>
        <w:rPr>
          <w:rFonts w:ascii="Times New Roman" w:cs="Times New Roman" w:eastAsia="Times New Roman" w:hAnsi="Times New Roman"/>
          <w:sz w:val="18"/>
          <w:szCs w:val="18"/>
          <w:i w:val="1"/>
          <w:iCs w:val="1"/>
          <w:color w:val="auto"/>
        </w:rPr>
        <w:t>Supplemental Financial Statement Data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third-party purchasers in exchange for cash. There were no trade accounts receivable sold during the three months ended September 27, 2024. During the three months ended September 29, 2023, the Company sold trade accounts receivable aggregating $150 million. The discounts on the trade accounts receivable sold were not material and were recorded within Other income (expense), net in the Condensed Consolidated Statements of Operations. There were no factored receivables outstanding as of September 27, 2024 and June 28, 2024.</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 and improvements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12,023</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As of September 27, 2024 and June 28, 2024, IPR&amp;D included in intangible assets, net was $72 million. During the three months ended September 27, 2024 and September 29, 2023, the Company did not record any impairment charges related to IPR&amp;D.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right"/>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ind w:left="940"/>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300" w:firstLine="324"/>
        <w:spacing w:after="0" w:line="270" w:lineRule="auto"/>
        <w:rPr>
          <w:sz w:val="20"/>
          <w:szCs w:val="20"/>
          <w:color w:val="auto"/>
        </w:rPr>
      </w:pPr>
      <w:r>
        <w:rPr>
          <w:rFonts w:ascii="Times New Roman" w:cs="Times New Roman" w:eastAsia="Times New Roman" w:hAnsi="Times New Roman"/>
          <w:sz w:val="18"/>
          <w:szCs w:val="18"/>
          <w:color w:val="auto"/>
        </w:rPr>
        <w:t>The current portion of the warranty accrual was classified in Accrued expenses and the long-term portion was classified in Other liabilities as noted below:</w:t>
      </w:r>
    </w:p>
    <w:tbl>
      <w:tblPr>
        <w:tblLayout w:type="fixed"/>
        <w:tblInd w:w="0" w:type="dxa"/>
        <w:tblCellMar>
          <w:top w:w="0" w:type="dxa"/>
          <w:left w:w="0" w:type="dxa"/>
          <w:bottom w:w="0" w:type="dxa"/>
          <w:right w:w="0" w:type="dxa"/>
        </w:tblCellMar>
      </w:tblPr>
      <w:tr>
        <w:trPr>
          <w:trHeight w:val="147"/>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2"/>
                <w:szCs w:val="12"/>
                <w:color w:val="auto"/>
              </w:rPr>
            </w:pPr>
          </w:p>
        </w:tc>
        <w:tc>
          <w:tcPr>
            <w:tcW w:w="1060" w:type="dxa"/>
            <w:vAlign w:val="bottom"/>
          </w:tcPr>
          <w:p>
            <w:pPr>
              <w:jc w:val="right"/>
              <w:ind w:right="383"/>
              <w:spacing w:after="0" w:line="147" w:lineRule="exact"/>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warranty accrual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-727710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54" w:lineRule="exact"/>
        <w:rPr>
          <w:sz w:val="20"/>
          <w:szCs w:val="20"/>
          <w:color w:val="auto"/>
        </w:rPr>
      </w:pPr>
    </w:p>
    <w:p>
      <w:pPr>
        <w:ind w:right="340" w:firstLine="324"/>
        <w:spacing w:after="0" w:line="270" w:lineRule="auto"/>
        <w:rPr>
          <w:sz w:val="20"/>
          <w:szCs w:val="20"/>
          <w:color w:val="auto"/>
        </w:rPr>
      </w:pPr>
      <w:r>
        <w:rPr>
          <w:rFonts w:ascii="Times New Roman" w:cs="Times New Roman" w:eastAsia="Times New Roman" w:hAnsi="Times New Roman"/>
          <w:sz w:val="18"/>
          <w:szCs w:val="18"/>
          <w:color w:val="auto"/>
        </w:rPr>
        <w:t>Accumulated other comprehensive loss (“AOCL”), net of tax, refers to expenses, gains, and losses that are recorded as an element of shareholders’ equity but are excluded from net income. The components of AOCL were as follows:</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 on</w:t>
            </w:r>
          </w:p>
        </w:tc>
        <w:tc>
          <w:tcPr>
            <w:tcW w:w="120" w:type="dxa"/>
            <w:vAlign w:val="bottom"/>
          </w:tcPr>
          <w:p>
            <w:pPr>
              <w:spacing w:after="0"/>
              <w:rPr>
                <w:sz w:val="12"/>
                <w:szCs w:val="12"/>
                <w:color w:val="auto"/>
              </w:rPr>
            </w:pPr>
          </w:p>
        </w:tc>
        <w:tc>
          <w:tcPr>
            <w:tcW w:w="13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28,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27,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27, 2024, the amounts reclassified out of AOCL were losses related to foreign exchange contracts that were substantially charged to Cost of revenue in the Condensed Consolidated Statements of Operations.</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As of September 27, 2024, substantially all existing net losses related to cash flow hedges recorded in AOCL are expected to be reclassified to earnings within the next twelve months.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of a Majority Interest in a Subsidiary</w:t>
      </w:r>
    </w:p>
    <w:p>
      <w:pPr>
        <w:spacing w:after="0" w:line="254"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In March 2024, the Company’s wholly-owned subsidiary, SanDisk China Limited (“SanDisk China”) entered into an equity purchase agreement to sell 80% of its equity interest in SanDisk Semiconductor (Shanghai) Co. Ltd. (“SDSS”), the Company’s indirect wholly-owned subsidiary in its Flash business, to JCET Management Co., Ltd. (“JCET”), a wholly-owned subsidiary of JCET Group Co., Ltd., a Chinese publicly listed company, thereby forming a venture between SanDisk China and JCET (the “Transaction”). Subsequent to the first quarter of fiscal 2025, on September 28, 2024, the Transaction closed. Proceeds from the sale, subject to certain working capital adjustments and payment of withholding taxes, are expected to be approximately</w:t>
      </w:r>
    </w:p>
    <w:p>
      <w:pPr>
        <w:spacing w:after="0" w:line="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$624 million. Following the closing of the Transaction, SanDisk China’s remaining 20% ownership interest in the venture will be reported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Because the divestiture of SDSS does not represent a strategic shift that would have a major effect on the Company’s operations or financial results, it is not reported as discontinued operations. Instead, the assets and liabilities of SDSS subject to the Transaction as listed below have been reclassified to held for sale as of September 27, 2024, and will be derecognized in the second quarter of fiscal 2025 in connection with the closing of the Transaction.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148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3"/>
        </w:trPr>
        <w:tc>
          <w:tcPr>
            <w:tcW w:w="148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8"/>
        </w:trPr>
        <w:tc>
          <w:tcPr>
            <w:tcW w:w="9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9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9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9"/>
        </w:trPr>
        <w:tc>
          <w:tcPr>
            <w:tcW w:w="98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9800" w:type="dxa"/>
            <w:vAlign w:val="bottom"/>
            <w:tcBorders>
              <w:bottom w:val="single" w:sz="8" w:color="CCEEFF"/>
            </w:tcBorders>
            <w:gridSpan w:val="2"/>
            <w:shd w:val="clear" w:color="auto" w:fill="CCEEFF"/>
          </w:tcPr>
          <w:p>
            <w:pPr>
              <w:ind w:left="240"/>
              <w:spacing w:after="0" w:line="213" w:lineRule="exact"/>
              <w:rPr>
                <w:sz w:val="20"/>
                <w:szCs w:val="20"/>
                <w:color w:val="auto"/>
              </w:rPr>
            </w:pPr>
            <w:r>
              <w:rPr>
                <w:rFonts w:ascii="Times New Roman" w:cs="Times New Roman" w:eastAsia="Times New Roman" w:hAnsi="Times New Roman"/>
                <w:sz w:val="16"/>
                <w:szCs w:val="16"/>
                <w:color w:val="auto"/>
              </w:rPr>
              <w:t xml:space="preserve">Total assets held for sale </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8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9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9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9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9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held for sale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148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103" w:lineRule="exact"/>
        <w:rPr>
          <w:sz w:val="20"/>
          <w:szCs w:val="20"/>
          <w:color w:val="auto"/>
        </w:rPr>
      </w:pPr>
    </w:p>
    <w:p>
      <w:pPr>
        <w:ind w:left="340" w:right="240" w:hanging="332"/>
        <w:spacing w:after="0" w:line="235" w:lineRule="auto"/>
        <w:tabs>
          <w:tab w:leader="none" w:pos="37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Goodwill was preliminarily allocated to SDSS based on the indicated fair value of the SDSS business relative to the total estimated fair value of the Flash business unit. This preliminary allocation of goodwill may be revised based on finalization of working capital adjustments and valuations of SDSS and the Flash business unit in connection with the derecognition of SDSS during the second quarter of fiscal 2025.</w:t>
      </w:r>
    </w:p>
    <w:p>
      <w:pPr>
        <w:spacing w:after="0" w:line="226" w:lineRule="exact"/>
        <w:rPr>
          <w:rFonts w:ascii="Times New Roman" w:cs="Times New Roman" w:eastAsia="Times New Roman" w:hAnsi="Times New Roman"/>
          <w:sz w:val="23"/>
          <w:szCs w:val="23"/>
          <w:color w:val="auto"/>
          <w:vertAlign w:val="superscript"/>
        </w:rPr>
      </w:pPr>
    </w:p>
    <w:p>
      <w:pPr>
        <w:ind w:left="340" w:right="140" w:hanging="332"/>
        <w:spacing w:after="0" w:line="243" w:lineRule="auto"/>
        <w:tabs>
          <w:tab w:leader="none" w:pos="36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 intercompany account receivable and intercompany account payable totaling $110 million between SDSS and another subsidiary of the Company are eliminated in the Company’s Condensed Consolidated Financial Statements and have been excluded from the assets reclassified to held for sale. The intercompany account receivable was sold as part of the Transaction, and thus will be considered when determining the expected gain to be recognized upon the derecognition of SDSS. As a result, during the second quarter of fiscal 2025, the Company will reclassify this intercompany account payable to the applicable liability line item in the Condensed Consolidated Balance Sheets as it will represent a liability to an external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right="50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4"/>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0"/>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35"/>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-2828290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-2828290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-2828290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-1165225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-1165225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-1165225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instruments between levels and there were no changes in valuation techniques or the inputs used in the fair value measurement.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2025 and the fourth quarter of 2024,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8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24"/>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1"/>
                <w:szCs w:val="11"/>
                <w:color w:val="auto"/>
              </w:rPr>
            </w:pPr>
          </w:p>
        </w:tc>
        <w:tc>
          <w:tcPr>
            <w:tcW w:w="980" w:type="dxa"/>
            <w:vAlign w:val="bottom"/>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1,569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2,296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2,542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7,400</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w:t>
            </w: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-1002030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5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September 27, 2024, the Company had outstanding foreign exchange forward contracts that were designated as either cash flow hedges or non-designated hedges. Substantially all of the contract maturity dates of these foreign exchange forward contracts do not exceed 12 months. As of September 27, 2024, the Company did not have any derivative contracts with credit-risk-related contingent features.</w:t>
      </w:r>
    </w:p>
    <w:p>
      <w:pPr>
        <w:spacing w:after="0" w:line="20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were recognized in Other income (expense), net and were largely offset by corresponding changes in the fair values of the foreign currency-denominated monetary assets and liabilities. For each of the three months ended September 27, 2024 and September 29, 2023, total net realized and unrealized transaction and foreign exchange contract currency gains and losses were not material to the Company’s Condensed Consolidated Financial Statements.</w:t>
      </w:r>
    </w:p>
    <w:p>
      <w:pPr>
        <w:spacing w:after="0" w:line="207" w:lineRule="exact"/>
        <w:rPr>
          <w:sz w:val="20"/>
          <w:szCs w:val="20"/>
          <w:color w:val="auto"/>
        </w:rPr>
      </w:pPr>
    </w:p>
    <w:p>
      <w:pPr>
        <w:ind w:right="200" w:firstLine="324"/>
        <w:spacing w:after="0" w:line="294" w:lineRule="auto"/>
        <w:rPr>
          <w:sz w:val="20"/>
          <w:szCs w:val="20"/>
          <w:color w:val="auto"/>
        </w:rPr>
      </w:pPr>
      <w:r>
        <w:rPr>
          <w:rFonts w:ascii="Times New Roman" w:cs="Times New Roman" w:eastAsia="Times New Roman" w:hAnsi="Times New Roman"/>
          <w:sz w:val="18"/>
          <w:szCs w:val="18"/>
          <w:color w:val="auto"/>
        </w:rPr>
        <w:t xml:space="preserve">Unrealized gains or losses on designated cash flow hedges were recognized in AOCL. For more information regarding cash flow hedges, see Note 4, </w:t>
      </w:r>
      <w:r>
        <w:rPr>
          <w:rFonts w:ascii="Times New Roman" w:cs="Times New Roman" w:eastAsia="Times New Roman" w:hAnsi="Times New Roman"/>
          <w:sz w:val="18"/>
          <w:szCs w:val="18"/>
          <w:i w:val="1"/>
          <w:iCs w:val="1"/>
          <w:color w:val="auto"/>
        </w:rPr>
        <w:t xml:space="preserve">Supplemental Financial Statement Data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i w:val="1"/>
          <w:iCs w:val="1"/>
          <w:color w:val="auto"/>
        </w:rPr>
        <w:t xml:space="preserve"> Accumulated other comprehensive loss.</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September 27, 2024 and June 28, 2024,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r>
      <w:tr>
        <w:trPr>
          <w:trHeight w:val="21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2"/>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5,684</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-1567815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27, 2024, the Company made scheduled repayments of the Term Loan A-2 maturing in January 2027 (the “Term Loan A-2”) of $38 million. The Term Loan A-2 Loan bears interest, at the Company’s option, at a per annum rate equal to either (x) the Adjusted Term SOFR (as defined in the loan agreement governing the Term Loan A-2) plus an applicable margin varying from 1.125% to 2.000% or (y) a base rate plus an applicable margin varying from 0.125% to 1.000%, in each case depending on the corporate family ratings of the Company from at least two of the Credit Rating Agencies, with an initial interest rate of Adjusted Term SOFR plus 1.500%. The all-in interest rate for Term Loan A-2 as of September 27, 2024 was 6.696%.</w:t>
      </w:r>
    </w:p>
    <w:p>
      <w:pPr>
        <w:spacing w:after="0" w:line="21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27, 2024, the Company drew and repaid $150 million principal amount under its $2.25 billion revolving credit facility maturing in January 2027 (the “2027 Revolving Credit Facility”).</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Company had issued an outstanding standby letters of credit of $52 million as of September 27, 2024, which reduced the Company’s 2027 Revolving Credit Facility’s capacity by the same amount to $2.20 billion as of that date.</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loan agreements governing the Company’s 2027 Revolving Credit Facility and Term Loan A-2 require the Company to comply with certain financial covenants, consisting of a leverage ratio and a minimum liquidity requirement. As of September 27, 2024, the Company was in compliance with these financial covenants.</w:t>
      </w:r>
    </w:p>
    <w:p>
      <w:pPr>
        <w:spacing w:after="0" w:line="20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November 3, 2023, the Company issued $1.60 billion aggregate principal amount of convertible senior notes which bear interest at an annual rate of 3.00% and mature on November 15, 2028, unless earlier repurchased, redeemed or converted (the “2028 Convertible Notes”).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2028 Convertible Notes are convertible at the option of any holder at an initial conversion price of approximately $52.20 per share of common stock beginning August 15, 2028. Prior to that date, if the trading price of the Company’s common stock remains above 130% of the conversion price for at least 20 trading days (whether or not consecutive) during the 30 consecutive trading-day period prior to the end of a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During the calendar quarter ended June 30, 2024, the sale price conditional conversion feature of the notes mentioned above was triggered. As a result, the holder of the 2028 Convertible Notes had the right to convert the 2028 Convertible Notes during the calendar quarter ended September 30, 2024. Consequently, the Company classified the 2028 Convertible Notes in the Current portion of long-term debt in the Condensed Consolidated Financial Statements as of September 27, 2024. During the calendar quarter ended September 30, 2024, the sale price conditional conversion feature of the notes mentioned above was not triggered. As a result, the 2028 Convertible Notes are not convertible from October 1, 2024 through December 31, 2024. The Company will re-evaluate in each subsequent calendar quarter to determine if the 2028 Convertible Notes have become convertible.</w:t>
      </w:r>
    </w:p>
    <w:p>
      <w:pPr>
        <w:spacing w:after="0" w:line="21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2028 Convertible Notes, the Company also entered into privately negotiated capped call transactions with certain counterparties (the “Capped Calls”). The Capped Calls each have a strike price of approximately $52.20 per share, subject to certain adjustments, which correspond to the initial conversion price of the 2028 Convertible Notes. The Capped Calls have initial cap prices of $70.26 per share, subject to certain adjustments. The Capped Calls cover, subject to anti-dilution adjustments, approximately 8 million shares of the Company’s common stock. The Capped Calls are generally intended to reduce or offset the potential dilution to the Company’s common stock upon any conversion of the 2028 Convertible Notes with such reduction or offset, as the case may be, subject to a cap based on the cap price. However,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meet certain accounting criteria, the Capped Calls are recorded in stockholders’ equity and are not accounted for as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3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liabilities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amount recognized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20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2"/>
                <w:szCs w:val="12"/>
                <w:color w:val="auto"/>
              </w:rPr>
            </w:pPr>
          </w:p>
        </w:tc>
        <w:tc>
          <w:tcPr>
            <w:tcW w:w="1060" w:type="dxa"/>
            <w:vAlign w:val="bottom"/>
          </w:tcPr>
          <w:p>
            <w:pPr>
              <w:jc w:val="right"/>
              <w:ind w:right="383"/>
              <w:spacing w:after="0" w:line="147" w:lineRule="exact"/>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
        </w:trPr>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-591185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Net periodic benefit costs were immaterial for the three months ended September 27, 2024 and September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27, 2024 and September 29, 2023, the Company made net payments to Flash Ventures of $889 million and $939 million, respectively, for purchased flash-based memory wafers and net loans.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20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September 27, 2024 and June 28, 2024, the Company had accounts payable balances due to Flash Ventures of $352 million and $313 million, respectively.</w:t>
      </w:r>
    </w:p>
    <w:p>
      <w:pPr>
        <w:spacing w:after="0" w:line="189" w:lineRule="exact"/>
        <w:rPr>
          <w:sz w:val="20"/>
          <w:szCs w:val="20"/>
          <w:color w:val="auto"/>
        </w:rPr>
      </w:pPr>
    </w:p>
    <w:p>
      <w:pPr>
        <w:jc w:val="both"/>
        <w:ind w:right="180" w:firstLine="324"/>
        <w:spacing w:after="0" w:line="279" w:lineRule="auto"/>
        <w:rPr>
          <w:sz w:val="20"/>
          <w:szCs w:val="20"/>
          <w:color w:val="auto"/>
        </w:rPr>
      </w:pPr>
      <w:r>
        <w:rPr>
          <w:rFonts w:ascii="Times New Roman" w:cs="Times New Roman" w:eastAsia="Times New Roman" w:hAnsi="Times New Roman"/>
          <w:sz w:val="17"/>
          <w:szCs w:val="17"/>
          <w:color w:val="auto"/>
        </w:rPr>
        <w:t>The Company’s maximum reasonably estimable loss exposure (excluding lost profits) as a result of its involvement with Flash Ventures, based upon the Japanese yen to U.S. dollar exchange rate at September 27, 2024,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7"/>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2"/>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6"/>
        </w:trPr>
        <w:tc>
          <w:tcPr>
            <w:tcW w:w="9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9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1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Flash Ventures has historically operated near 100% of its manufacturing capacity. During the three months ended September 29, 2023, as a result of flash market conditions, the Company temporarily reduced its utilization of its share of Flash Ventures’ manufacturing capacity to an abnormally low level to more closely align the Company’s flash-based wafer supply with projected demand. During the three months ended September 29, 2023, the Company incurred costs of $141 million associated with the reduction in utilization related to Flash Ventures, which was recorded as a charge to Cost of revenue. No such charges were incurred during the three months ended September 27, 2024.</w:t>
      </w:r>
    </w:p>
    <w:p>
      <w:pPr>
        <w:spacing w:after="0" w:line="21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has facility agreements with Kioxia related to the construction and operation of Kioxia’s “K1” 300-millimeter wafer fabrication facility in Kitakami, Japan, a wafer fabrication facility in Yokkaichi, Japan, referred to as “Y7”, and a wafer fabrication facility in Kitakami, Japan, referred to as “K2”. In connection with the start-up of these facilities, the Company has made prepayments toward future building depreciation. In connection with the start-up of the K1, K2 and Y7 facilities, the Company has made prepayments over time, and as of September 27, 2024, $722 million remains to be credited against future building depreciation charges. As of September 27, 2024, the Company is also committed to make additional building depreciation prepayments of $605 million, based on the Japanese yen to U.S. dollars exchange rate of 142.56 as of such date, payable as follows: $337 million for the remainder of fiscal year 2025, $33 million in fiscal year 2026, $123 million in fiscal year 2027, $98 million in fiscal year 2028 and $14 million in fiscal year 2029. As of September 27, 2024, in addition to the requirements to make building depreciation prepayments, the Company will also make payments for building depreciation of approximately $315 million at varying dates through fiscal year 2035.</w:t>
      </w:r>
    </w:p>
    <w:p>
      <w:pPr>
        <w:spacing w:after="0" w:line="213" w:lineRule="exact"/>
        <w:rPr>
          <w:sz w:val="20"/>
          <w:szCs w:val="20"/>
          <w:color w:val="auto"/>
        </w:rPr>
      </w:pPr>
    </w:p>
    <w:p>
      <w:pPr>
        <w:ind w:right="300"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85" w:lineRule="exact"/>
        <w:rPr>
          <w:sz w:val="20"/>
          <w:szCs w:val="20"/>
          <w:color w:val="auto"/>
        </w:rPr>
      </w:pPr>
    </w:p>
    <w:p>
      <w:pPr>
        <w:ind w:right="840" w:firstLine="162"/>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Activities. </w:t>
      </w:r>
      <w:r>
        <w:rPr>
          <w:rFonts w:ascii="Times New Roman" w:cs="Times New Roman" w:eastAsia="Times New Roman" w:hAnsi="Times New Roman"/>
          <w:sz w:val="17"/>
          <w:szCs w:val="17"/>
          <w:color w:val="auto"/>
        </w:rPr>
        <w:t>The Company participates in common research and development (“R&amp;D”) activities with Kioxia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contractually committed to a minimum funding level. R&amp;D commitments are immaterial to the Condensed Consolidated Financial Statements.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7"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September 27, 2024.</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31"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31" w:lineRule="exact"/>
              <w:rPr>
                <w:sz w:val="20"/>
                <w:szCs w:val="20"/>
                <w:color w:val="auto"/>
              </w:rPr>
            </w:pPr>
            <w:r>
              <w:rPr>
                <w:rFonts w:ascii="Times New Roman" w:cs="Times New Roman" w:eastAsia="Times New Roman" w:hAnsi="Times New Roman"/>
                <w:sz w:val="14"/>
                <w:szCs w:val="14"/>
                <w:i w:val="1"/>
                <w:iCs w:val="1"/>
                <w:color w:val="auto"/>
              </w:rPr>
              <w:t>(U.S. dollar, in</w:t>
            </w:r>
          </w:p>
        </w:tc>
      </w:tr>
      <w:tr>
        <w:trPr>
          <w:trHeight w:val="195"/>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26"/>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26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i w:val="1"/>
                <w:iCs w:val="1"/>
                <w:color w:val="auto"/>
              </w:rPr>
              <w:t>millions)</w:t>
            </w: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222</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firstLine="324"/>
        <w:spacing w:after="0" w:line="263"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September 27, 2024 in U.S. dollars, based upon the Japanese yen to U.S. dollar exchange rate as of September 27, 2024:</w:t>
      </w:r>
    </w:p>
    <w:tbl>
      <w:tblPr>
        <w:tblLayout w:type="fixed"/>
        <w:tblInd w:w="0" w:type="dxa"/>
        <w:tblCellMar>
          <w:top w:w="0" w:type="dxa"/>
          <w:left w:w="0" w:type="dxa"/>
          <w:bottom w:w="0" w:type="dxa"/>
          <w:right w:w="0" w:type="dxa"/>
        </w:tblCellMar>
      </w:tblPr>
      <w:tr>
        <w:trPr>
          <w:trHeight w:val="150"/>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of Principal</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0" w:lineRule="exact"/>
              <w:rPr>
                <w:sz w:val="20"/>
                <w:szCs w:val="20"/>
                <w:color w:val="auto"/>
              </w:rPr>
            </w:pPr>
            <w:r>
              <w:rPr>
                <w:rFonts w:ascii="Times New Roman" w:cs="Times New Roman" w:eastAsia="Times New Roman" w:hAnsi="Times New Roman"/>
                <w:sz w:val="14"/>
                <w:szCs w:val="14"/>
                <w:b w:val="1"/>
                <w:bCs w:val="1"/>
                <w:color w:val="auto"/>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Installments</w:t>
            </w:r>
          </w:p>
        </w:tc>
        <w:tc>
          <w:tcPr>
            <w:tcW w:w="1520" w:type="dxa"/>
            <w:vAlign w:val="bottom"/>
            <w:gridSpan w:val="3"/>
            <w:vMerge w:val="continue"/>
          </w:tcPr>
          <w:p>
            <w:pPr>
              <w:spacing w:after="0"/>
              <w:rPr>
                <w:sz w:val="12"/>
                <w:szCs w:val="12"/>
                <w:color w:val="auto"/>
              </w:rPr>
            </w:pPr>
          </w:p>
        </w:tc>
        <w:tc>
          <w:tcPr>
            <w:tcW w:w="15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Guarantee Amount</w:t>
            </w:r>
          </w:p>
        </w:tc>
        <w:tc>
          <w:tcPr>
            <w:tcW w:w="0" w:type="dxa"/>
            <w:vAlign w:val="bottom"/>
          </w:tcPr>
          <w:p>
            <w:pPr>
              <w:spacing w:after="0"/>
              <w:rPr>
                <w:sz w:val="1"/>
                <w:szCs w:val="1"/>
                <w:color w:val="auto"/>
              </w:rPr>
            </w:pPr>
          </w:p>
        </w:tc>
      </w:tr>
      <w:tr>
        <w:trPr>
          <w:trHeight w:val="198"/>
        </w:trPr>
        <w:tc>
          <w:tcPr>
            <w:tcW w:w="6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 Terms</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nine months of 2025</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-1139190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September 27, 2024, no amounts have been accrued in the Condensed Consolidated Financial Statements with respect to these indemnification agreements.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has a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months ended September 27, 2024 and September 29, 2023, the Company recognized approximately 2% and 6% of its consolidated revenue on products distributed by the Unis Venture, respectively. The outstanding accounts receivable due from the Unis Venture were 6% and 7% of Accounts receivable, net as of both September 27, 2024 and June 28, 2024,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right-of-use lease assets and lease liabilities included in the Company’s Condensed 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44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327</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57"/>
        </w:trPr>
        <w:tc>
          <w:tcPr>
            <w:tcW w:w="8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operating lease liabilities (included in Accrued expenses)</w:t>
            </w:r>
          </w:p>
        </w:tc>
        <w:tc>
          <w:tcPr>
            <w:tcW w:w="20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44</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305</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349</w:t>
            </w: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40" w:type="dxa"/>
            <w:vAlign w:val="bottom"/>
            <w:gridSpan w:val="3"/>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1180" w:type="dxa"/>
            <w:vAlign w:val="bottom"/>
          </w:tcPr>
          <w:p>
            <w:pPr>
              <w:jc w:val="center"/>
              <w:ind w:left="18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300" w:type="dxa"/>
            <w:vAlign w:val="bottom"/>
          </w:tcPr>
          <w:p>
            <w:pPr>
              <w:spacing w:after="0"/>
              <w:rPr>
                <w:sz w:val="11"/>
                <w:szCs w:val="11"/>
                <w:color w:val="auto"/>
              </w:rPr>
            </w:pPr>
          </w:p>
        </w:tc>
        <w:tc>
          <w:tcPr>
            <w:tcW w:w="15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6"/>
        </w:trPr>
        <w:tc>
          <w:tcPr>
            <w:tcW w:w="8260" w:type="dxa"/>
            <w:vAlign w:val="bottom"/>
          </w:tcPr>
          <w:p>
            <w:pPr>
              <w:spacing w:after="0"/>
              <w:rPr>
                <w:sz w:val="17"/>
                <w:szCs w:val="17"/>
                <w:color w:val="auto"/>
              </w:rPr>
            </w:pPr>
          </w:p>
        </w:tc>
        <w:tc>
          <w:tcPr>
            <w:tcW w:w="11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r>
      <w:tr>
        <w:trPr>
          <w:trHeight w:val="196"/>
        </w:trPr>
        <w:tc>
          <w:tcPr>
            <w:tcW w:w="8260" w:type="dxa"/>
            <w:vAlign w:val="bottom"/>
          </w:tcPr>
          <w:p>
            <w:pPr>
              <w:spacing w:after="0"/>
              <w:rPr>
                <w:sz w:val="17"/>
                <w:szCs w:val="17"/>
                <w:color w:val="auto"/>
              </w:rPr>
            </w:pPr>
          </w:p>
        </w:tc>
        <w:tc>
          <w:tcPr>
            <w:tcW w:w="2540" w:type="dxa"/>
            <w:vAlign w:val="bottom"/>
            <w:gridSpan w:val="3"/>
          </w:tcPr>
          <w:p>
            <w:pPr>
              <w:jc w:val="center"/>
              <w:ind w:left="36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80" w:type="dxa"/>
            <w:vAlign w:val="bottom"/>
            <w:shd w:val="clear" w:color="auto" w:fill="CCEEFF"/>
          </w:tcPr>
          <w:p>
            <w:pPr>
              <w:jc w:val="right"/>
              <w:ind w:right="100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06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8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5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5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-278765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WESTERN DIGITAL CORPORATION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729"/>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27, 2024, minimum lease payments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6"/>
        </w:trPr>
        <w:tc>
          <w:tcPr>
            <w:tcW w:w="9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9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nine months of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9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2"/>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3"/>
        </w:trPr>
        <w:tc>
          <w:tcPr>
            <w:tcW w:w="9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7"/>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2023, the Company completed a sale and leaseback of its facility in Milpitas, California. The Company received net proceeds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$191 million in cash and recorded a gain of $85 million on the sale. In connection with the sale, the Company agreed to lease back the facility at an annual lease rate of $16 million for the first year, increasing by 3% per year thereafter through January 1, 2039. The lease includes three 5-year renewal options and one 4-year renewal option for the ability to extend through December 2057. The supplemental balance sheet information and supplemental disclosures of operating cost and cash flow information related to the lease are included in the tables above.</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September 27, 2024, the Company had the following minimum long-term commitments:</w:t>
      </w:r>
    </w:p>
    <w:tbl>
      <w:tblPr>
        <w:tblLayout w:type="fixed"/>
        <w:tblInd w:w="0" w:type="dxa"/>
        <w:tblCellMar>
          <w:top w:w="0" w:type="dxa"/>
          <w:left w:w="0" w:type="dxa"/>
          <w:bottom w:w="0" w:type="dxa"/>
          <w:right w:w="0" w:type="dxa"/>
        </w:tblCellMar>
      </w:tblPr>
      <w:tr>
        <w:trPr>
          <w:trHeight w:val="148"/>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02"/>
              <w:spacing w:after="0" w:line="148"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96"/>
        </w:trPr>
        <w:tc>
          <w:tcPr>
            <w:tcW w:w="9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96"/>
        </w:trPr>
        <w:tc>
          <w:tcPr>
            <w:tcW w:w="9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nine months of 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Shareholders’ Equity and Convertible Preferred Stock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120" w:firstLine="324"/>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83"/>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65</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83"/>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82"/>
              <w:spacing w:after="0"/>
              <w:rPr>
                <w:sz w:val="20"/>
                <w:szCs w:val="20"/>
                <w:color w:val="auto"/>
              </w:rPr>
            </w:pPr>
            <w:r>
              <w:rPr>
                <w:rFonts w:ascii="Times New Roman" w:cs="Times New Roman" w:eastAsia="Times New Roman" w:hAnsi="Times New Roman"/>
                <w:sz w:val="16"/>
                <w:szCs w:val="16"/>
                <w:color w:val="auto"/>
                <w:w w:val="99"/>
              </w:rPr>
              <w:t>12</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883"/>
              <w:spacing w:after="0"/>
              <w:rPr>
                <w:sz w:val="20"/>
                <w:szCs w:val="20"/>
                <w:color w:val="auto"/>
              </w:rPr>
            </w:pPr>
            <w:r>
              <w:rPr>
                <w:rFonts w:ascii="Times New Roman" w:cs="Times New Roman" w:eastAsia="Times New Roman" w:hAnsi="Times New Roman"/>
                <w:sz w:val="16"/>
                <w:szCs w:val="16"/>
                <w:color w:val="auto"/>
                <w:w w:val="99"/>
              </w:rPr>
              <w:t>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77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8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83"/>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13</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1240" w:type="dxa"/>
            <w:vAlign w:val="bottom"/>
          </w:tcPr>
          <w:p>
            <w:pPr>
              <w:jc w:val="center"/>
              <w:ind w:left="883"/>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9"/>
              </w:rPr>
              <w:t>34</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883"/>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30</w:t>
            </w: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Pr>
          <w:p>
            <w:pPr>
              <w:spacing w:after="0"/>
              <w:rPr>
                <w:sz w:val="17"/>
                <w:szCs w:val="17"/>
                <w:color w:val="auto"/>
              </w:rPr>
            </w:pPr>
          </w:p>
        </w:tc>
        <w:tc>
          <w:tcPr>
            <w:tcW w:w="1240" w:type="dxa"/>
            <w:vAlign w:val="bottom"/>
          </w:tcPr>
          <w:p>
            <w:pPr>
              <w:jc w:val="center"/>
              <w:ind w:left="883"/>
              <w:spacing w:after="0"/>
              <w:rPr>
                <w:sz w:val="20"/>
                <w:szCs w:val="20"/>
                <w:color w:val="auto"/>
              </w:rPr>
            </w:pPr>
            <w:r>
              <w:rPr>
                <w:rFonts w:ascii="Times New Roman" w:cs="Times New Roman" w:eastAsia="Times New Roman" w:hAnsi="Times New Roman"/>
                <w:sz w:val="16"/>
                <w:szCs w:val="16"/>
                <w:color w:val="auto"/>
                <w:w w:val="99"/>
              </w:rPr>
              <w:t>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9"/>
              </w:rPr>
              <w:t>77</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4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42"/>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883"/>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882"/>
              <w:spacing w:after="0"/>
              <w:rPr>
                <w:sz w:val="20"/>
                <w:szCs w:val="20"/>
                <w:color w:val="auto"/>
              </w:rPr>
            </w:pPr>
            <w:r>
              <w:rPr>
                <w:rFonts w:ascii="Times New Roman" w:cs="Times New Roman" w:eastAsia="Times New Roman" w:hAnsi="Times New Roman"/>
                <w:sz w:val="16"/>
                <w:szCs w:val="16"/>
                <w:color w:val="auto"/>
                <w:w w:val="99"/>
              </w:rPr>
              <w:t>67</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-2167890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Any shortfalls or excess windfall tax benefits and tax deficiencies for shortfalls related to the vesting and exercise of stock-based awards, which are recognized as a component of the Company’s Income tax expense, were immaterial for the periods presented.</w:t>
      </w:r>
    </w:p>
    <w:p>
      <w:pPr>
        <w:spacing w:after="0" w:line="189" w:lineRule="exact"/>
        <w:rPr>
          <w:sz w:val="20"/>
          <w:szCs w:val="20"/>
          <w:color w:val="auto"/>
        </w:rPr>
      </w:pPr>
    </w:p>
    <w:p>
      <w:pPr>
        <w:ind w:right="440" w:firstLine="324"/>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September 27, 2024:</w:t>
      </w:r>
    </w:p>
    <w:tbl>
      <w:tblPr>
        <w:tblLayout w:type="fixed"/>
        <w:tblInd w:w="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41"/>
              <w:spacing w:after="0" w:line="150"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213"/>
        </w:trPr>
        <w:tc>
          <w:tcPr>
            <w:tcW w:w="14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41"/>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(years)</w:t>
            </w:r>
          </w:p>
        </w:tc>
      </w:tr>
      <w:tr>
        <w:trPr>
          <w:trHeight w:val="218"/>
        </w:trPr>
        <w:tc>
          <w:tcPr>
            <w:tcW w:w="826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2.6</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0.3</w:t>
            </w:r>
          </w:p>
        </w:tc>
      </w:tr>
      <w:tr>
        <w:trPr>
          <w:trHeight w:val="237"/>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6"/>
        </w:trPr>
        <w:tc>
          <w:tcPr>
            <w:tcW w:w="14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87"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28,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September 27,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As of September 27, 2024 and June 28, 2024, 235,000 of the Preferred Shares were outstanding.</w:t>
      </w:r>
    </w:p>
    <w:p>
      <w:pPr>
        <w:spacing w:after="0" w:line="20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Preferred Shares have a stated value of $1,000 per share and accrue a cumulative preferred dividend at an annual rate of 6.25% per annum (increasing to 7.25% per annum on January 31, 2030 and to 8.25% per annum on January 31, 2033) compounded on a quarterly basis. The Preferred Shares also participate in any dividends declared for common shareholders on an as-converted equivalent basis. No dividends have been declared or paid since the issuance of the Preferred Shares. As of September 27, 2024 and June 28, 2024, unpaid and cumulative dividends payable with respect to the Preferred Shares were $26 million and $22 million, respectively.</w:t>
      </w:r>
    </w:p>
    <w:p>
      <w:pPr>
        <w:spacing w:after="0" w:line="21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Preferred Shares are convertible into shares of the Company’s common stock at an initial conversion rate of $47.75 per share (the “Conversion Price”) (subject to anti-dilution adjustments and certain other one-time adjustments upon the occurrence of various specified spin-off transactions) applied to the aggregate sum of the stated value of the Preferred Shares plus any cumulative accrued but unpaid dividends (the “Accumulated Stated Value”). In the event of a standalone spin-off transaction, the holders of the Preferred Shares may have one third of their Preferred Shares converted to a similar class of preferred shares of the spin-off entity. The Preferred Shares will be convertible at the option of the Company after January 31, 2026 if the closing price per share of the Company’s common stock exceeds 150% of the Conversion Price for at least 20 out of 30 consecutive trading days immediately prior to the Company’s conversion notice.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27, 2024 and June 28, 2024, the Preferred Shares outstanding had an aggregate liquidation preference of $261 million and</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$257 million, respectively, and would have been convertible, if otherwise permitted, into approximately 5 million shares of common stock on each such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5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Beginning in fiscal year 2023, the Tax Cuts and Jobs Act (the “2017 Act”) requires the Company to capitalize and amortize R&amp;D expenses rather than expensing them in the year incurred. The tax effects related to the capitalization of R&amp;D expenses are included in the effective tax rate for the three months ended September 27, 2024 and September 29, 2023.</w:t>
      </w:r>
    </w:p>
    <w:p>
      <w:pPr>
        <w:spacing w:after="0" w:line="20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 billion. The CAMT was effective for the Company beginning with fiscal year 2024. The Company does not expect to be subject to CAMT for fiscal year 2025 as its average annual AFSI did not exceed $1.0 billion for the preceding three-year period.</w:t>
      </w:r>
    </w:p>
    <w:p>
      <w:pPr>
        <w:spacing w:after="0" w:line="21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(“Pillar Two Model Rules”). Several non-US jurisdictions have either enacted legislation or announced their intention to enact future legislation to adopt certain or all components of the Pillar Two, some which are effective for the Company in fiscal year 2025. For fiscal year 2025, the Company currently expects to be able to meet certain transitional safe harbors and does not expect any material Pillar Two taxes. As more jurisdictions adopt this legislation in fiscal year 2026, there may be material increases in the Company’s future tax obligations in certain jurisdictions.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3"/>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31"/>
        </w:trPr>
        <w:tc>
          <w:tcPr>
            <w:tcW w:w="8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80" w:type="dxa"/>
            <w:vAlign w:val="bottom"/>
          </w:tcPr>
          <w:p>
            <w:pPr>
              <w:spacing w:after="0"/>
              <w:rPr>
                <w:sz w:val="11"/>
                <w:szCs w:val="11"/>
                <w:color w:val="auto"/>
              </w:rPr>
            </w:pPr>
          </w:p>
        </w:tc>
        <w:tc>
          <w:tcPr>
            <w:tcW w:w="1320" w:type="dxa"/>
            <w:vAlign w:val="bottom"/>
          </w:tcPr>
          <w:p>
            <w:pPr>
              <w:jc w:val="right"/>
              <w:ind w:right="24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3"/>
          </w:tcPr>
          <w:p>
            <w:pPr>
              <w:jc w:val="right"/>
              <w:ind w:right="1123"/>
              <w:spacing w:after="0"/>
              <w:rPr>
                <w:sz w:val="20"/>
                <w:szCs w:val="20"/>
                <w:color w:val="auto"/>
              </w:rPr>
            </w:pPr>
            <w:r>
              <w:rPr>
                <w:rFonts w:ascii="Times New Roman" w:cs="Times New Roman" w:eastAsia="Times New Roman" w:hAnsi="Times New Roman"/>
                <w:sz w:val="14"/>
                <w:szCs w:val="14"/>
                <w:i w:val="1"/>
                <w:iCs w:val="1"/>
                <w:color w:val="auto"/>
              </w:rPr>
              <w:t>($ in millions)</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628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(682)</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135</w:t>
            </w:r>
          </w:p>
        </w:tc>
        <w:tc>
          <w:tcPr>
            <w:tcW w:w="280" w:type="dxa"/>
            <w:vAlign w:val="bottom"/>
          </w:tcPr>
          <w:p>
            <w:pPr>
              <w:spacing w:after="0"/>
              <w:rPr>
                <w:sz w:val="18"/>
                <w:szCs w:val="18"/>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21 %</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-548005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relative mix of earnings and losses by jurisdiction, the deduction for foreign-derived intangible income, credits, and tax holidays in Malaysia, the Philippines, and Thailand that have or will expire at various dates during years 2025 through 2031 resulted in decreases to the effective tax rate below the U.S. statutory rate for the three months ended September 27, 2024. However, the tax effects of the mandatory capitalization of R&amp;D expenses offset these decreases, resulting in the effective tax rate being closer to the U.S. Federal statutory rate for the three months ended September 27, 2024.</w:t>
      </w:r>
    </w:p>
    <w:p>
      <w:pPr>
        <w:spacing w:after="0" w:line="20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September 29, 2023 and the U.S. Federal statutory rate of 21% are the relative mix of earnings and losses by jurisdiction, the deduction for foreign-derived intangible income, credits, and tax holidays in Malaysia, the Philippines, and Thailand that will expire at various dates during years 2024 through 2031. In addition, the effective tax rate for the three months ended September 29, 2023 includes the discrete effect of a net decrease of $30 million to the liability for unrecognized tax benefits, which includes interest and offsetting tax benefits, as a result of adjustments to align with IRS calculations.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 for the three months ended September 27, 2024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28, 2024</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3"/>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September 27, 2024</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September 27, 2024 were $70 million. Of the aggregate unrecognized tax benefits, including interest and penalties, as of September 27, 2024, approximately $597 million could result in potential cash payments. The Company is not able to provide a reasonable estimate of the timing of future tax payments related to these obligations.</w:t>
      </w:r>
    </w:p>
    <w:p>
      <w:pPr>
        <w:spacing w:after="0" w:line="21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three months ended September 27, 2024, the Company made a payment of $130 million for interest with respect to years 2008 through 2012 and $23 million for tax and interest with respects to years 2013 through 2015, resulting in a remaining liability of $10 million as of September 27, 2024 related to all years from 2008 through 2015. The Company expects to pay any remaining balance with respect to this matter within the next twelve months.</w:t>
      </w:r>
    </w:p>
    <w:p>
      <w:pPr>
        <w:spacing w:after="0" w:line="21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the Company expects to realize reductions to its mandatory deemed repatriation tax obligations and tax savings from interest deductions in future years aggregating to approximately $162 million. Of this amount, $31 million of the interest savings from the interest paid with respect to years 2008 through 2012 is classified as a deferred tax asset due to interest expense limitation rules.</w:t>
      </w:r>
    </w:p>
    <w:p>
      <w:pPr>
        <w:spacing w:after="0" w:line="20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September 27, 2024, with the exception of the IRS matter discussed above,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dividends allocated to preferred shareholders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2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Less: income attributable to participating securities</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RSUs, PSUs, ESPP, and the 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-1830070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9340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24" w:lineRule="exact"/>
        <w:rPr>
          <w:sz w:val="20"/>
          <w:szCs w:val="20"/>
          <w:color w:val="auto"/>
        </w:rPr>
      </w:pPr>
    </w:p>
    <w:p>
      <w:pPr>
        <w:ind w:left="340" w:right="80" w:hanging="332"/>
        <w:spacing w:after="0" w:line="229" w:lineRule="auto"/>
        <w:tabs>
          <w:tab w:leader="none" w:pos="37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Preferred stock represents participating securities because they participate in any dividends on shares of common stock on a pari passu, pro rata basis. Preferred stock does not participate in undistributed net losses.</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Basic net income (loss) per share attributable to common shareholders is computed using (i) net income (loss) less (ii) dividends allocated to preferred shareholders less (iii) net income (loss) attributable to participating securities divided by (iv) weighted average basic shares outstanding. Diluted net income or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convertible notes and the preferred shares. The treasury stock method is used to determine the dilutive impact of unvested equity awards.</w:t>
      </w:r>
    </w:p>
    <w:p>
      <w:pPr>
        <w:spacing w:after="0" w:line="21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employee stock options, RSUs and PSUs, rights to purchase shares of common stock under the Company’s ESPP, shares issuable in connection with the Company’s convertible notes, and the preferred shares. For the three months ended September 27, 2024, all common shares subject to outstanding equity awards are included in the calculation of diluted shares based on the Company’s average stock price during the period. For the three months ended September 29, 2023, the Company recorded a net loss, and all shares subject to outstanding equity awards were excluded from the calculation of diluted shares for those periods because their impact would have been anti-dilutive.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41"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The Company periodically incurs charges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In this regard, for the three months ended September 29, 2023, the Company reassessed existing capacity development plans and made a decision to cancel certain projects, including projects to expand capacity in its Penang, Malaysia facility, resulting in the impairment of existing construction in progress, other assets and the recognition of a liability for certain contract termination costs. The Company also took actions to reduce the amount of capital invested in facilities, including the sale-leaseback of its facility in Milpitas, California in September 2023.</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following net charges related to these actions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4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6"/>
        </w:trPr>
        <w:tc>
          <w:tcPr>
            <w:tcW w:w="8260" w:type="dxa"/>
            <w:vAlign w:val="bottom"/>
          </w:tcPr>
          <w:p>
            <w:pPr>
              <w:spacing w:after="0"/>
              <w:rPr>
                <w:sz w:val="17"/>
                <w:szCs w:val="17"/>
                <w:color w:val="auto"/>
              </w:rPr>
            </w:pPr>
          </w:p>
        </w:tc>
        <w:tc>
          <w:tcPr>
            <w:tcW w:w="11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r>
      <w:tr>
        <w:trPr>
          <w:trHeight w:val="196"/>
        </w:trPr>
        <w:tc>
          <w:tcPr>
            <w:tcW w:w="8260" w:type="dxa"/>
            <w:vAlign w:val="bottom"/>
          </w:tcPr>
          <w:p>
            <w:pPr>
              <w:spacing w:after="0"/>
              <w:rPr>
                <w:sz w:val="17"/>
                <w:szCs w:val="17"/>
                <w:color w:val="auto"/>
              </w:rPr>
            </w:pPr>
          </w:p>
        </w:tc>
        <w:tc>
          <w:tcPr>
            <w:tcW w:w="2540" w:type="dxa"/>
            <w:vAlign w:val="bottom"/>
            <w:gridSpan w:val="4"/>
          </w:tcPr>
          <w:p>
            <w:pPr>
              <w:jc w:val="right"/>
              <w:ind w:right="62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7"/>
                <w:szCs w:val="17"/>
                <w:color w:val="auto"/>
              </w:rPr>
            </w:pPr>
          </w:p>
        </w:tc>
      </w:tr>
      <w:tr>
        <w:trPr>
          <w:trHeight w:val="222"/>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18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19</w:t>
            </w:r>
          </w:p>
        </w:tc>
      </w:tr>
      <w:tr>
        <w:trPr>
          <w:trHeight w:val="213"/>
        </w:trPr>
        <w:tc>
          <w:tcPr>
            <w:tcW w:w="8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impairments</w:t>
            </w:r>
          </w:p>
        </w:tc>
        <w:tc>
          <w:tcPr>
            <w:tcW w:w="1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94</w:t>
            </w:r>
          </w:p>
        </w:tc>
      </w:tr>
      <w:tr>
        <w:trPr>
          <w:trHeight w:val="219"/>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charges (gains):</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29</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sale-leaseback of facility</w:t>
            </w:r>
          </w:p>
        </w:tc>
        <w:tc>
          <w:tcPr>
            <w:tcW w:w="1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employee termination, asset impairment, and other</w:t>
            </w:r>
          </w:p>
        </w:tc>
        <w:tc>
          <w:tcPr>
            <w:tcW w:w="1180" w:type="dxa"/>
            <w:vAlign w:val="bottom"/>
            <w:tcBorders>
              <w:top w:val="single" w:sz="8" w:color="auto"/>
              <w:bottom w:val="single" w:sz="8" w:color="auto"/>
            </w:tcBorders>
          </w:tcPr>
          <w:p>
            <w:pPr>
              <w:jc w:val="right"/>
              <w:ind w:right="100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w w:val="99"/>
              </w:rPr>
              <w:t>57</w:t>
            </w:r>
          </w:p>
        </w:tc>
      </w:tr>
      <w:tr>
        <w:trPr>
          <w:trHeight w:val="21"/>
        </w:trPr>
        <w:tc>
          <w:tcPr>
            <w:tcW w:w="8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46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(included in Accrued expenses) during the three months ended September 27, 2024:</w:t>
      </w:r>
    </w:p>
    <w:tbl>
      <w:tblPr>
        <w:tblLayout w:type="fixed"/>
        <w:tblInd w:w="0" w:type="dxa"/>
        <w:tblCellMar>
          <w:top w:w="0" w:type="dxa"/>
          <w:left w:w="0" w:type="dxa"/>
          <w:bottom w:w="0" w:type="dxa"/>
          <w:right w:w="0" w:type="dxa"/>
        </w:tblCellMar>
      </w:tblPr>
      <w:tr>
        <w:trPr>
          <w:trHeight w:val="149"/>
        </w:trPr>
        <w:tc>
          <w:tcPr>
            <w:tcW w:w="98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 Termination</w:t>
            </w:r>
          </w:p>
        </w:tc>
      </w:tr>
      <w:tr>
        <w:trPr>
          <w:trHeight w:val="195"/>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195"/>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28, 2024</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September 27, 2024</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Supplier Finance Program</w:t>
      </w:r>
    </w:p>
    <w:p>
      <w:pPr>
        <w:spacing w:after="0" w:line="256"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spacing w:after="0" w:line="20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Company’s current payment terms with its suppliers under these programs generally range from 60 to 90 days and payment terms that the Company negotiates with its suppliers are not impacted by whether a supplier participates in the program. The Company does not provide any guarantees to any third parties and no assets are pledged in connection with the arrangements.</w:t>
      </w:r>
    </w:p>
    <w:p>
      <w:pPr>
        <w:spacing w:after="0" w:line="20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outstanding payment obligations to vendors eligible to participate under its supplier finance program were $41 million and $37 million as of September 27, 2024 and June 28, 2024, respectively, and are included within Accounts payable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41"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disclosures regarding the status of statutory notices of deficiency issued by the IRS with regard to tax years 2008 through 2015, see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Intellectual Property Litigation</w:t>
      </w:r>
    </w:p>
    <w:p>
      <w:pPr>
        <w:spacing w:after="0" w:line="25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August 26, 2022, MR Technologies, GmbH (“MRT”) filed an action in the United States District Court for the Central District of California (the “Central District Court”) against the Company’s wholly-owned subsidiary, Western Digital Technologies, Inc., alleging infringement of U.S. Patent Nos. 9,978,413, 9,928,864, 11,133,031 and 11,138,997, each of which relate to hard disk drive media. As the case progressed, MRT dropped its claims with respect to U.S Patent Nos. 9,978,413 and 11,133,031, and the case proceeded to trial in July 2024 on the remaining two patents (together, the “MRT Patents”). The trial concluded on July 26, 2024, and the jury awarded MRT a lump sum of $262 million for use of the MRT Patents in the past and through their remaining lives. MRT also requested and was awarded prejudgment interest totaling $117 million in a judgment entered on August 15, 2024. In addition, MRT requested attorney’s fees and post-judgment interest.</w:t>
      </w:r>
    </w:p>
    <w:p>
      <w:pPr>
        <w:spacing w:after="0" w:line="21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2024, the Company recognized an aggregate liability for this matter of $384 million with $291 million recognized as an Operating expense under Litigation matter for the year ended June 28, 2024 and $93 million recognized as Other non-current assets for the patent licenses, to be amortized over their remaining lives. During the first quarter of fiscal 2025, the Company recognized incremental charges of $3 million related to plaintiff’s attorney’s fees in Operating expense under Litigation matter, $2 million of post-judgment interest in Other income (expense), net, and $9 million in Cost of revenue from the subsequent amortization of licenses related to this matter. The Company believes it has meritorious defenses, plans to file post-trial motions, and if not successful, plans to appeal the judgment and continue to defend itself vigorously.</w:t>
      </w:r>
    </w:p>
    <w:p>
      <w:pPr>
        <w:spacing w:after="0" w:line="21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under U.S. Patent No. 6,088,802 asserted against certain HDD products that may include certain encryption capabilities. The trial commenced on October 8, 2024, concluded on October 18, 2024, and the jury awarded SPEX damages of $316 million for the use of one claim of U.S. Patent No. 6,088,802 in the past, prior to its expiration in 2017. SPEX has also requested the court to award it prejudgment interest of $233 million and legal costs. The Company intends to contest the verdict and, based on available arguments, the Company believes the jury verdict and any prejudgment interest and legal costs will be reversed, amended or vacated when the Company files motions for judgment as a matter of law in the district court or presents its appeal to the United States Court of Appeals for the Federal Circuit, if necessary. The Company therefore, believes a loss is not probable and has not accrued a liability as a result of the jury verdict or the request for prejudgment interest and legal costs in its financial statements as of September 27, 2024.</w:t>
      </w:r>
    </w:p>
    <w:p>
      <w:pPr>
        <w:spacing w:after="0" w:line="21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ability to predict the ultimate outcome of these matters involves judgments, estimates and inherent uncertainties. The actual outcome of these matters could differ materially from management’s estimates.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300" w:firstLine="324"/>
        <w:spacing w:after="0" w:line="220"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28, 2024. See also “Forward-Looking Statements” immediately prior to Part I, Item 1 in this Quarterly Report on Form 10-Q.</w:t>
      </w:r>
    </w:p>
    <w:p>
      <w:pPr>
        <w:spacing w:after="0" w:line="22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based on both hard disk drive and NAND flash technologies. With a differentiated innovation engine driving advancements in storage and semiconductor technologies, our broad and ever-expanding portfolio delivers powerful HDD and Flash storage solutions for everyone from students, gamers, and home offices to the largest enterprises and public clouds to capture, preserve, access, and transform an ever-increasing diversity of data.</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broad portfolio of technology and products addresses our multiple end markets: “Cloud,” “Client,” and “Consumer”. Cloud is comprised primarily of products for public or private cloud environments and enterprise customers. Through the Client end market, we provide our original equipment manufacturer “OEM” and channel customers a broad array of high-performance HDD and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1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of 52 weeks, with all quarters presented consisting of 13 weeks.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Separation of Business Units</w:t>
      </w:r>
    </w:p>
    <w:p>
      <w:pPr>
        <w:spacing w:after="0" w:line="25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October 30, 2023, we announced that our Board of Directors had completed its strategic review of our business and, after evaluating a comprehensive range of alternatives, authorized us to pursue a plan to separate our HDD and Flash business units to create two independent, public companies. We believe the separation will better position each business unit to execute innovative technology and product development, capitalize on unique growth opportunities, extend respective leadership positions, and operate more efficiently with distinct capital structures. The completion of the planned separation is subject to certain conditions, including final approval by our Board of Directors. At the beginning of our second quarter of fiscal 2025, we entered the soft-spin phase of our separation plan. The soft-spin phase represents the period when we begin testing critical processes and systems for each future HDD and Flash company to ensure that both are ready to operate independently at legal separation. We continue to make progress on the work required to execute the separation, which we expect will occur after we close the second quarter of fiscal 2025.</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Operational Update</w:t>
      </w:r>
    </w:p>
    <w:p>
      <w:pPr>
        <w:spacing w:after="0" w:line="2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Macroeconomic factors such as inflation, changes in interest rates, and recession concerns softened demand for our products during 2023 and the first half of 2024. As a result, we and our industry experienced a supply-demand imbalance, which resulted in reduced shipments and negatively impacted pricing during those periods. To adapt to these conditions, since the beginning of 2023, we implemented measures to reduce operating expenses and proactively manage supply and inventory to align with demand and improve our capital efficiency while continuing to deploy innovative products. These actions enabled us to scale back on capital expenditures, consolidate production lines, and reduce production. During the first quarter of 2024, these actions resulted in incremental charges for employee termination, asset impairment, and charges for unabsorbed manufacturing overhead costs in HDD and Flash due to the underutilization of facilities as we temporarily scaled back production.</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are now seeing an improvement in the supply and demand dynamic, leading to improved revenues. The increase in demand resulted in increased revenue and gross margin across our segments in the first quarter of 2025 from the comparable period in the prior year. We anticipate that digital transformation, including the AI data-cycle, will continue to drive improved market conditions in the near- and long-term for data storage, encompassing HDD and Flash technologies. Leveraging our expertise and innovation in both areas, we believe we are well-positioned to capitalize on this improved market condition.</w:t>
      </w:r>
    </w:p>
    <w:p>
      <w:pPr>
        <w:spacing w:after="0" w:line="21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of a Majority Interest in a Subsidiary</w:t>
      </w:r>
    </w:p>
    <w:p>
      <w:pPr>
        <w:spacing w:after="0" w:line="25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Part I, Item 1, Note 4, </w:t>
      </w:r>
      <w:r>
        <w:rPr>
          <w:rFonts w:ascii="Times New Roman" w:cs="Times New Roman" w:eastAsia="Times New Roman" w:hAnsi="Times New Roman"/>
          <w:sz w:val="18"/>
          <w:szCs w:val="18"/>
          <w:i w:val="1"/>
          <w:iCs w:val="1"/>
          <w:color w:val="auto"/>
        </w:rPr>
        <w:t>Supplemental Financial Statement Data</w:t>
      </w:r>
      <w:r>
        <w:rPr>
          <w:rFonts w:ascii="Times New Roman" w:cs="Times New Roman" w:eastAsia="Times New Roman" w:hAnsi="Times New Roman"/>
          <w:sz w:val="18"/>
          <w:szCs w:val="18"/>
          <w:color w:val="auto"/>
        </w:rPr>
        <w:t>, of the Notes to Condensed Consolidated Financial Statements, in March 2024, we entered into an agreement to sell 80% of the equity interest in one of our Flash manufacturing subsidiaries to JCET, a third-party contract manufacturing company. Subsequent to the first quarter of fiscal 2025, on September 28, 2024, the transaction closed. In connection with this transaction, we entered into a 5-year supply agreement with JCET to purchase wafers with a minimum annual commitment of $550 million.</w:t>
      </w:r>
    </w:p>
    <w:p>
      <w:pPr>
        <w:spacing w:after="0" w:line="20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a result of this transaction, we expect to incur a modest reduction in annual operating expenses and a reduction in annual capital expenditures related to assembly and testing of Flash-based products. We also anticipate that the transition to a contract manufacturing model through SDSS will result in a small increase in our annual cost of revenue for Flash-based products.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Resolution</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previously disclosed, we had previously reached a final agreement with the IRS and received notices of deficiency with respect to years 2008 through 2012 and in February 2024, also reached a final agreement for resolving the notices of proposed adjustments with respect to years 2013 through 2015. During the three months ended September 27, 2024, we made payments aggregating $153 million for tax and interest with respect to all years 2008 through 2015 and have a remaining liability of $10 million as of September 27, 2024 related to all years from 2008 through 2015. We expect to pay any remaining balance with respect to this matter within the next twelve months. Additional information regarding these settlements and our assessment of the potential tax and interest payments we expect to pay in connection with the settlements is provided in our discussion of Income tax expense in our “Results of Operations” below, as well as in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of the Notes to Condensed Consolidated Financial Statements, and in the “Short- and Long-term Liquidity – </w:t>
      </w:r>
      <w:r>
        <w:rPr>
          <w:rFonts w:ascii="Times New Roman" w:cs="Times New Roman" w:eastAsia="Times New Roman" w:hAnsi="Times New Roman"/>
          <w:sz w:val="18"/>
          <w:szCs w:val="18"/>
          <w:i w:val="1"/>
          <w:iCs w:val="1"/>
          <w:color w:val="auto"/>
        </w:rPr>
        <w:t>Unrecognized Tax Benefits</w:t>
      </w:r>
      <w:r>
        <w:rPr>
          <w:rFonts w:ascii="Times New Roman" w:cs="Times New Roman" w:eastAsia="Times New Roman" w:hAnsi="Times New Roman"/>
          <w:sz w:val="18"/>
          <w:szCs w:val="18"/>
          <w:color w:val="auto"/>
        </w:rPr>
        <w:t>” section below.</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First Quarter Overview</w:t>
      </w:r>
    </w:p>
    <w:p>
      <w:pPr>
        <w:spacing w:after="0" w:line="254"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right"/>
              <w:ind w:right="55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1"/>
                <w:szCs w:val="11"/>
                <w:color w:val="auto"/>
              </w:rPr>
            </w:pPr>
          </w:p>
        </w:tc>
        <w:tc>
          <w:tcPr>
            <w:tcW w:w="1740" w:type="dxa"/>
            <w:vAlign w:val="bottom"/>
            <w:gridSpan w:val="3"/>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80" w:type="dxa"/>
            <w:vAlign w:val="bottom"/>
          </w:tcPr>
          <w:p>
            <w:pPr>
              <w:spacing w:after="0"/>
              <w:rPr>
                <w:sz w:val="11"/>
                <w:szCs w:val="11"/>
                <w:color w:val="auto"/>
              </w:rPr>
            </w:pPr>
          </w:p>
        </w:tc>
        <w:tc>
          <w:tcPr>
            <w:tcW w:w="9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1,345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2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62.1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96.4</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37.9</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1,452</w:t>
            </w:r>
          </w:p>
        </w:tc>
        <w:tc>
          <w:tcPr>
            <w:tcW w:w="10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2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12.7</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12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40" w:type="dxa"/>
            <w:vAlign w:val="bottom"/>
            <w:tcBorders>
              <w:top w:val="single" w:sz="8" w:color="auto"/>
              <w:bottom w:val="single" w:sz="8" w:color="auto"/>
            </w:tcBorders>
          </w:tcPr>
          <w:p>
            <w:pPr>
              <w:spacing w:after="0"/>
              <w:rPr>
                <w:sz w:val="17"/>
                <w:szCs w:val="17"/>
                <w:color w:val="auto"/>
              </w:rPr>
            </w:pPr>
          </w:p>
        </w:tc>
        <w:tc>
          <w:tcPr>
            <w:tcW w:w="120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19.8</w:t>
            </w: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0" w:type="dxa"/>
            <w:vAlign w:val="bottom"/>
            <w:tcBorders>
              <w:top w:val="single" w:sz="8" w:color="auto"/>
              <w:bottom w:val="single" w:sz="8" w:color="auto"/>
            </w:tcBorders>
          </w:tcPr>
          <w:p>
            <w:pPr>
              <w:spacing w:after="0"/>
              <w:rPr>
                <w:sz w:val="17"/>
                <w:szCs w:val="17"/>
                <w:color w:val="auto"/>
              </w:rPr>
            </w:pPr>
          </w:p>
        </w:tc>
        <w:tc>
          <w:tcPr>
            <w:tcW w:w="11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25.3</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1,338</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4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40" w:type="dxa"/>
            <w:vAlign w:val="bottom"/>
            <w:tcBorders>
              <w:top w:val="single" w:sz="8" w:color="auto"/>
              <w:bottom w:val="single" w:sz="8" w:color="auto"/>
            </w:tcBorders>
          </w:tcPr>
          <w:p>
            <w:pPr>
              <w:spacing w:after="0"/>
              <w:rPr>
                <w:sz w:val="17"/>
                <w:szCs w:val="17"/>
                <w:color w:val="auto"/>
              </w:rPr>
            </w:pPr>
          </w:p>
        </w:tc>
        <w:tc>
          <w:tcPr>
            <w:tcW w:w="120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Borders>
              <w:top w:val="single" w:sz="8" w:color="auto"/>
              <w:bottom w:val="single" w:sz="8" w:color="auto"/>
            </w:tcBorders>
          </w:tcPr>
          <w:p>
            <w:pPr>
              <w:spacing w:after="0"/>
              <w:rPr>
                <w:sz w:val="17"/>
                <w:szCs w:val="17"/>
                <w:color w:val="auto"/>
              </w:rPr>
            </w:pPr>
          </w:p>
        </w:tc>
        <w:tc>
          <w:tcPr>
            <w:tcW w:w="11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1,310</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132</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4,400</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1,178</w:t>
            </w:r>
          </w:p>
        </w:tc>
        <w:tc>
          <w:tcPr>
            <w:tcW w:w="10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Less: dividends allocated to preferred shareholders</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Borders>
              <w:bottom w:val="single" w:sz="8" w:color="auto"/>
            </w:tcBorders>
            <w:shd w:val="clear" w:color="auto" w:fill="CCEEFF"/>
          </w:tcPr>
          <w:p>
            <w:pPr>
              <w:spacing w:after="0"/>
              <w:rPr>
                <w:sz w:val="18"/>
                <w:szCs w:val="18"/>
                <w:color w:val="auto"/>
              </w:rPr>
            </w:pPr>
          </w:p>
        </w:tc>
        <w:tc>
          <w:tcPr>
            <w:tcW w:w="12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11.7 %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1,181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4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a summary of our segment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320" w:type="dxa"/>
            <w:vAlign w:val="bottom"/>
          </w:tcPr>
          <w:p>
            <w:pPr>
              <w:spacing w:after="0"/>
              <w:rPr>
                <w:sz w:val="11"/>
                <w:szCs w:val="11"/>
                <w:color w:val="auto"/>
              </w:rPr>
            </w:pPr>
          </w:p>
        </w:tc>
        <w:tc>
          <w:tcPr>
            <w:tcW w:w="124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12"/>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20" w:type="dxa"/>
            <w:vAlign w:val="bottom"/>
          </w:tcPr>
          <w:p>
            <w:pPr>
              <w:spacing w:after="0"/>
              <w:rPr>
                <w:sz w:val="18"/>
                <w:szCs w:val="18"/>
                <w:color w:val="auto"/>
              </w:rPr>
            </w:pP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licenses related to a litigation matter</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-2527935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4"/>
          </w:tcPr>
          <w:p>
            <w:pPr>
              <w:jc w:val="right"/>
              <w:ind w:right="1001"/>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Three Months Ended September 27, 2024 to Three Months Ended September 29, 2023</w:t>
      </w:r>
    </w:p>
    <w:p>
      <w:pPr>
        <w:spacing w:after="0" w:line="254"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increase in consolidated net revenue for the three months ended September 27, 2024 from the comparable period in the prior year reflected increases in both HDD and Flash revenue as discussed in more detail below.</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HDD revenue increased by 85% for the three months ended September 27, 2024 from the comparable period in the prior year, as a result of a 107% increase in exabytes sold, primarily from higher shipments of our high capacity enterprise drives, partially offset by a 10% decline in average selling prices per gigabyte primarily due to a shift in the product mix to larger capacity drives.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Flash revenue increased by 21% for the three months ended September 27, 2024 from the comparable period in the prior year, reflecting a 39% increase in average selling prices per gigabyte primarily due to improved pricing as the supply-demand balance improved, partially offset by a 12% decrease in exabytes sold. The decrease in exabytes sold was primarily due to the near-term drop in demand in the Client and Consumer end markets, partially offset by increased demand in the Cloud end market.</w:t>
      </w:r>
    </w:p>
    <w:p>
      <w:pPr>
        <w:spacing w:after="0" w:line="207"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Cloud revenue increased by 153% for the three months ended September 27, 2024 from the comparable period in the prior year, reflecting a 140% increase in exabytes sold and a 7% increase in average selling prices per gigabyte. The increase in exabytes sold was driven by higher shipments of our high capacity enterprise HDD products stemming from new data center builds. The increase in average selling prices per gigabyte was primarily due to improved pricing in Flash as the supply-demand balance improved.</w:t>
      </w:r>
    </w:p>
    <w:p>
      <w:pPr>
        <w:spacing w:after="0" w:line="207"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Client revenue increased by 5% for the three months ended September 27, 2024 from the comparable period in the prior year, reflecting a 33% increase in average selling prices per gigabyte, partially offset by a 20% decrease in exabytes sold. The increase in average selling prices per gigabyte over the prior year period was primarily due to improved pricing in Flash. The decline in exabytes sold reflected the near-term drop in demand for Flash products.</w:t>
      </w:r>
    </w:p>
    <w:p>
      <w:pPr>
        <w:spacing w:after="0" w:line="185"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Consumer revenue declined 7% for the three months ended September 27, 2024 from the comparable period in the prior year, reflecting a 15% decrease in exabytes sold, partially offset by a 10% increase in average selling prices per gigabyte. The decrease in exabytes sold was due to lower shipments of both HDD and Flash products. The increase in average selling prices per gigabyte was driven by improved pricing in both HDD and Flash .</w:t>
      </w:r>
    </w:p>
    <w:p>
      <w:pPr>
        <w:spacing w:after="0" w:line="18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changes in net revenue by geography for the three months ended September 27, 2024 from the comparable period in the prior year reflected higher revenue in the Americas region from Cloud customers as noted above.</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top 10 customers accounted for 51% of our net revenue for the three months ended September 27, 2024, compared to 44% of our net revenue for the three months ended September 29, 2023. For the three months ended September 27, 2024, one customer accounted for 14% of our net revenue. No customer accounted for 10% or more of the Company’s net revenue for the three months ended September 29, 2023.</w:t>
      </w:r>
    </w:p>
    <w:p>
      <w:pPr>
        <w:spacing w:after="0" w:line="20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These programs represented 13% and 20% of gross revenue for the three months ended September 27, 2024 and September 29, 2023, respectively. The amounts attributed to our sales incentive and marketing programs generally vary according to several factors, including industry conditions, list pricing strategies, seasonal demand, competitor actions, channel mix, and overall availability of products. The decrease in program amounts in the current period reflects the improved demand and pricing environment. Changes in future customer demand and market conditions may require us to adjust our incentive programs as a percentage of gross revenue.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Consolidated gross profit increased by $1.45 billion for the three months ended September 27, 2024 from the comparable period in the prior year, primarily due to higher product shipments, improved pricing, and favorable product mix. In addition, the prior year period included charges for unabsorbed manufacturing overhead costs as a result of the reduced utilization of our manufacturing capacity of $225 million ($83 million in HDD and $142 million in Flash), which were not incurred in the current period. Consolidated gross margin increased by 34 percentage points year over year, mainly due to improved pricing and favorable product mix with approximately 8 percentage points of the increase due to the underutilization charges incurred in the prior year period but not incurred in the current period.</w:t>
      </w:r>
    </w:p>
    <w:p>
      <w:pPr>
        <w:spacing w:after="0" w:line="214"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HDD gross margin increased by 15 percentage points year over year, primarily due to higher product shipments with approximately 7 percentage points of the increase due to the manufacturing underutilization charges incurred in the prior year period but not incurred in the current period.</w:t>
      </w:r>
    </w:p>
    <w:p>
      <w:pPr>
        <w:spacing w:after="0" w:line="167"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Flash gross margin increased by 49 percentage points year over year, primarily due to improved pricing and favorable product mix with approximately 9 percentage points of the increase due to the underutilization charges incurred in the prior year period but not incurred in the current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increased by $88 million for the three months ended September 27, 2024 from the comparable period in the prior year. The increase was driven by a $56 million increase in compensation and benefits due to higher variable compensation and increased headcount, a $10 million increase in material purchases, and modest increases in spending for R&amp;D projects as we continue to invest in innovation.</w:t>
      </w:r>
    </w:p>
    <w:p>
      <w:pPr>
        <w:spacing w:after="0" w:line="18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Selling, general and administrative (“SG&amp;A”) expense increased by $35 million for the three months ended September 27, 2024 from the comparable period in the prior year. The increase was primarily driven by a $26 million increase in compensation and benefits due to higher variable compensation and increased headcount, a $10 million increase in legal fees, and an $8 million increase in dis-synergy costs as we prepare for the business separation, partially offset by a $17 million decrease in strategic review costs.</w:t>
      </w:r>
    </w:p>
    <w:p>
      <w:pPr>
        <w:spacing w:after="0" w:line="22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charges decreased by $55 million for the three months ended September 27, 2024 from the comparable period in the prior year, reflecting fewer restructuring actions taken in the current period. For information regarding Employee termination, asset impairment and other, see Part I, Item 1, Note 14, </w:t>
      </w:r>
      <w:r>
        <w:rPr>
          <w:rFonts w:ascii="Times New Roman" w:cs="Times New Roman" w:eastAsia="Times New Roman" w:hAnsi="Times New Roman"/>
          <w:sz w:val="18"/>
          <w:szCs w:val="18"/>
          <w:i w:val="1"/>
          <w:iCs w:val="1"/>
          <w:color w:val="auto"/>
        </w:rPr>
        <w:t>Employee Termination, Asset Impairment, and Other</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20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Business separation costs were $43 million for the three months ended September 27, 2024, primarily reflecting outside service fees to support the planned separation of our HDD and Flash businesses.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Expense</w:t>
      </w:r>
    </w:p>
    <w:p>
      <w:pPr>
        <w:spacing w:after="0" w:line="2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Total interest and other expense, net increased by $28 million for the three months ended September 27, 2024 from the comparable period in the prior year, reflecting an increase in other expense, net of $28 million, driven by a loss on our equity investments.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Beginning in 2023, the 2017 Act has required us to capitalize and amortize R&amp;D expenses rather than expensing them in the year incurred. The tax effects related to the capitalization of R&amp;D expenses are included in our effective tax rate for the three months ended September 27, 2024 and September 29, 2023. The tax effects related to the capitalization of R&amp;D expenses had a material impact on our effective tax rate for the three months ended September 27, 2024 but did not have a material impact on the effective tax rate for the three months ended September 29, 2023.</w:t>
      </w:r>
    </w:p>
    <w:p>
      <w:pPr>
        <w:spacing w:after="0" w:line="20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legal changes related to tax, climate, energy, and health care. The tax measures include, among other things, a Corporate Alternative Minimum Tax (“CAMT”) of 15% on corporations with three-year average annual adjusted financial statement income (“AFSI”) exceeding $1.0 billion. The CAMT is effective for us beginning with fiscal year 2024. We do not expect to be subject to the CAMT of 15% for fiscal year 2025 as our annual average AFSI did not exceed $1.0 billion for the preceding three-year period.</w:t>
      </w:r>
    </w:p>
    <w:p>
      <w:pPr>
        <w:spacing w:after="0" w:line="210" w:lineRule="exact"/>
        <w:rPr>
          <w:sz w:val="20"/>
          <w:szCs w:val="20"/>
          <w:color w:val="auto"/>
        </w:rPr>
      </w:pPr>
    </w:p>
    <w:p>
      <w:pPr>
        <w:ind w:right="240" w:firstLine="324"/>
        <w:spacing w:after="0" w:line="257"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the Pillar Two, some which are effective for us in fiscal year</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2025. For fiscal year 2025, we currently expect to be able to meet certain transitional safe harbors and do not expect any material Pillar Two taxes. As more jurisdictions adopt this legislation in fiscal year 2026, there may be material increases in our future tax obligations in certain jurisdictions.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300" w:type="dxa"/>
            <w:vAlign w:val="bottom"/>
          </w:tcPr>
          <w:p>
            <w:pPr>
              <w:spacing w:after="0"/>
              <w:rPr>
                <w:sz w:val="11"/>
                <w:szCs w:val="11"/>
                <w:color w:val="auto"/>
              </w:rPr>
            </w:pPr>
          </w:p>
        </w:tc>
        <w:tc>
          <w:tcPr>
            <w:tcW w:w="124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3"/>
          </w:tcPr>
          <w:p>
            <w:pPr>
              <w:jc w:val="right"/>
              <w:ind w:right="1003"/>
              <w:spacing w:after="0"/>
              <w:rPr>
                <w:sz w:val="20"/>
                <w:szCs w:val="20"/>
                <w:color w:val="auto"/>
              </w:rPr>
            </w:pPr>
            <w:r>
              <w:rPr>
                <w:rFonts w:ascii="Times New Roman" w:cs="Times New Roman" w:eastAsia="Times New Roman" w:hAnsi="Times New Roman"/>
                <w:sz w:val="16"/>
                <w:szCs w:val="16"/>
                <w:i w:val="1"/>
                <w:iCs w:val="1"/>
                <w:color w:val="auto"/>
              </w:rPr>
              <w:t>$ in millions</w:t>
            </w: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628</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(682)</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-556895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relative mix of earnings and losses by jurisdiction, the deduction for foreign-derived intangible income, credits, and tax holidays in Malaysia, the Philippines and Thailand that have or will expire at various dates during years 2025 through 2031 resulted in decreases to our effective tax rate below the U.S. Federal statutory rate three months ended September 27, 2024. However, the tax effects of the mandatory capitalization of R&amp;D expenses offset these decreases, resulting in our effective tax rate being closer to the U.S. Federal statutory rate for the three months ended September 27, 2024.</w:t>
      </w:r>
    </w:p>
    <w:p>
      <w:pPr>
        <w:spacing w:after="0" w:line="20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September 29, 2023 and the U.S. Federal statutory rate of 21% were the relative mix of earnings and losses by jurisdiction, the deduction for foreign-derived intangible income, credits, and tax holidays in Malaysia, the Philippines and Thailand that will expire at various dates during years 2024 through 2031. In addition, the effective tax rate for the three months ended September 29, 2023 includes the discrete effect of a net decrease of $30 million to the liability for unrecognized tax benefits, which includes interest and offsetting tax benefits, as a result of adjustments to align with IRS calculations.</w:t>
      </w:r>
    </w:p>
    <w:p>
      <w:pPr>
        <w:spacing w:after="0" w:line="208"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see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1"/>
                <w:szCs w:val="11"/>
                <w:color w:val="auto"/>
              </w:rPr>
            </w:pPr>
          </w:p>
        </w:tc>
        <w:tc>
          <w:tcPr>
            <w:tcW w:w="124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106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reclassified to assets held for sale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had previously reached a final agreement with the IRS and received notices of deficiency with respect to years 2008 through 2012 and in February 2024, also reached a final agreement for resolving the notices of proposed adjustments with respect to years 2013 through 2015. During the three months ended September 27, 2024, the Company made payments of $130 million for interest with respect to years 2008 through 2012 and $23 million for tax and interest with respect to years 2013 through 2015, resulting in a remaining liability of $10 million as of September 27, 2024, related to all years from 2008 through 2015. The Company expects to pay any remaining balance with respect to this matter within the next twelve months.</w:t>
      </w:r>
    </w:p>
    <w:p>
      <w:pPr>
        <w:spacing w:after="0" w:line="21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settlements for the years 2008 through 2015, we expect to realize reductions to our mandatory deemed repatriation tax obligations and tax savings from interest deductions in future years aggregating to $162 million. Of this amount, $31 million of interest savings from the interest paid with respect to years 2008 through 2012 is classified as a deferred tax asset due to interest expense limitation rules. See Part I, Item 1, Note 12,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of the Notes to Condensed Consolidated Financial Statements included in this Quarterly Report on Form 10-Q for further details.</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August 2024, we filed a shelf registration statement (the “Shelf Registration Statement”) with the Securities and Exchange Commission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2024, we reduced our expenditures for property, plant and equipment and our portion of the Flash Ventures’ capital expenditures for its operations to approximately $825 million from approximately $2.22 billion in 2023. After consideration of the Flash Ventures’ lease financing of its capital expenditures and net operating cash flow, we reduced our net cash used for our purchases of property, plant and equipment and net activity in notes receivable relating to Flash Ventures to $53 million in 2024 from $794 million in 2023. We continue to be disciplined with our capital investments and expect our cash capital expenditures in 2025 to be higher than in 2024, but remain below 2023 expenditures.</w:t>
      </w:r>
    </w:p>
    <w:p>
      <w:pPr>
        <w:spacing w:after="0" w:line="21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believe our cash and cash equivalents and our available revolving credit facility will be sufficient to meet our working capital, debt and capital expenditure needs for at least the next twelve months and for the foreseeable future thereafter. We believe we can also access the various debt capital markets to further supplement our liquidity position if necessary. Our ability to sustain our working capital position is subject to a number of risks that we discuss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and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June 28, 2024.</w:t>
      </w:r>
    </w:p>
    <w:p>
      <w:pPr>
        <w:spacing w:after="0" w:line="210"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A total of $1.43 billion of our Cash and cash equivalents was held by our foreign subsidiaries as of September 27, 2024 and June 28, 2024, respectively. There are no material tax consequences that were not previously accrued for on the repatriation of this cash.</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or used in operating activities primarily consists of net income or loss, adjusted for non-cash charges, plus or minus changes in operating assets and liabilities. Net cash used for changes in operating assets and liabilities was $753 million for the three months ended September 27, 2024, as compared to $132 million for the three months ended September 29, 2023, which largely reflects an increase in the volume of our business, as discussed above.</w:t>
      </w:r>
    </w:p>
    <w:p>
      <w:pPr>
        <w:spacing w:after="0" w:line="207" w:lineRule="exact"/>
        <w:rPr>
          <w:sz w:val="20"/>
          <w:szCs w:val="20"/>
          <w:color w:val="auto"/>
        </w:rPr>
      </w:pPr>
    </w:p>
    <w:p>
      <w:pPr>
        <w:ind w:right="120" w:firstLine="324"/>
        <w:spacing w:after="0" w:line="263" w:lineRule="auto"/>
        <w:rPr>
          <w:sz w:val="20"/>
          <w:szCs w:val="20"/>
          <w:color w:val="auto"/>
        </w:rPr>
      </w:pPr>
      <w:r>
        <w:rPr>
          <w:rFonts w:ascii="Times New Roman" w:cs="Times New Roman" w:eastAsia="Times New Roman" w:hAnsi="Times New Roman"/>
          <w:sz w:val="18"/>
          <w:szCs w:val="18"/>
          <w:color w:val="auto"/>
        </w:rPr>
        <w:t>Changes in our operating assets and liabilities are largely affected by our working capital requirements, which are dependent on our volume of business and the effective management of our cash conversion cycle as well as the timing of payments for taxes. Our cash conversion cycle measures how quickly we can convert our products into cash through sales. The cash conversion cycles were as follows (in days):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540" w:type="dxa"/>
            <w:vAlign w:val="bottom"/>
            <w:gridSpan w:val="2"/>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40" w:type="dxa"/>
            <w:vAlign w:val="bottom"/>
          </w:tcPr>
          <w:p>
            <w:pPr>
              <w:jc w:val="right"/>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 outstanding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timing of shipments to and collections from customers. Changes in days in inventory (“DIO”) are generally related to the timing of inventory builds and shipments to customers. Changes in days payables outstanding (“DPO”) are generally related to production volume and the timing of purchases during the period. From time to time, we make payment term modifications with vendors through negotiations with them or by granting to, or receiving from, our vendors payment term accommodations. We make modifications primarily to manage our vendor relationships and to manage our cash flows, including our cash balances.</w:t>
      </w:r>
    </w:p>
    <w:p>
      <w:pPr>
        <w:spacing w:after="0" w:line="210"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27, 2024, DSO increased by 7 days from the comparable period in the prior year, of which 5 days reflected an increase from lower trade accounts receivable factoring and the remainder reflected the timing of shipments and customer collections. DIO increased by 1 day from the comparable period in the prior year, primarily reflecting higher production volume in the current period. DPO increased by 15 days from the comparable period in the prior year primarily due to more favorable payment terms and routine variations in the timing of purchases and payments during the period.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Net cash used in investing activities for the three months ended September 27, 2024 primarily consisted of $96 million in capital expenditures, partially offset by $47 million in net proceeds from activity related to Flash Ventures. Net cash provided by investing activities for the three months ended September 29, 2023 primarily consisted of $193 million in proceeds from disposals of assets, which includes the proceeds from our sale-leaseback of our Milpitas, California facility and $13 million in net proceeds from activity related to Flash Ventures, partially offset by $124 million in capital expenditures.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27, 2024, net cash used in financing activities primarily consisted of $188 million for repayment of amounts borrowed under the revolving credit facility and scheduled repayments on the Term Loan A-2, and $64 million for taxes paid on vested stock awards under employee stock plans, partially offset by $150 million of proceeds from drawing on the revolving credit facility. During the three months ended September 29, 2023, net cash provided by financing activities primarily consisted of $600 million of proceeds from the drawdown of our delayed draw term loan, partially offset by $43 million used for taxes paid on vested stock awards under employee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Other than the Flash Ventures related commitments incurred in the normal course of business and certain indemnification provisions (see “Short- and Long-term Liquidity – </w:t>
      </w:r>
      <w:r>
        <w:rPr>
          <w:rFonts w:ascii="Times New Roman" w:cs="Times New Roman" w:eastAsia="Times New Roman" w:hAnsi="Times New Roman"/>
          <w:sz w:val="18"/>
          <w:szCs w:val="18"/>
          <w:i w:val="1"/>
          <w:iCs w:val="1"/>
          <w:color w:val="auto"/>
        </w:rPr>
        <w:t>Purchase Obligations and Other Commitments</w:t>
      </w:r>
      <w:r>
        <w:rPr>
          <w:rFonts w:ascii="Times New Roman" w:cs="Times New Roman" w:eastAsia="Times New Roman" w:hAnsi="Times New Roman"/>
          <w:sz w:val="18"/>
          <w:szCs w:val="18"/>
          <w:color w:val="auto"/>
        </w:rPr>
        <w:t xml:space="preserve">”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venture with Unisplendour Corporation Limited and Unissoft (Wuxi) Group Co. Ltd., we do not have an interest in, or relationships with, any variable interest entities. For additional information regarding our off-balance sheet arrangements,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54" w:lineRule="exact"/>
        <w:rPr>
          <w:sz w:val="20"/>
          <w:szCs w:val="20"/>
          <w:color w:val="auto"/>
        </w:rPr>
      </w:pPr>
    </w:p>
    <w:p>
      <w:pPr>
        <w:ind w:right="180" w:firstLine="243"/>
        <w:spacing w:after="0" w:line="263" w:lineRule="auto"/>
        <w:rPr>
          <w:sz w:val="20"/>
          <w:szCs w:val="20"/>
          <w:color w:val="auto"/>
        </w:rPr>
      </w:pPr>
      <w:r>
        <w:rPr>
          <w:rFonts w:ascii="Times New Roman" w:cs="Times New Roman" w:eastAsia="Times New Roman" w:hAnsi="Times New Roman"/>
          <w:sz w:val="18"/>
          <w:szCs w:val="18"/>
          <w:color w:val="auto"/>
        </w:rPr>
        <w:t>The following is a summary of our known material cash requirements, including those for capital expenditures, as of September 27, 2024. In addition, see the discussions further below related to unrecognized tax benefits, litigation matters, dividend rights with respect to the Series A Preferred Stock, foreign exchange contracts and indemnifications.</w:t>
      </w: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40"/>
              <w:spacing w:after="0" w:line="150" w:lineRule="exact"/>
              <w:rPr>
                <w:sz w:val="20"/>
                <w:szCs w:val="20"/>
                <w:color w:val="auto"/>
              </w:rPr>
            </w:pPr>
            <w:r>
              <w:rPr>
                <w:rFonts w:ascii="Times New Roman" w:cs="Times New Roman" w:eastAsia="Times New Roman" w:hAnsi="Times New Roman"/>
                <w:sz w:val="14"/>
                <w:szCs w:val="14"/>
                <w:b w:val="1"/>
                <w:bCs w:val="1"/>
                <w:color w:val="auto"/>
              </w:rPr>
              <w:t>1 Year (Remaining</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2-3 Years (2026-</w:t>
            </w:r>
          </w:p>
        </w:tc>
        <w:tc>
          <w:tcPr>
            <w:tcW w:w="1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(2028-</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Nine Months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(Beyond 2029)</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5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-1224915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-1224915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-1224915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-1224915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issuance costs.</w:t>
      </w:r>
    </w:p>
    <w:p>
      <w:pPr>
        <w:spacing w:after="0" w:line="1" w:lineRule="exact"/>
        <w:rPr>
          <w:rFonts w:ascii="Times New Roman" w:cs="Times New Roman" w:eastAsia="Times New Roman" w:hAnsi="Times New Roman"/>
          <w:sz w:val="23"/>
          <w:szCs w:val="23"/>
          <w:color w:val="auto"/>
          <w:vertAlign w:val="superscript"/>
        </w:rPr>
      </w:pPr>
    </w:p>
    <w:p>
      <w:pPr>
        <w:ind w:left="340" w:right="460" w:hanging="332"/>
        <w:spacing w:after="0" w:line="228"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September 27, 2024, the liability for unrecognized tax benefits (excluding accrued interest and penalties) was $692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September 27, 2024 was $70 million. Of these amounts, approximately $597 million could result in potential cash payments. As of September 27, 2024, with the exception of the IRS matter discussed above, it was not possible to estimate the amount of change, if any, in the unrecognized tax benefits that is reasonably possible within the next twelve months. Any significant change in the amount of our liability for unrecognized tax benefits would most likely result from additional information or settlements relating to the examination of our tax returns.</w:t>
      </w:r>
    </w:p>
    <w:p>
      <w:pPr>
        <w:spacing w:after="0" w:line="21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noted above, we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three months ended September 27, 2024, we made payments of $130 million for interest with respect to years 2008 through 2012 and $23 million for tax and interest with respect to years 2013 through 2015, resulting in a remaining liability of $10 million as of September 27, 2024 related to all years from 2008 through 2015. We expect to pay any remaining balance with respect to this matter within the next twelve months.</w:t>
      </w:r>
    </w:p>
    <w:p>
      <w:pPr>
        <w:spacing w:after="0" w:line="21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we expect to realize reductions to our mandatory deemed repatriation tax obligations and tax savings from interest deductions in future years aggregating to approximately $162 million. Of this amount, $31 million of interest savings from the interest paid with respect to years 2008 through 2012 is classified as a deferred tax asset due to interest expense limitation rules.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52"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litigation matters, see Part I, Item 1, Note 16,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5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27, 2024, 235,000 shares of our Series A Preferred Stock remained outstanding. These shares are entitled to cumulative preferred dividends and will also participate in any dividends declared for common shareholders on an as-converted equivalent basis. See Part II, Item 8, Note 12, </w:t>
      </w:r>
      <w:r>
        <w:rPr>
          <w:rFonts w:ascii="Times New Roman" w:cs="Times New Roman" w:eastAsia="Times New Roman" w:hAnsi="Times New Roman"/>
          <w:sz w:val="18"/>
          <w:szCs w:val="18"/>
          <w:i w:val="1"/>
          <w:iCs w:val="1"/>
          <w:color w:val="auto"/>
        </w:rPr>
        <w:t xml:space="preserve">Shareholders’ Equity and Convertible Preferred Stock, </w:t>
      </w:r>
      <w:r>
        <w:rPr>
          <w:rFonts w:ascii="Times New Roman" w:cs="Times New Roman" w:eastAsia="Times New Roman" w:hAnsi="Times New Roman"/>
          <w:sz w:val="18"/>
          <w:szCs w:val="18"/>
          <w:color w:val="auto"/>
        </w:rPr>
        <w:t>of the Notes to the Consolidated Financial Statements in our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 ended June 28, 2024 and Part I, Item 1, Note 11, </w:t>
      </w:r>
      <w:r>
        <w:rPr>
          <w:rFonts w:ascii="Times New Roman" w:cs="Times New Roman" w:eastAsia="Times New Roman" w:hAnsi="Times New Roman"/>
          <w:sz w:val="18"/>
          <w:szCs w:val="18"/>
          <w:i w:val="1"/>
          <w:iCs w:val="1"/>
          <w:color w:val="auto"/>
        </w:rPr>
        <w:t>Shareholders’ 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 Form 10-Q for more information regarding the dividend provisions.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described in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the Company issued $1.60 billion aggregate principal amount of convertible senior notes in November 2023, which bear interest at an annual rate of 3.00% and mature on November 15, 2028 (the “2028 Convertible Note”). The 2028 Convertible Notes are convertible at the option of any holder at an initial conversion price of approximately $52.20 per share of common stock beginning August 15, 2028. Prior to that date,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w:t>
      </w:r>
    </w:p>
    <w:p>
      <w:pPr>
        <w:spacing w:after="0" w:line="21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calendar quarter ended June 30, 2024, the sale price conditional conversion feature of the notes mentioned above was triggered. As a result, the holder of the 2028 Convertible Notes had the right to convert the 2028 Convertible Notes during the calendar quarter ended September 30, 2024. Consequently, we classified the 2028 Convertible Notes in the Current portion of long-term debt in the Condensed Consolidated Financial Statements as of September 27, 2024. During the calendar quarter ended September 30, 2024, the sale price conditional conversion feature of the notes mentioned above was not triggered. As a result, the 2028 Convertible Notes are not convertible from October 1, 2024 through December 31, 2024. We will re-evaluate in each subsequent calendar quarter to determine if the 2028 Convertible Notes have become convertible.</w:t>
      </w:r>
    </w:p>
    <w:p>
      <w:pPr>
        <w:spacing w:after="0" w:line="21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existing debt, as of September 27, 2024, we had $2.20 billion available for borrowing under our revolving credit facility until January 2027,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Additional information regarding our indebtedness, including information about availability under our revolving credit facility and the principal repayment terms, interest rates, covenants, collateral and other key terms of our outstanding indebtedness, is included in Part II, Item 8,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the Consolidated Financial Statements included in our Annual Report on Form 10-K for the year ended June 28, 2024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Part I, Item 1 of this Quarterly Report on Form 10-Q.</w:t>
      </w:r>
    </w:p>
    <w:p>
      <w:pPr>
        <w:spacing w:after="0" w:line="21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loan agreements governing our revolving credit facility and our Term Loan A-2 maturing 2027 require us to comply with certain financial covenants, consisting of a leverage ratio, and a minimum liquidity requirement. As of September 27, 2024, we were in compliance with these financial covenants.</w:t>
      </w:r>
    </w:p>
    <w:p>
      <w:pPr>
        <w:spacing w:after="0" w:line="20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of the Obligor Group include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480" w:type="dxa"/>
            <w:vAlign w:val="bottom"/>
          </w:tcPr>
          <w:p>
            <w:pPr>
              <w:spacing w:after="0"/>
              <w:rPr>
                <w:sz w:val="13"/>
                <w:szCs w:val="13"/>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2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2,143</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2,285</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intercompany receivables to non-guarantor subsidiaries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2,098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3,501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6,416</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-831215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operating results of the Obligor Group include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080" w:type="dxa"/>
            <w:vAlign w:val="bottom"/>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8"/>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2"/>
              <w:spacing w:after="0" w:line="15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0" w:type="dxa"/>
            <w:vAlign w:val="bottom"/>
          </w:tcPr>
          <w:p>
            <w:pPr>
              <w:spacing w:after="0"/>
              <w:rPr>
                <w:sz w:val="13"/>
                <w:szCs w:val="13"/>
                <w:color w:val="auto"/>
              </w:rPr>
            </w:pPr>
          </w:p>
        </w:tc>
        <w:tc>
          <w:tcPr>
            <w:tcW w:w="1080" w:type="dxa"/>
            <w:vAlign w:val="bottom"/>
          </w:tcPr>
          <w:p>
            <w:pPr>
              <w:jc w:val="center"/>
              <w:ind w:right="283"/>
              <w:spacing w:after="0" w:line="159" w:lineRule="exact"/>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8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4"/>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8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1,722</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660</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-690245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Obligor Group include the following transactions with non-guarantor subsidiaries: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8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420" w:type="dxa"/>
            <w:vAlign w:val="bottom"/>
          </w:tcPr>
          <w:p>
            <w:pPr>
              <w:spacing w:after="0"/>
              <w:rPr>
                <w:sz w:val="13"/>
                <w:szCs w:val="13"/>
                <w:color w:val="auto"/>
              </w:rPr>
            </w:pPr>
          </w:p>
        </w:tc>
        <w:tc>
          <w:tcPr>
            <w:tcW w:w="108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3"/>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8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580</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intercompany interest expense</w:t>
            </w:r>
          </w:p>
        </w:tc>
        <w:tc>
          <w:tcPr>
            <w:tcW w:w="20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dividend income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-556895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September 27, 2024,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 for information regarding Flash Ventures.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that are payable in the following year:</w:t>
      </w:r>
    </w:p>
    <w:p>
      <w:pPr>
        <w:spacing w:after="0" w:line="43"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4"/>
          <w:szCs w:val="14"/>
          <w:b w:val="1"/>
          <w:bCs w:val="1"/>
          <w:color w:val="auto"/>
        </w:rPr>
        <w:t>September 27,</w:t>
      </w:r>
    </w:p>
    <w:p>
      <w:pPr>
        <w:spacing w:after="0" w:line="6"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13335</wp:posOffset>
            </wp:positionV>
            <wp:extent cx="9086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2" w:lineRule="exact"/>
        <w:rPr>
          <w:sz w:val="20"/>
          <w:szCs w:val="20"/>
          <w:color w:val="auto"/>
        </w:rPr>
      </w:pPr>
    </w:p>
    <w:p>
      <w:pPr>
        <w:ind w:left="20"/>
        <w:spacing w:after="0"/>
        <w:tabs>
          <w:tab w:leader="none" w:pos="9800" w:val="left"/>
          <w:tab w:leader="none" w:pos="10900" w:val="left"/>
        </w:tabs>
        <w:rPr>
          <w:sz w:val="20"/>
          <w:szCs w:val="20"/>
          <w:color w:val="auto"/>
        </w:rPr>
      </w:pPr>
      <w:r>
        <w:rPr>
          <w:rFonts w:ascii="Times New Roman" w:cs="Times New Roman" w:eastAsia="Times New Roman" w:hAnsi="Times New Roman"/>
          <w:sz w:val="16"/>
          <w:szCs w:val="16"/>
          <w:color w:val="auto"/>
        </w:rPr>
        <w:t>2026</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Research and Development Expense Capitalization</w:t>
      </w:r>
    </w:p>
    <w:p>
      <w:pPr>
        <w:spacing w:after="0" w:line="2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Since the beginning of 2023, the 2017 Act has required us to capitalize and amortize R&amp;D expenses rather than expensing them in the year incurred, which is expected to result in higher cash tax payments in future profitable periods, if not repealed or otherwise modified.</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w:t>
      </w:r>
      <w:r>
        <w:rPr>
          <w:rFonts w:ascii="Times New Roman" w:cs="Times New Roman" w:eastAsia="Times New Roman" w:hAnsi="Times New Roman"/>
          <w:sz w:val="18"/>
          <w:szCs w:val="18"/>
          <w:color w:val="auto"/>
        </w:rPr>
        <w:t>included in this Quarterly Report on Form 10-Q for additional information.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0" w:lineRule="exact"/>
        <w:rPr>
          <w:sz w:val="20"/>
          <w:szCs w:val="20"/>
          <w:color w:val="auto"/>
        </w:rPr>
      </w:pPr>
    </w:p>
    <w:p>
      <w:pPr>
        <w:ind w:right="20" w:firstLine="324"/>
        <w:spacing w:after="0" w:line="236"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Please refer to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for a discussion of our critical accounting policies and estimates.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Except as disclosed below, there have been no material changes to our market risk during the </w:t>
      </w:r>
      <w:r>
        <w:rPr>
          <w:rFonts w:ascii="Times New Roman" w:cs="Times New Roman" w:eastAsia="Times New Roman" w:hAnsi="Times New Roman"/>
          <w:sz w:val="18"/>
          <w:szCs w:val="18"/>
          <w:color w:val="000000"/>
        </w:rPr>
        <w:t>three months ended September 27, 2024</w:t>
      </w:r>
      <w:r>
        <w:rPr>
          <w:rFonts w:ascii="Times New Roman" w:cs="Times New Roman" w:eastAsia="Times New Roman" w:hAnsi="Times New Roman"/>
          <w:sz w:val="18"/>
          <w:szCs w:val="18"/>
          <w:color w:val="212529"/>
        </w:rPr>
        <w:t xml:space="preserve">. See Part II, Item 7A, </w:t>
      </w:r>
      <w:r>
        <w:rPr>
          <w:rFonts w:ascii="Times New Roman" w:cs="Times New Roman" w:eastAsia="Times New Roman" w:hAnsi="Times New Roman"/>
          <w:sz w:val="18"/>
          <w:szCs w:val="18"/>
          <w:i w:val="1"/>
          <w:iCs w:val="1"/>
          <w:color w:val="212529"/>
        </w:rPr>
        <w:t>Quantitative and Qualitative Disclosures About Market Risk</w:t>
      </w:r>
      <w:r>
        <w:rPr>
          <w:rFonts w:ascii="Times New Roman" w:cs="Times New Roman" w:eastAsia="Times New Roman" w:hAnsi="Times New Roman"/>
          <w:sz w:val="18"/>
          <w:szCs w:val="18"/>
          <w:color w:val="212529"/>
        </w:rPr>
        <w:t xml:space="preserve"> in our Annual Report on Form 10-K for the year ended </w:t>
      </w:r>
      <w:r>
        <w:rPr>
          <w:rFonts w:ascii="Times New Roman" w:cs="Times New Roman" w:eastAsia="Times New Roman" w:hAnsi="Times New Roman"/>
          <w:sz w:val="18"/>
          <w:szCs w:val="18"/>
          <w:color w:val="000000"/>
        </w:rPr>
        <w:t>June 28, 2024</w:t>
      </w:r>
      <w:r>
        <w:rPr>
          <w:rFonts w:ascii="Times New Roman" w:cs="Times New Roman" w:eastAsia="Times New Roman" w:hAnsi="Times New Roman"/>
          <w:sz w:val="18"/>
          <w:szCs w:val="18"/>
          <w:color w:val="212529"/>
        </w:rPr>
        <w:t xml:space="preserve"> for further information about our exposure to market risk.</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performed sensitivity analyses as of September 27, 2024, using a modeling technique that measures the change in the fair values arising from a hypothetical 10% adverse moveme</w:t>
      </w:r>
      <w:r>
        <w:rPr>
          <w:rFonts w:ascii="Times New Roman" w:cs="Times New Roman" w:eastAsia="Times New Roman" w:hAnsi="Times New Roman"/>
          <w:sz w:val="18"/>
          <w:szCs w:val="18"/>
          <w:color w:val="212529"/>
        </w:rPr>
        <w:t>nt in the levels of foreign currency exchange rates relative to the U.S. dollar, with all other variables held constant.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analyses cover all of our foreign currency derivative contracts used to offset the underlying exposures. The foreign currency exchange rates used in performing the sensitivity analyses were based on market rates in effect at </w:t>
      </w:r>
      <w:r>
        <w:rPr>
          <w:rFonts w:ascii="Times New Roman" w:cs="Times New Roman" w:eastAsia="Times New Roman" w:hAnsi="Times New Roman"/>
          <w:sz w:val="18"/>
          <w:szCs w:val="18"/>
          <w:color w:val="000000"/>
        </w:rPr>
        <w:t>September 27, 2024</w:t>
      </w:r>
      <w:r>
        <w:rPr>
          <w:rFonts w:ascii="Times New Roman" w:cs="Times New Roman" w:eastAsia="Times New Roman" w:hAnsi="Times New Roman"/>
          <w:sz w:val="18"/>
          <w:szCs w:val="18"/>
          <w:color w:val="212529"/>
        </w:rPr>
        <w:t xml:space="preserve">. The sensitivity analyses indicated that a hypothetical 10% adverse movement in foreign currency exchange rates relative to the U.S. dollar would result in a foreign exchange fair value loss of </w:t>
      </w:r>
      <w:r>
        <w:rPr>
          <w:rFonts w:ascii="Times New Roman" w:cs="Times New Roman" w:eastAsia="Times New Roman" w:hAnsi="Times New Roman"/>
          <w:sz w:val="18"/>
          <w:szCs w:val="18"/>
          <w:color w:val="000000"/>
        </w:rPr>
        <w:t>$294</w:t>
      </w:r>
      <w:r>
        <w:rPr>
          <w:rFonts w:ascii="Times New Roman" w:cs="Times New Roman" w:eastAsia="Times New Roman" w:hAnsi="Times New Roman"/>
          <w:sz w:val="18"/>
          <w:szCs w:val="18"/>
          <w:color w:val="212529"/>
        </w:rPr>
        <w:t xml:space="preserve"> million at </w:t>
      </w:r>
      <w:r>
        <w:rPr>
          <w:rFonts w:ascii="Times New Roman" w:cs="Times New Roman" w:eastAsia="Times New Roman" w:hAnsi="Times New Roman"/>
          <w:sz w:val="18"/>
          <w:szCs w:val="18"/>
          <w:color w:val="000000"/>
        </w:rPr>
        <w:t>September 27, 2024</w:t>
      </w:r>
      <w:r>
        <w:rPr>
          <w:rFonts w:ascii="Times New Roman" w:cs="Times New Roman" w:eastAsia="Times New Roman" w:hAnsi="Times New Roman"/>
          <w:sz w:val="18"/>
          <w:szCs w:val="18"/>
          <w:color w:val="212529"/>
        </w:rPr>
        <w:t>.</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generally held a balance of fixed and variable rate debt. As of September 27, 2024, our variable rate debt outstanding consisted of our Term Loan A-2, which is based on various index rates as discussed further in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As of September 27, 2024, the outstanding balance on our variable rate debt was $2.6 billion and a one percent increase in the variable rate of interest would increase annual interest expense by $26 million.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first quarter of fiscal year 2025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Note 16,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for disclosures regarding certain legal proceedings and the status of statutory notices of deficiency issued by the IRS with regards to tax years 2008 through 2015, respectively, which are incorporated by reference herein.</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Annual Report on Form 10-K for the year ended June 28, 2024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Part I, Item 1A of our Annual Report on Form 10-K for the year ended June 28, 2024.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3" w:lineRule="exact"/>
        <w:rPr>
          <w:sz w:val="20"/>
          <w:szCs w:val="20"/>
          <w:color w:val="auto"/>
        </w:rPr>
      </w:pPr>
    </w:p>
    <w:p>
      <w:pPr>
        <w:ind w:right="160" w:firstLine="8"/>
        <w:spacing w:after="0" w:line="250"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ind w:firstLine="8"/>
        <w:spacing w:after="0" w:line="260"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97"/>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Exhibit</w:t>
            </w:r>
          </w:p>
        </w:tc>
        <w:tc>
          <w:tcPr>
            <w:tcW w:w="10000" w:type="dxa"/>
            <w:vAlign w:val="bottom"/>
            <w:vMerge w:val="restart"/>
          </w:tcPr>
          <w:p>
            <w:pPr>
              <w:ind w:left="462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Number</w:t>
            </w:r>
          </w:p>
        </w:tc>
        <w:tc>
          <w:tcPr>
            <w:tcW w:w="10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60" w:type="dxa"/>
            <w:vAlign w:val="bottom"/>
            <w:tcBorders>
              <w:top w:val="single" w:sz="8" w:color="auto"/>
            </w:tcBorders>
            <w:gridSpan w:val="3"/>
            <w:shd w:val="clear" w:color="auto" w:fill="CCEEFF"/>
          </w:tcPr>
          <w:p>
            <w:pPr>
              <w:jc w:val="center"/>
              <w:ind w:left="379"/>
              <w:spacing w:after="0" w:line="172" w:lineRule="exact"/>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Amended and Restated Certificate of Incorporation of Western Digital Corporation, as amended to date (Filed as Exhibit 3.1 to the Company’s Annual</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Report on Form 10-K (File No. 1-08703) with the Securities and Exchange Commission on August 20, 2024)</w:t>
            </w:r>
          </w:p>
        </w:tc>
        <w:tc>
          <w:tcPr>
            <w:tcW w:w="0" w:type="dxa"/>
            <w:vAlign w:val="bottom"/>
          </w:tcPr>
          <w:p>
            <w:pPr>
              <w:spacing w:after="0"/>
              <w:rPr>
                <w:sz w:val="1"/>
                <w:szCs w:val="1"/>
                <w:color w:val="auto"/>
              </w:rPr>
            </w:pPr>
          </w:p>
        </w:tc>
      </w:tr>
      <w:tr>
        <w:trPr>
          <w:trHeight w:val="175"/>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14">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Certificate of Designations, Preferences and Rights of Series A Convertible Perpetual Preferred Stock (Filed as Exhibit 3.1 to the Company’s Current</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Report on Form 8-K (File No. 1-08703) with the Securities and Exchange Commission on February 1, 2023)</w:t>
            </w:r>
          </w:p>
        </w:tc>
        <w:tc>
          <w:tcPr>
            <w:tcW w:w="0" w:type="dxa"/>
            <w:vAlign w:val="bottom"/>
          </w:tcPr>
          <w:p>
            <w:pPr>
              <w:spacing w:after="0"/>
              <w:rPr>
                <w:sz w:val="1"/>
                <w:szCs w:val="1"/>
                <w:color w:val="auto"/>
              </w:rPr>
            </w:pPr>
          </w:p>
        </w:tc>
      </w:tr>
      <w:tr>
        <w:trPr>
          <w:trHeight w:val="176"/>
        </w:trPr>
        <w:tc>
          <w:tcPr>
            <w:tcW w:w="660" w:type="dxa"/>
            <w:vAlign w:val="bottom"/>
            <w:gridSpan w:val="3"/>
            <w:shd w:val="clear" w:color="auto" w:fill="CCEEFF"/>
          </w:tcPr>
          <w:p>
            <w:pPr>
              <w:jc w:val="center"/>
              <w:ind w:left="379"/>
              <w:spacing w:after="0" w:line="175" w:lineRule="exact"/>
              <w:rPr>
                <w:rFonts w:ascii="Times New Roman" w:cs="Times New Roman" w:eastAsia="Times New Roman" w:hAnsi="Times New Roman"/>
                <w:sz w:val="16"/>
                <w:szCs w:val="16"/>
                <w:color w:val="0000FF"/>
                <w:w w:val="99"/>
              </w:rPr>
            </w:pPr>
            <w:hyperlink r:id="rId115">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By-Laws of Western Digital Corporation, as amended effective as of February 10, 2021 (Filed as Exhibit 3.1 to the Company’s</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76"/>
        </w:trPr>
        <w:tc>
          <w:tcPr>
            <w:tcW w:w="11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Form of Grant Notice for Restricted Stock Unit Award – Vice President and Above, under the Western Digital Corporation Amended and Restated 2021</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Long-Term Incentive Plan†*</w:t>
            </w:r>
          </w:p>
        </w:tc>
        <w:tc>
          <w:tcPr>
            <w:tcW w:w="0" w:type="dxa"/>
            <w:vAlign w:val="bottom"/>
          </w:tcPr>
          <w:p>
            <w:pPr>
              <w:spacing w:after="0"/>
              <w:rPr>
                <w:sz w:val="1"/>
                <w:szCs w:val="1"/>
                <w:color w:val="auto"/>
              </w:rPr>
            </w:pPr>
          </w:p>
        </w:tc>
      </w:tr>
      <w:tr>
        <w:trPr>
          <w:trHeight w:val="175"/>
        </w:trPr>
        <w:tc>
          <w:tcPr>
            <w:tcW w:w="112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Equity Purchase Agreement, dated as of September 12, 2024, by and among, SanDisk China Limited and JCET Management</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Co., Ltd.†#</w:t>
            </w:r>
          </w:p>
        </w:tc>
        <w:tc>
          <w:tcPr>
            <w:tcW w:w="0" w:type="dxa"/>
            <w:vAlign w:val="bottom"/>
          </w:tcPr>
          <w:p>
            <w:pPr>
              <w:spacing w:after="0"/>
              <w:rPr>
                <w:sz w:val="1"/>
                <w:szCs w:val="1"/>
                <w:color w:val="auto"/>
              </w:rPr>
            </w:pPr>
          </w:p>
        </w:tc>
      </w:tr>
      <w:tr>
        <w:trPr>
          <w:trHeight w:val="176"/>
        </w:trPr>
        <w:tc>
          <w:tcPr>
            <w:tcW w:w="11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40" w:type="dxa"/>
            <w:vAlign w:val="bottom"/>
            <w:gridSpan w:val="6"/>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0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bl>
    <w:p>
      <w:pPr>
        <w:ind w:left="1260" w:hanging="813"/>
        <w:spacing w:after="0"/>
        <w:tabs>
          <w:tab w:leader="none" w:pos="12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270"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9683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340" w:right="120" w:hanging="332"/>
        <w:spacing w:after="0" w:line="250" w:lineRule="auto"/>
        <w:tabs>
          <w:tab w:leader="none" w:pos="1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with this report.</w:t>
      </w:r>
    </w:p>
    <w:p>
      <w:pPr>
        <w:spacing w:after="0" w:line="9" w:lineRule="exact"/>
        <w:rPr>
          <w:sz w:val="20"/>
          <w:szCs w:val="20"/>
          <w:color w:val="auto"/>
        </w:rPr>
      </w:pPr>
    </w:p>
    <w:p>
      <w:pPr>
        <w:ind w:left="340" w:right="300" w:hanging="332"/>
        <w:spacing w:after="0" w:line="260" w:lineRule="auto"/>
        <w:tabs>
          <w:tab w:leader="none" w:pos="1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WESTERN DIGITAL CORPORATION</w:t>
      </w:r>
    </w:p>
    <w:p>
      <w:pPr>
        <w:spacing w:after="0" w:line="194"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6"/>
          <w:szCs w:val="16"/>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20320</wp:posOffset>
            </wp:positionV>
            <wp:extent cx="2743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Gene Zamiska</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i w:val="1"/>
          <w:iCs w:val="1"/>
          <w:color w:val="auto"/>
        </w:rPr>
        <w:t>Senior Vice President, Global Accounting and Chief Accounting</w:t>
      </w:r>
    </w:p>
    <w:p>
      <w:pPr>
        <w:ind w:left="6840"/>
        <w:spacing w:after="0"/>
        <w:rPr>
          <w:sz w:val="20"/>
          <w:szCs w:val="20"/>
          <w:color w:val="auto"/>
        </w:rPr>
      </w:pPr>
      <w:r>
        <w:rPr>
          <w:rFonts w:ascii="Times New Roman" w:cs="Times New Roman" w:eastAsia="Times New Roman" w:hAnsi="Times New Roman"/>
          <w:sz w:val="16"/>
          <w:szCs w:val="16"/>
          <w:i w:val="1"/>
          <w:iCs w:val="1"/>
          <w:color w:val="auto"/>
        </w:rPr>
        <w:t>Officer</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(Principal Accounting Officer and Duly Authorized Officer)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320" w:top="121" w:right="57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2021 LONG-TERM INCENTIVE PLAN</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GRANT NOTICE FOR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RESTRICTED STOCK UNIT AWARD – VICE PRESIDENT AND ABOVE</w:t>
      </w:r>
    </w:p>
    <w:p>
      <w:pPr>
        <w:spacing w:after="0" w:line="24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FOR GOOD AND VALUABLE CONSIDERATION, Western Digital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grants to the Participant named below the number of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listed below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the Western Digital Corporation Amended and Restated 2021 Long-Term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RSU represents the right to receive one share of Common Stock, subject to the terms and conditions in this Grant Notice, the Plan and the Standard Terms and Conditions (the “</w:t>
      </w:r>
      <w:r>
        <w:rPr>
          <w:rFonts w:ascii="Times New Roman" w:cs="Times New Roman" w:eastAsia="Times New Roman" w:hAnsi="Times New Roman"/>
          <w:sz w:val="18"/>
          <w:szCs w:val="18"/>
          <w:b w:val="1"/>
          <w:bCs w:val="1"/>
          <w:i w:val="1"/>
          <w:iCs w:val="1"/>
          <w:color w:val="auto"/>
        </w:rPr>
        <w:t>Standard Terms and Conditions</w:t>
      </w:r>
      <w:r>
        <w:rPr>
          <w:rFonts w:ascii="Times New Roman" w:cs="Times New Roman" w:eastAsia="Times New Roman" w:hAnsi="Times New Roman"/>
          <w:sz w:val="18"/>
          <w:szCs w:val="18"/>
          <w:color w:val="auto"/>
        </w:rPr>
        <w:t xml:space="preserve">”) of such Plan,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Capitalized terms not otherwise defined here shall have the meaning set forth in the Plan.</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26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 of Participant:</w:t>
            </w:r>
          </w:p>
        </w:tc>
        <w:tc>
          <w:tcPr>
            <w:tcW w:w="8580" w:type="dxa"/>
            <w:vAlign w:val="bottom"/>
            <w:tcBorders>
              <w:top w:val="single" w:sz="8" w:color="auto"/>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r>
      <w:tr>
        <w:trPr>
          <w:trHeight w:val="344"/>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 ID</w:t>
            </w:r>
          </w:p>
        </w:tc>
        <w:tc>
          <w:tcPr>
            <w:tcW w:w="858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r>
      <w:tr>
        <w:trPr>
          <w:trHeight w:val="345"/>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858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r>
      <w:tr>
        <w:trPr>
          <w:trHeight w:val="344"/>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Grant Number</w:t>
            </w:r>
          </w:p>
        </w:tc>
        <w:tc>
          <w:tcPr>
            <w:tcW w:w="858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r>
      <w:tr>
        <w:trPr>
          <w:trHeight w:val="345"/>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 of RSUs:</w:t>
            </w:r>
          </w:p>
        </w:tc>
        <w:tc>
          <w:tcPr>
            <w:tcW w:w="858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r>
      <w:tr>
        <w:trPr>
          <w:trHeight w:val="345"/>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Vesting Schedule:</w:t>
            </w:r>
          </w:p>
        </w:tc>
        <w:tc>
          <w:tcPr>
            <w:tcW w:w="8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RSUs shall vest in accordance with the following schedule:</w:t>
            </w:r>
          </w:p>
        </w:tc>
      </w:tr>
      <w:tr>
        <w:trPr>
          <w:trHeight w:val="324"/>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306"/>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Vesting shall be subject to Participant’s Continuous Service from the Grant Date through each applicable vesting</w:t>
            </w:r>
          </w:p>
        </w:tc>
      </w:tr>
      <w:tr>
        <w:trPr>
          <w:trHeight w:val="234"/>
        </w:trPr>
        <w:tc>
          <w:tcPr>
            <w:tcW w:w="2680" w:type="dxa"/>
            <w:vAlign w:val="bottom"/>
            <w:tcBorders>
              <w:left w:val="single" w:sz="8" w:color="auto"/>
              <w:right w:val="single" w:sz="8" w:color="auto"/>
            </w:tcBorders>
          </w:tcPr>
          <w:p>
            <w:pPr>
              <w:spacing w:after="0"/>
              <w:rPr>
                <w:sz w:val="20"/>
                <w:szCs w:val="20"/>
                <w:color w:val="auto"/>
              </w:rPr>
            </w:pPr>
          </w:p>
        </w:tc>
        <w:tc>
          <w:tcPr>
            <w:tcW w:w="8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date, unless provided otherwise under Section 2 of the Standard Terms and Conditions.</w:t>
            </w: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r>
    </w:tbl>
    <w:p>
      <w:pPr>
        <w:spacing w:after="0" w:line="1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Grant Notice for</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Restricted Stock Unit Award</w:t>
      </w:r>
    </w:p>
    <w:p>
      <w:pPr>
        <w:sectPr>
          <w:pgSz w:w="11900" w:h="16838" w:orient="portrait"/>
          <w:cols w:equalWidth="0" w:num="1">
            <w:col w:w="11260"/>
          </w:cols>
          <w:pgMar w:left="320" w:top="117"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LONG-TERM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TERMS AND CONDITIONS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Standard Terms and Conditions apply to this Award of Restricted Stock Units granted under the Western Digital Corporation Amended and Restated 2021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Restricted Stock Units are also subject to the terms of the Plan and the attached Grant Notice, which are incorporated here by this reference. Capitalized terms not otherwise defined here shall have the meaning set forth in the Plan.</w:t>
      </w:r>
    </w:p>
    <w:p>
      <w:pPr>
        <w:spacing w:after="0" w:line="17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RESTRICTED STOCK UNITS</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Western Digital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named in the attached Grant Notice an award of Restricted Stock Units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described in the Grant Notice, with each Restricted Stock Unit representing the right to receive one share of Common Stock. For purposes of these Standard Terms and Conditions and the Grant Notice, any reference to the Company shall include a reference to any Subsidiary.</w:t>
      </w:r>
    </w:p>
    <w:p>
      <w:pPr>
        <w:spacing w:after="0" w:line="211" w:lineRule="exact"/>
        <w:rPr>
          <w:sz w:val="20"/>
          <w:szCs w:val="20"/>
          <w:color w:val="auto"/>
        </w:rPr>
      </w:pPr>
    </w:p>
    <w:p>
      <w:pPr>
        <w:ind w:left="800" w:hanging="792"/>
        <w:spacing w:after="0"/>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SETTLEMENT OF RESTRICTED STOCK UNITS</w:t>
      </w:r>
    </w:p>
    <w:p>
      <w:pPr>
        <w:spacing w:after="0" w:line="269" w:lineRule="exact"/>
        <w:rPr>
          <w:rFonts w:ascii="Times New Roman" w:cs="Times New Roman" w:eastAsia="Times New Roman" w:hAnsi="Times New Roman"/>
          <w:sz w:val="18"/>
          <w:szCs w:val="18"/>
          <w:b w:val="1"/>
          <w:bCs w:val="1"/>
          <w:color w:val="auto"/>
        </w:rPr>
      </w:pPr>
    </w:p>
    <w:p>
      <w:pPr>
        <w:jc w:val="both"/>
        <w:ind w:right="60" w:firstLine="656"/>
        <w:spacing w:after="0" w:line="259" w:lineRule="auto"/>
        <w:tabs>
          <w:tab w:leader="none" w:pos="11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RSUs that have vested and are no longer subject to forfeiture are referred to as “</w:t>
      </w:r>
      <w:r>
        <w:rPr>
          <w:rFonts w:ascii="Times New Roman" w:cs="Times New Roman" w:eastAsia="Times New Roman" w:hAnsi="Times New Roman"/>
          <w:sz w:val="18"/>
          <w:szCs w:val="18"/>
          <w:b w:val="1"/>
          <w:bCs w:val="1"/>
          <w:i w:val="1"/>
          <w:iCs w:val="1"/>
          <w:color w:val="auto"/>
        </w:rPr>
        <w:t>Vested RSUs</w:t>
      </w:r>
      <w:r>
        <w:rPr>
          <w:rFonts w:ascii="Times New Roman" w:cs="Times New Roman" w:eastAsia="Times New Roman" w:hAnsi="Times New Roman"/>
          <w:sz w:val="18"/>
          <w:szCs w:val="18"/>
          <w:color w:val="auto"/>
        </w:rPr>
        <w:t>.” RSUs that are not vested and remain subject to forfeiture are referred to as “</w:t>
      </w:r>
      <w:r>
        <w:rPr>
          <w:rFonts w:ascii="Times New Roman" w:cs="Times New Roman" w:eastAsia="Times New Roman" w:hAnsi="Times New Roman"/>
          <w:sz w:val="18"/>
          <w:szCs w:val="18"/>
          <w:b w:val="1"/>
          <w:bCs w:val="1"/>
          <w:i w:val="1"/>
          <w:iCs w:val="1"/>
          <w:color w:val="auto"/>
        </w:rPr>
        <w:t>Unvested RSUs</w:t>
      </w:r>
      <w:r>
        <w:rPr>
          <w:rFonts w:ascii="Times New Roman" w:cs="Times New Roman" w:eastAsia="Times New Roman" w:hAnsi="Times New Roman"/>
          <w:sz w:val="18"/>
          <w:szCs w:val="18"/>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225" w:lineRule="exact"/>
        <w:rPr>
          <w:rFonts w:ascii="Times New Roman" w:cs="Times New Roman" w:eastAsia="Times New Roman" w:hAnsi="Times New Roman"/>
          <w:sz w:val="18"/>
          <w:szCs w:val="18"/>
          <w:color w:val="auto"/>
        </w:rPr>
      </w:pPr>
    </w:p>
    <w:p>
      <w:pPr>
        <w:jc w:val="both"/>
        <w:ind w:right="60" w:firstLine="656"/>
        <w:spacing w:after="0" w:line="258" w:lineRule="auto"/>
        <w:tabs>
          <w:tab w:leader="none" w:pos="114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vesting of the RSUs on a vesting date, the Company shall deliver to the Participant on the Settlement Date a number of shares of Common Stock equal to the number of RSUs that vested on such vesting date. The Company may, in its sole discretion, settle any RSUs accrued as dividend equivalents by a cash payment equal to the Fair Market Value of a share of Common Stock on the date of payment (as opposed to payment in the form of shares of Common Stock).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means as soon as practicable following the vesting of the RSUs on the applicable vesting date but in no event later than 60 days after the applicable vesting date.</w:t>
      </w:r>
    </w:p>
    <w:p>
      <w:pPr>
        <w:spacing w:after="0" w:line="221" w:lineRule="exact"/>
        <w:rPr>
          <w:rFonts w:ascii="Times New Roman" w:cs="Times New Roman" w:eastAsia="Times New Roman" w:hAnsi="Times New Roman"/>
          <w:sz w:val="18"/>
          <w:szCs w:val="18"/>
          <w:color w:val="auto"/>
        </w:rPr>
      </w:pPr>
    </w:p>
    <w:p>
      <w:pPr>
        <w:jc w:val="both"/>
        <w:ind w:right="60" w:firstLine="656"/>
        <w:spacing w:after="0" w:line="257" w:lineRule="auto"/>
        <w:tabs>
          <w:tab w:leader="none" w:pos="115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 under the Executive Severance Plan</w:t>
      </w:r>
      <w:r>
        <w:rPr>
          <w:rFonts w:ascii="Times New Roman" w:cs="Times New Roman" w:eastAsia="Times New Roman" w:hAnsi="Times New Roman"/>
          <w:sz w:val="18"/>
          <w:szCs w:val="18"/>
          <w:color w:val="auto"/>
        </w:rPr>
        <w:t>. For a Participant who is subject to the terms of the Western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Amended and Restated Executive Severance Plan, as applicable (or any applicable successor plan) (the “</w:t>
      </w:r>
      <w:r>
        <w:rPr>
          <w:rFonts w:ascii="Times New Roman" w:cs="Times New Roman" w:eastAsia="Times New Roman" w:hAnsi="Times New Roman"/>
          <w:sz w:val="18"/>
          <w:szCs w:val="18"/>
          <w:b w:val="1"/>
          <w:bCs w:val="1"/>
          <w:i w:val="1"/>
          <w:iCs w:val="1"/>
          <w:color w:val="auto"/>
        </w:rPr>
        <w:t>Executive Severance Plan</w:t>
      </w:r>
      <w:r>
        <w:rPr>
          <w:rFonts w:ascii="Times New Roman" w:cs="Times New Roman" w:eastAsia="Times New Roman" w:hAnsi="Times New Roman"/>
          <w:sz w:val="18"/>
          <w:szCs w:val="18"/>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any then Unvested RSUs and any credited dividend equivalents held by the Participant shall vest in accordance with the following formula:</w:t>
      </w:r>
    </w:p>
    <w:p>
      <w:pPr>
        <w:spacing w:after="0" w:line="184" w:lineRule="exact"/>
        <w:rPr>
          <w:sz w:val="20"/>
          <w:szCs w:val="20"/>
          <w:color w:val="auto"/>
        </w:rPr>
      </w:pPr>
    </w:p>
    <w:p>
      <w:pPr>
        <w:jc w:val="both"/>
        <w:ind w:left="660" w:right="60" w:hanging="4"/>
        <w:spacing w:after="0" w:line="266" w:lineRule="auto"/>
        <w:tabs>
          <w:tab w:leader="none" w:pos="10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 fraction with a numerator equal to the total number of calendar days from the Grant Date of this Award through and including the Participant’s termination of Continuous Service and a denominator equal to the total number of calendar days from the Grant Date of this Award through and including the last scheduled vesting date applicable to this Award </w:t>
      </w:r>
      <w:r>
        <w:rPr>
          <w:rFonts w:ascii="Times New Roman" w:cs="Times New Roman" w:eastAsia="Times New Roman" w:hAnsi="Times New Roman"/>
          <w:sz w:val="18"/>
          <w:szCs w:val="18"/>
          <w:b w:val="1"/>
          <w:bCs w:val="1"/>
          <w:i w:val="1"/>
          <w:iCs w:val="1"/>
          <w:u w:val="single" w:color="auto"/>
          <w:color w:val="auto"/>
        </w:rPr>
        <w:t>multiplied by</w:t>
      </w:r>
      <w:r>
        <w:rPr>
          <w:rFonts w:ascii="Times New Roman" w:cs="Times New Roman" w:eastAsia="Times New Roman" w:hAnsi="Times New Roman"/>
          <w:sz w:val="18"/>
          <w:szCs w:val="18"/>
          <w:color w:val="auto"/>
        </w:rPr>
        <w:t xml:space="preserve"> (y) the total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Standard Terms and Conditions</w:t>
      </w:r>
    </w:p>
    <w:p>
      <w:pPr>
        <w:sectPr>
          <w:pgSz w:w="11900" w:h="16838" w:orient="portrait"/>
          <w:cols w:equalWidth="0" w:num="1">
            <w:col w:w="11240"/>
          </w:cols>
          <w:pgMar w:left="320" w:top="1413" w:right="339" w:bottom="1440" w:gutter="0" w:footer="0" w:header="0"/>
        </w:sectPr>
      </w:pPr>
    </w:p>
    <w:bookmarkStart w:id="59" w:name="page60"/>
    <w:bookmarkEnd w:id="59"/>
    <w:p>
      <w:pPr>
        <w:spacing w:after="0" w:line="19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Common Stock originally subject to this Award (subject to adjustment as provided in the Plan but before taking into account any crediting of dividend equivalents); </w:t>
      </w:r>
      <w:r>
        <w:rPr>
          <w:rFonts w:ascii="Times New Roman" w:cs="Times New Roman" w:eastAsia="Times New Roman" w:hAnsi="Times New Roman"/>
          <w:sz w:val="18"/>
          <w:szCs w:val="18"/>
          <w:b w:val="1"/>
          <w:bCs w:val="1"/>
          <w:i w:val="1"/>
          <w:iCs w:val="1"/>
          <w:u w:val="single" w:color="auto"/>
          <w:color w:val="auto"/>
        </w:rPr>
        <w:t>minus</w:t>
      </w:r>
    </w:p>
    <w:p>
      <w:pPr>
        <w:spacing w:after="0" w:line="162" w:lineRule="exact"/>
        <w:rPr>
          <w:sz w:val="20"/>
          <w:szCs w:val="20"/>
          <w:color w:val="auto"/>
        </w:rPr>
      </w:pPr>
    </w:p>
    <w:p>
      <w:pPr>
        <w:jc w:val="both"/>
        <w:ind w:left="660" w:hanging="4"/>
        <w:spacing w:after="0" w:line="266" w:lineRule="auto"/>
        <w:tabs>
          <w:tab w:leader="none" w:pos="11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the number of shares of Common Stock that have already vested on or prior to the Participant’s termination of Continuous Service (before taking any accelerated vesting contemplated by this subsection into account and before taking into account any crediting (if applicable) of dividend equivalent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Unvested RSUs that do not vest as described above shall be forfeited as of the date of the Participant’s termination of Continuous Service.</w:t>
      </w:r>
    </w:p>
    <w:p>
      <w:pPr>
        <w:spacing w:after="0" w:line="264" w:lineRule="exact"/>
        <w:rPr>
          <w:sz w:val="20"/>
          <w:szCs w:val="20"/>
          <w:color w:val="auto"/>
        </w:rPr>
      </w:pPr>
    </w:p>
    <w:p>
      <w:pPr>
        <w:jc w:val="both"/>
        <w:ind w:firstLine="656"/>
        <w:spacing w:after="0" w:line="257" w:lineRule="auto"/>
        <w:tabs>
          <w:tab w:leader="none" w:pos="108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 or for Good Reason under the Change in Control Severance Plan</w:t>
      </w:r>
      <w:r>
        <w:rPr>
          <w:rFonts w:ascii="Times New Roman" w:cs="Times New Roman" w:eastAsia="Times New Roman" w:hAnsi="Times New Roman"/>
          <w:sz w:val="18"/>
          <w:szCs w:val="18"/>
          <w:color w:val="auto"/>
        </w:rPr>
        <w:t>. For a Participant who is subject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Western Digital Corporation Amended and Restated Change in Control Severance Plan, as applicable (or any applicable successor plan) (the “</w:t>
      </w:r>
      <w:r>
        <w:rPr>
          <w:rFonts w:ascii="Times New Roman" w:cs="Times New Roman" w:eastAsia="Times New Roman" w:hAnsi="Times New Roman"/>
          <w:sz w:val="18"/>
          <w:szCs w:val="18"/>
          <w:b w:val="1"/>
          <w:bCs w:val="1"/>
          <w:i w:val="1"/>
          <w:iCs w:val="1"/>
          <w:color w:val="auto"/>
        </w:rPr>
        <w:t>CIC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Severance Plan</w:t>
      </w:r>
      <w:r>
        <w:rPr>
          <w:rFonts w:ascii="Times New Roman" w:cs="Times New Roman" w:eastAsia="Times New Roman" w:hAnsi="Times New Roman"/>
          <w:sz w:val="18"/>
          <w:szCs w:val="18"/>
          <w:color w:val="auto"/>
        </w:rPr>
        <w:t>”) at the time of termination of Continuous Service, then upon Participant’s termination of employment by the Company without Cause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 resignation by Participant for Good Reason (both as defined in the CIC Severance Plan) under circumstances that would entitle the Participant to severance benefits under the CIC Severance Plan, subject to compliance with the terms of the CIC Severance Plan, any then Unvested RSUs held by the Participant and any credited dividend equivalents will vest in full.</w:t>
      </w:r>
    </w:p>
    <w:p>
      <w:pPr>
        <w:spacing w:after="0" w:line="222"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w:t>
      </w:r>
      <w:r>
        <w:rPr>
          <w:rFonts w:ascii="Times New Roman" w:cs="Times New Roman" w:eastAsia="Times New Roman" w:hAnsi="Times New Roman"/>
          <w:sz w:val="18"/>
          <w:szCs w:val="18"/>
          <w:color w:val="auto"/>
        </w:rPr>
        <w:t>. Upon Participant’s termination of Continuous Service by the Company due to a resignation by Participant for any reason,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resignation for Good Reason under circumstances that would entitle the Participant to severance benefits under the CIC Severance Plan, subject to compliance with the terms of the CIC Severance Plan, the Unvested RSUs held by the Participant shall be forfeited as of the date of the Participant’s termination of Continuous Service.</w:t>
      </w:r>
    </w:p>
    <w:p>
      <w:pPr>
        <w:spacing w:after="0" w:line="220" w:lineRule="exact"/>
        <w:rPr>
          <w:rFonts w:ascii="Times New Roman" w:cs="Times New Roman" w:eastAsia="Times New Roman" w:hAnsi="Times New Roman"/>
          <w:sz w:val="18"/>
          <w:szCs w:val="18"/>
          <w:color w:val="auto"/>
        </w:rPr>
      </w:pPr>
    </w:p>
    <w:p>
      <w:pPr>
        <w:jc w:val="both"/>
        <w:ind w:firstLine="656"/>
        <w:spacing w:after="0" w:line="275" w:lineRule="auto"/>
        <w:tabs>
          <w:tab w:leader="none" w:pos="10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due to Death. </w:t>
      </w:r>
      <w:r>
        <w:rPr>
          <w:rFonts w:ascii="Times New Roman" w:cs="Times New Roman" w:eastAsia="Times New Roman" w:hAnsi="Times New Roman"/>
          <w:sz w:val="18"/>
          <w:szCs w:val="18"/>
          <w:color w:val="auto"/>
        </w:rPr>
        <w:t>Upon Participant’s termination of Continuous Service due to death, 50% of the Participant’s then Unvested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credited dividend equivalents held by the Participant) shall vest. Any Unvested RSUs that do not vest as described shall be forfeited as of the date of the Participant’s termination due to death.</w:t>
      </w:r>
    </w:p>
    <w:p>
      <w:pPr>
        <w:spacing w:after="0" w:line="206" w:lineRule="exact"/>
        <w:rPr>
          <w:rFonts w:ascii="Times New Roman" w:cs="Times New Roman" w:eastAsia="Times New Roman" w:hAnsi="Times New Roman"/>
          <w:sz w:val="18"/>
          <w:szCs w:val="18"/>
          <w:color w:val="auto"/>
        </w:rPr>
      </w:pPr>
    </w:p>
    <w:p>
      <w:pPr>
        <w:jc w:val="both"/>
        <w:ind w:firstLine="656"/>
        <w:spacing w:after="0" w:line="267" w:lineRule="auto"/>
        <w:tabs>
          <w:tab w:leader="none" w:pos="11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for Cause. </w:t>
      </w:r>
      <w:r>
        <w:rPr>
          <w:rFonts w:ascii="Times New Roman" w:cs="Times New Roman" w:eastAsia="Times New Roman" w:hAnsi="Times New Roman"/>
          <w:sz w:val="18"/>
          <w:szCs w:val="18"/>
          <w:color w:val="auto"/>
        </w:rPr>
        <w:t>Upon Participant’s termination of Continuous Service by the Company for Cause, the entire Award (both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that have yet to be settled and Unvested RSUs) held by the Participant shall be forfeited as of the date of the Participant’s termination of Continuous Service.</w:t>
      </w:r>
    </w:p>
    <w:p>
      <w:pPr>
        <w:spacing w:after="0" w:line="213" w:lineRule="exact"/>
        <w:rPr>
          <w:rFonts w:ascii="Times New Roman" w:cs="Times New Roman" w:eastAsia="Times New Roman" w:hAnsi="Times New Roman"/>
          <w:sz w:val="18"/>
          <w:szCs w:val="18"/>
          <w:color w:val="auto"/>
        </w:rPr>
      </w:pPr>
    </w:p>
    <w:p>
      <w:pPr>
        <w:jc w:val="both"/>
        <w:ind w:right="20" w:firstLine="656"/>
        <w:spacing w:after="0" w:line="255" w:lineRule="auto"/>
        <w:tabs>
          <w:tab w:leader="none" w:pos="11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Eligible Employees Participating in the Executive Severance Plan and Change in Control Severance Plan</w:t>
      </w:r>
      <w:r>
        <w:rPr>
          <w:rFonts w:ascii="Times New Roman" w:cs="Times New Roman" w:eastAsia="Times New Roman" w:hAnsi="Times New Roman"/>
          <w:sz w:val="18"/>
          <w:szCs w:val="18"/>
          <w:color w:val="auto"/>
        </w:rPr>
        <w:t>. For avoidance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w:t>
      </w:r>
    </w:p>
    <w:p>
      <w:pPr>
        <w:spacing w:after="0" w:line="22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STOCKHOLDER; DIVIDEND EQUIVALENTS</w:t>
      </w:r>
    </w:p>
    <w:p>
      <w:pPr>
        <w:spacing w:after="0" w:line="26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not be, nor have any of the rights or privileges of, a stockholder of the Company in respect of any RSUs unless and until shares of Common Stock settled for such RSUs shall have been issued by the Company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40" w:right="399" w:bottom="1440" w:gutter="0" w:footer="0" w:header="0"/>
        </w:sectPr>
      </w:pPr>
    </w:p>
    <w:bookmarkStart w:id="60" w:name="page61"/>
    <w:bookmarkEnd w:id="60"/>
    <w:p>
      <w:pPr>
        <w:spacing w:after="0" w:line="234" w:lineRule="exact"/>
        <w:rPr>
          <w:sz w:val="20"/>
          <w:szCs w:val="20"/>
          <w:color w:val="auto"/>
        </w:rPr>
      </w:pPr>
    </w:p>
    <w:p>
      <w:pPr>
        <w:jc w:val="both"/>
        <w:ind w:firstLine="656"/>
        <w:spacing w:after="0" w:line="253" w:lineRule="auto"/>
        <w:tabs>
          <w:tab w:leader="none" w:pos="11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3(a), from and after the Grant Date and until the earlier of (i) the Participant’s receipt of Common Stock upon settlement of the RSUs and (ii) the time when the Participant’s right to receive Common Stock upon settlement of the RSUs is forfeited, the Participant shall be entitled to receive as a dividend equivalent a number of additional RSUs on the date(s) that the Company pays a cash dividend (if any) to Common Stock holders generally. Such dividend equivalent shall be determined by dividing (i) the product of (A) the dollar amount of the cash dividend paid per share of Common Stock on such date and (B) the total number of RSUs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 Dividend equivalents shall be settled in whole shares of Common Stock with any dividend equivalents accrued in the form of fractional RSUs settled in cash. However, for the avoidance of doubt, the Company may, in its sole discretion, settle any RSUs credited as dividend equivalents by a cash payment equal to the Fair Market Value of a share of Common Stock on the date of payment (as opposed to payment in the form of shares of Common Stock). For the avoidance of doubt, in no event will any dividend equivalents credited to RSUs be delivered to the Participant unless and until such RSUs vest and settle.</w:t>
      </w:r>
    </w:p>
    <w:p>
      <w:pPr>
        <w:spacing w:after="0" w:line="22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RESALES OF SHARES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may impose such restrictions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216" w:lineRule="exact"/>
        <w:rPr>
          <w:sz w:val="20"/>
          <w:szCs w:val="20"/>
          <w:color w:val="auto"/>
        </w:rPr>
      </w:pPr>
    </w:p>
    <w:p>
      <w:pPr>
        <w:ind w:left="800" w:hanging="792"/>
        <w:spacing w:after="0"/>
        <w:tabs>
          <w:tab w:leader="none" w:pos="8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Participant may satisfy tax withholding obligations relating to the RSUs by any combination of the following: (i) a cash payment; (ii) a Company deduction from any amounts payable to Participant; (iii) Company withholding of shares from the Common Stock issuable to the Participant in connection with the RSUs (only up to the amount permitted that will not cause an adverse accounting consequence); or (iv) Company withholding a payment from the proceeds from the sale of shares of Common Stock issued pursuant to the RSUs. In addition, the Administrator may, in its sole discretion but only to the extent consistent with Section 409A of the Code, reduce the number of RSUs remaining subject to this Award, with each such RSU to have a value for such purpose equal to the then Fair Market Value of a share of Common Stock, to satisfy such withholding obligation at the applicable withholding rates.</w:t>
      </w:r>
    </w:p>
    <w:p>
      <w:pPr>
        <w:spacing w:after="0" w:line="224" w:lineRule="exact"/>
        <w:rPr>
          <w:sz w:val="20"/>
          <w:szCs w:val="20"/>
          <w:color w:val="auto"/>
        </w:rPr>
      </w:pPr>
    </w:p>
    <w:p>
      <w:pPr>
        <w:ind w:left="800" w:hanging="792"/>
        <w:spacing w:after="0"/>
        <w:tabs>
          <w:tab w:leader="none" w:pos="8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AWARD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212" w:lineRule="exact"/>
        <w:rPr>
          <w:sz w:val="20"/>
          <w:szCs w:val="20"/>
          <w:color w:val="auto"/>
        </w:rPr>
      </w:pPr>
    </w:p>
    <w:p>
      <w:pPr>
        <w:ind w:left="800" w:hanging="792"/>
        <w:spacing w:after="0"/>
        <w:tabs>
          <w:tab w:leader="none" w:pos="8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 SUPERSEDED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98" w:lineRule="exact"/>
        <w:rPr>
          <w:sz w:val="20"/>
          <w:szCs w:val="20"/>
          <w:color w:val="auto"/>
        </w:rPr>
      </w:pPr>
    </w:p>
    <w:p>
      <w:pPr>
        <w:ind w:left="800" w:hanging="792"/>
        <w:spacing w:after="0"/>
        <w:tabs>
          <w:tab w:leader="none" w:pos="8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ADDITIONAL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440" w:right="399" w:bottom="1440" w:gutter="0" w:footer="0" w:header="0"/>
        </w:sectPr>
      </w:pPr>
    </w:p>
    <w:bookmarkStart w:id="61" w:name="page62"/>
    <w:bookmarkEnd w:id="61"/>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Participant’s receipt of the RSUs does not confer upon the Participant any right to continue to serve the Company or an Affiliate in any capacity and will not affect the right of the Company or an Affiliate to terminate the service of the Participant.</w:t>
      </w:r>
    </w:p>
    <w:p>
      <w:pPr>
        <w:spacing w:after="0" w:line="198" w:lineRule="exact"/>
        <w:rPr>
          <w:sz w:val="20"/>
          <w:szCs w:val="20"/>
          <w:color w:val="auto"/>
        </w:rPr>
      </w:pPr>
    </w:p>
    <w:p>
      <w:pPr>
        <w:ind w:left="800" w:hanging="792"/>
        <w:spacing w:after="0"/>
        <w:tabs>
          <w:tab w:leader="none" w:pos="8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69" w:lineRule="exact"/>
        <w:rPr>
          <w:rFonts w:ascii="Times New Roman" w:cs="Times New Roman" w:eastAsia="Times New Roman" w:hAnsi="Times New Roman"/>
          <w:sz w:val="18"/>
          <w:szCs w:val="18"/>
          <w:b w:val="1"/>
          <w:bCs w:val="1"/>
          <w:color w:val="auto"/>
        </w:rPr>
      </w:pPr>
    </w:p>
    <w:p>
      <w:pPr>
        <w:jc w:val="both"/>
        <w:ind w:firstLine="656"/>
        <w:spacing w:after="0" w:line="245" w:lineRule="auto"/>
        <w:tabs>
          <w:tab w:leader="none" w:pos="122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237" w:lineRule="exact"/>
        <w:rPr>
          <w:rFonts w:ascii="Times New Roman" w:cs="Times New Roman" w:eastAsia="Times New Roman" w:hAnsi="Times New Roman"/>
          <w:sz w:val="22"/>
          <w:szCs w:val="22"/>
          <w:color w:val="auto"/>
        </w:rPr>
      </w:pPr>
    </w:p>
    <w:p>
      <w:pPr>
        <w:jc w:val="both"/>
        <w:ind w:firstLine="656"/>
        <w:spacing w:after="0" w:line="247" w:lineRule="auto"/>
        <w:tabs>
          <w:tab w:leader="none" w:pos="115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234" w:lineRule="exact"/>
        <w:rPr>
          <w:rFonts w:ascii="Times New Roman" w:cs="Times New Roman" w:eastAsia="Times New Roman" w:hAnsi="Times New Roman"/>
          <w:sz w:val="22"/>
          <w:szCs w:val="22"/>
          <w:color w:val="auto"/>
        </w:rPr>
      </w:pPr>
    </w:p>
    <w:p>
      <w:pPr>
        <w:ind w:firstLine="656"/>
        <w:spacing w:after="0" w:line="234" w:lineRule="auto"/>
        <w:tabs>
          <w:tab w:leader="none" w:pos="115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These Standard Terms and Conditions shall inure to the benefit of and be binding upon the parties and their respective permitted heirs, beneficiaries, successors and assigns.</w:t>
      </w:r>
    </w:p>
    <w:p>
      <w:pPr>
        <w:spacing w:after="0" w:line="240" w:lineRule="exact"/>
        <w:rPr>
          <w:rFonts w:ascii="Times New Roman" w:cs="Times New Roman" w:eastAsia="Times New Roman" w:hAnsi="Times New Roman"/>
          <w:sz w:val="22"/>
          <w:szCs w:val="22"/>
          <w:color w:val="auto"/>
        </w:rPr>
      </w:pPr>
    </w:p>
    <w:p>
      <w:pPr>
        <w:ind w:right="20" w:firstLine="656"/>
        <w:spacing w:after="0" w:line="234" w:lineRule="auto"/>
        <w:tabs>
          <w:tab w:leader="none" w:pos="112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These Standard Terms and Conditions shall be interpreted in accordance with and governed by the laws of the State of Delaware, without regard to principles of conflicts of law.</w:t>
      </w:r>
    </w:p>
    <w:p>
      <w:pPr>
        <w:spacing w:after="0" w:line="240" w:lineRule="exact"/>
        <w:rPr>
          <w:rFonts w:ascii="Times New Roman" w:cs="Times New Roman" w:eastAsia="Times New Roman" w:hAnsi="Times New Roman"/>
          <w:sz w:val="22"/>
          <w:szCs w:val="22"/>
          <w:color w:val="auto"/>
        </w:rPr>
      </w:pPr>
    </w:p>
    <w:p>
      <w:pPr>
        <w:jc w:val="both"/>
        <w:ind w:firstLine="656"/>
        <w:spacing w:after="0" w:line="239" w:lineRule="auto"/>
        <w:tabs>
          <w:tab w:leader="none" w:pos="117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240" w:lineRule="exact"/>
        <w:rPr>
          <w:rFonts w:ascii="Times New Roman" w:cs="Times New Roman" w:eastAsia="Times New Roman" w:hAnsi="Times New Roman"/>
          <w:sz w:val="22"/>
          <w:szCs w:val="22"/>
          <w:color w:val="auto"/>
        </w:rPr>
      </w:pPr>
    </w:p>
    <w:p>
      <w:pPr>
        <w:jc w:val="both"/>
        <w:ind w:firstLine="656"/>
        <w:spacing w:after="0" w:line="244" w:lineRule="auto"/>
        <w:tabs>
          <w:tab w:leader="none" w:pos="10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spacing w:after="0" w:line="23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under the Plan or under these Standard Terms and Conditions shall be decided by the Administrator in its total and absolute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w:t>
      </w:r>
    </w:p>
    <w:p>
      <w:pPr>
        <w:spacing w:after="0" w:line="26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21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RSUs via Company web site or other electronic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40" w:right="399" w:bottom="1440" w:gutter="0" w:footer="0" w:header="0"/>
        </w:sectPr>
      </w:pPr>
    </w:p>
    <w:bookmarkStart w:id="62" w:name="page63"/>
    <w:bookmarkEnd w:id="62"/>
    <w:p>
      <w:pPr>
        <w:spacing w:after="0" w:line="230"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Any controversy arising out of or relating to the Grant Notice, these Standard Terms and Conditions, and/or the Plan (“</w:t>
      </w:r>
      <w:r>
        <w:rPr>
          <w:rFonts w:ascii="Times New Roman" w:cs="Times New Roman" w:eastAsia="Times New Roman" w:hAnsi="Times New Roman"/>
          <w:sz w:val="18"/>
          <w:szCs w:val="18"/>
          <w:b w:val="1"/>
          <w:bCs w:val="1"/>
          <w:i w:val="1"/>
          <w:iCs w:val="1"/>
          <w:color w:val="auto"/>
        </w:rPr>
        <w:t>Covered Claims</w:t>
      </w:r>
      <w:r>
        <w:rPr>
          <w:rFonts w:ascii="Times New Roman" w:cs="Times New Roman" w:eastAsia="Times New Roman" w:hAnsi="Times New Roman"/>
          <w:sz w:val="18"/>
          <w:szCs w:val="18"/>
          <w:color w:val="auto"/>
        </w:rPr>
        <w:t>”), shall be resolved in accordance with the terms and conditions of the Western Digital Technologies, Inc. Dispute Resolution Agreement (the “</w:t>
      </w:r>
      <w:r>
        <w:rPr>
          <w:rFonts w:ascii="Times New Roman" w:cs="Times New Roman" w:eastAsia="Times New Roman" w:hAnsi="Times New Roman"/>
          <w:sz w:val="18"/>
          <w:szCs w:val="18"/>
          <w:b w:val="1"/>
          <w:bCs w:val="1"/>
          <w:i w:val="1"/>
          <w:iCs w:val="1"/>
          <w:color w:val="auto"/>
        </w:rPr>
        <w:t>DRA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220" w:lineRule="exact"/>
        <w:rPr>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NON-U.S. EMPLOYEES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Award shall be subject to any additional terms and conditions for non-U.S. employees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color w:val="auto"/>
        </w:rPr>
        <w:t>”) and any terms and conditions for the Participant’s country set forth in Appendix B (“</w:t>
      </w:r>
      <w:r>
        <w:rPr>
          <w:rFonts w:ascii="Times New Roman" w:cs="Times New Roman" w:eastAsia="Times New Roman" w:hAnsi="Times New Roman"/>
          <w:sz w:val="18"/>
          <w:szCs w:val="18"/>
          <w:b w:val="1"/>
          <w:bCs w:val="1"/>
          <w:i w:val="1"/>
          <w:iCs w:val="1"/>
          <w:color w:val="auto"/>
        </w:rPr>
        <w:t>Appendix B</w:t>
      </w:r>
      <w:r>
        <w:rPr>
          <w:rFonts w:ascii="Times New Roman" w:cs="Times New Roman" w:eastAsia="Times New Roman" w:hAnsi="Times New Roman"/>
          <w:sz w:val="18"/>
          <w:szCs w:val="18"/>
          <w:color w:val="auto"/>
        </w:rPr>
        <w:t>”). Moreover, if the Participant relocates to one of the countries included in Appendix B, the terms and conditions for such country will apply to the Participant to the extent the Company determines that the application of such terms and conditions is necessary or advisable for legal or administrative reasons. Appendix A and Appendix B constitute part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40" w:right="399" w:bottom="1440" w:gutter="0" w:footer="0" w:header="0"/>
        </w:sectPr>
      </w:pPr>
    </w:p>
    <w:bookmarkStart w:id="63" w:name="page64"/>
    <w:bookmarkEnd w:id="63"/>
    <w:p>
      <w:pPr>
        <w:spacing w:after="0" w:line="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ADDITIONAL TERMS AND CONDITIONS OF RESTRICTED STOCK UNIT AWARD DOCUMENT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NON-U.S. EMPLOYEES</w:t>
      </w:r>
    </w:p>
    <w:p>
      <w:pPr>
        <w:spacing w:after="0" w:line="230" w:lineRule="exact"/>
        <w:rPr>
          <w:sz w:val="20"/>
          <w:szCs w:val="20"/>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Plan Participation for Non-U.S.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Participant understands that this Appendix A contains additional terms and conditions that, together with the Plan and the Award Document,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Times New Roman" w:cs="Times New Roman" w:eastAsia="Times New Roman" w:hAnsi="Times New Roman"/>
          <w:sz w:val="18"/>
          <w:szCs w:val="18"/>
          <w:i w:val="1"/>
          <w:iCs w:val="1"/>
          <w:color w:val="auto"/>
        </w:rPr>
        <w:t>Capitalized terms used but not defined in this Appendix A shall have the same meanings assigned to them in the Plan and/or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w:t>
      </w:r>
    </w:p>
    <w:p>
      <w:pPr>
        <w:spacing w:after="0" w:line="206" w:lineRule="exact"/>
        <w:rPr>
          <w:sz w:val="20"/>
          <w:szCs w:val="20"/>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5 of the Standard Terms and Conditions:</w:t>
      </w:r>
    </w:p>
    <w:p>
      <w:pPr>
        <w:spacing w:after="0" w:line="2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Participant acknowledges that, regardless of any action taken by the Company or, if different, the Participant’s employer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the Participant’s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RSUs; and (b) are not obligated to structure the terms of the grant or any aspect of the RSUs to reduce or eliminate the Participant’s liability for Tax-Related Items or achieve any particular tax result. If the Participant is or becomes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agrees, in connection with any relevant taxable or tax withholding event, as applicable, to make adequate arrangements satisfactory to the Company and/or the Employer to satisfy all Tax-Related Items. In this regard, the Participant authorizes the Company and/or the Employer to satisfy the obligations with regard to all Tax-Related Items by one or a combination of the methods set forth in Section 8(f) of the Plan and Section 5 of the Standard Terms and Conditions. In addition, the Participant authorizes withholding from proceeds of the sale of shares of Common Stock acquired upon settlement of the RSUs either through a voluntary sale or through a mandatory sale arranged by the Company (on the Participant’s behalf pursuant to this authorization without further consent). If the Participant is subject to Section 16 of the Exchange Act, then withholding for Tax-Related Items shall be satisfied in accordance with Section 8(f) of the Plan, Section 5 of the Standard Terms and Conditions, and the withholding methodology approved by the Administrator for officers subject to Section 16 of the Exchange Act.</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Company or the Employer; otherwise, the Participant may be able to seek a refund from the local tax authorities. In the event of under-withholding, the Participant 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 vested RSUs, notwithstanding that a number of the Shares are held back solely for the purpose of paying the Tax-Related Items.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A</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may refuse to issue or deliver the shares of Common Stock or the proceeds from the sale of shares if the Participant fails to comply with the Participant’s obligations in connection with the Tax-Related Items.</w:t>
      </w:r>
    </w:p>
    <w:p>
      <w:pPr>
        <w:spacing w:after="0" w:line="158"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the RSUs and any shares of Common Stock, the Participant agrees that:</w:t>
      </w:r>
    </w:p>
    <w:p>
      <w:pPr>
        <w:spacing w:after="0" w:line="225" w:lineRule="exact"/>
        <w:rPr>
          <w:sz w:val="20"/>
          <w:szCs w:val="20"/>
          <w:color w:val="auto"/>
        </w:rPr>
      </w:pPr>
    </w:p>
    <w:p>
      <w:pPr>
        <w:ind w:firstLine="1304"/>
        <w:spacing w:after="0" w:line="282" w:lineRule="auto"/>
        <w:tabs>
          <w:tab w:leader="none" w:pos="19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RSUs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voluntarily participating in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any shares of Common Stock acquired under the Plan, and the income and value of the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Employer or any Subsidiary;</w:t>
      </w:r>
    </w:p>
    <w:p>
      <w:pPr>
        <w:spacing w:after="0" w:line="21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underlying the RSUs is unknown, indeterminable, and cannot be predicted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RSUs and the shares of Common Stock acquired under the Plan, and the income and value of same, are not granted as consideration for, or in connection with, the service the Participant may provide as a director of 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 or from the application of any clawback or recoupment policy adopted by the Company or imposed by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RSUs and the benefits evidenced by the Award Document do not create any entitlement to have the RSUs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shall be liable for any foreign exchange rate fluctuation between the Participant’s local currency and the U.S. dollar that may affect the value of the RSUs or of any amounts due to the Participant pursuant to the vesting of the RSUs or the subsequent sale of any shares of Common Stock acquired upon vesting.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By accepting the RSUs via the Company’s acceptance procedure, the Participant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90"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of protection from a European (or other non-U.S.) data protection law perspective, for the purposes described herein.</w:t>
      </w:r>
    </w:p>
    <w:p>
      <w:pPr>
        <w:spacing w:after="0" w:line="225" w:lineRule="exact"/>
        <w:rPr>
          <w:sz w:val="20"/>
          <w:szCs w:val="20"/>
          <w:color w:val="auto"/>
        </w:rPr>
      </w:pPr>
    </w:p>
    <w:p>
      <w:pPr>
        <w:jc w:val="both"/>
        <w:ind w:firstLine="1304"/>
        <w:spacing w:after="0" w:line="259" w:lineRule="auto"/>
        <w:tabs>
          <w:tab w:leader="none" w:pos="193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Declaration of Consent</w:t>
      </w:r>
      <w:r>
        <w:rPr>
          <w:rFonts w:ascii="Times New Roman" w:cs="Times New Roman" w:eastAsia="Times New Roman" w:hAnsi="Times New Roman"/>
          <w:sz w:val="18"/>
          <w:szCs w:val="18"/>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RSU grant materials (the “Personal Data”) and declare his or her consent. As regards the processing of the Participant’s Personal Data in connection with the Plan and this Award Document, the Participant understands that the Company is the controller of the Participant’s Personal Data.</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3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Processing and Legal Basis</w:t>
      </w:r>
      <w:r>
        <w:rPr>
          <w:rFonts w:ascii="Times New Roman" w:cs="Times New Roman" w:eastAsia="Times New Roman" w:hAnsi="Times New Roman"/>
          <w:sz w:val="18"/>
          <w:szCs w:val="18"/>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details of all RSUs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4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3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9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Denial/Withdrawal of Consent</w:t>
      </w:r>
      <w:r>
        <w:rPr>
          <w:rFonts w:ascii="Times New Roman" w:cs="Times New Roman" w:eastAsia="Times New Roman" w:hAnsi="Times New Roman"/>
          <w:sz w:val="18"/>
          <w:szCs w:val="18"/>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RSUs or other equity awards to the Participant or administer or maintain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86" w:right="339" w:bottom="1440" w:gutter="0" w:footer="0" w:header="0"/>
        </w:sectPr>
      </w:pPr>
    </w:p>
    <w:bookmarkStart w:id="66" w:name="page67"/>
    <w:bookmarkEnd w:id="66"/>
    <w:p>
      <w:pPr>
        <w:jc w:val="both"/>
        <w:ind w:firstLine="1304"/>
        <w:spacing w:after="0" w:line="253" w:lineRule="auto"/>
        <w:tabs>
          <w:tab w:leader="none" w:pos="193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3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Alternate Basis and Additional Consents.</w:t>
      </w:r>
      <w:r>
        <w:rPr>
          <w:rFonts w:ascii="Times New Roman" w:cs="Times New Roman" w:eastAsia="Times New Roman" w:hAnsi="Times New Roman"/>
          <w:sz w:val="18"/>
          <w:szCs w:val="18"/>
          <w:b w:val="1"/>
          <w:bCs w:val="1"/>
          <w:i w:val="1"/>
          <w:iCs w:val="1"/>
          <w:color w:val="auto"/>
        </w:rPr>
        <w:t xml:space="preserve"> Finally, the Participant understands that the Company may rely on a different basis for the processing or transfer of Personal Data in the future and/or request that the Participant provide another data privacy consent. If applicable, the Participant agrees that upon request of the Company or the Employer, the Participant will provide an executed acknowledgement or data privacy consent form (or any other agreements or consents)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Company and/or the Employer.</w:t>
      </w:r>
    </w:p>
    <w:p>
      <w:pPr>
        <w:spacing w:after="0" w:line="182"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Acceptance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agrees that the Company may, in its sole discretion, decide to deliver by email or other electronic means any documents relating to the Plan or the RSUs. Further, the Participant agrees to receive such documents by electronic delivery and agrees to participate in the Plan through an on-line or electronic system established and maintained by the Company or by a third party designated by the Company.</w:t>
      </w:r>
    </w:p>
    <w:p>
      <w:pPr>
        <w:spacing w:after="0" w:line="172"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Trading/Market Abuse Laws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RSUs) or rights linked to the value of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Participant is responsible for ensuring compliance with any applicable restrictions and should consult his or her personal legal advisor on this matter.</w:t>
      </w:r>
    </w:p>
    <w:p>
      <w:pPr>
        <w:spacing w:after="0" w:line="217"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 Tax and/or Foreign Asset/Account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Participant acknowledges that there may be exchange control, tax, foreign asset and/or account reporting requirements which may affect the Participant’s ability to acquire or hold shares of Common Stock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86"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under the Plan or cash received from participating in the Plan (including from any dividend equivalents paid with respect to the RSUs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In addition, the Participant agrees to take any and all actions, and consent to any and all actions taken by the Company or the Employer as may be required to allow the Company or the Employer to comply with local laws, rules and regulations in the Participant's country of residence (and country of employment, if different). The Participant acknowledges that it is the Participant’s responsibility to be compliant with such regulations, and the Participant should consult his or her personal legal advisor for any details.</w:t>
      </w:r>
    </w:p>
    <w:p>
      <w:pPr>
        <w:spacing w:after="0" w:line="211"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Document. Furthermore, if the Award Document or any other document related to the Plan has been translated into a language other than English and the meaning of the translated version is different than the English version, the English version will control, unless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CONFIDENTIAL</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2018665</wp:posOffset>
            </wp:positionV>
            <wp:extent cx="5349240" cy="3600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3492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September 12, 2024</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by and between</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SanDisk China Limited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100"/>
        <w:spacing w:after="0" w:line="256" w:lineRule="exact"/>
        <w:rPr>
          <w:sz w:val="20"/>
          <w:szCs w:val="20"/>
          <w:color w:val="auto"/>
        </w:rPr>
      </w:pPr>
      <w:r>
        <w:rPr>
          <w:rFonts w:ascii="Times New Roman" w:cs="Times New Roman" w:eastAsia="Times New Roman" w:hAnsi="Times New Roman"/>
          <w:sz w:val="21"/>
          <w:szCs w:val="21"/>
          <w:color w:val="auto"/>
        </w:rPr>
        <w:t>JCET Management Co., Ltd. (</w:t>
      </w:r>
      <w:r>
        <w:rPr>
          <w:rFonts w:ascii="SimSun" w:cs="SimSun" w:eastAsia="SimSun" w:hAnsi="SimSun"/>
          <w:sz w:val="21"/>
          <w:szCs w:val="21"/>
          <w:color w:val="auto"/>
        </w:rPr>
        <w:t>长电科技管理有限公司</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146685</wp:posOffset>
            </wp:positionV>
            <wp:extent cx="5349240" cy="531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349240" cy="53149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69" w:name="page70"/>
    <w:bookmarkEnd w:id="69"/>
    <w:p>
      <w:pPr>
        <w:spacing w:after="0" w:line="194"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22"/>
          <w:szCs w:val="22"/>
          <w:color w:val="auto"/>
        </w:rPr>
        <w:t>Article I</w:t>
      </w:r>
    </w:p>
    <w:p>
      <w:pPr>
        <w:spacing w:after="0" w:line="29"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22"/>
          <w:szCs w:val="22"/>
          <w:color w:val="auto"/>
        </w:rPr>
        <w:t>DEFINITIONS</w:t>
      </w:r>
    </w:p>
    <w:p>
      <w:pPr>
        <w:spacing w:after="0" w:line="15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color w:val="auto"/>
        </w:rPr>
        <w:t>Definitions</w:t>
      </w:r>
    </w:p>
    <w:p>
      <w:pPr>
        <w:spacing w:after="0" w:line="328"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22"/>
          <w:szCs w:val="22"/>
          <w:color w:val="auto"/>
        </w:rPr>
        <w:t>Article II</w:t>
      </w:r>
    </w:p>
    <w:p>
      <w:pPr>
        <w:spacing w:after="0" w:line="29"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22"/>
          <w:szCs w:val="22"/>
          <w:color w:val="auto"/>
        </w:rPr>
        <w:t>PURCHASE AND SALE; CLOSING</w:t>
      </w:r>
    </w:p>
    <w:p>
      <w:pPr>
        <w:spacing w:after="0" w:line="261"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color w:val="auto"/>
        </w:rPr>
        <w:t>Purchase and Sale</w:t>
      </w:r>
    </w:p>
    <w:p>
      <w:pPr>
        <w:spacing w:after="0" w:line="5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color w:val="auto"/>
        </w:rPr>
        <w:t>Purchase Price</w:t>
      </w:r>
    </w:p>
    <w:p>
      <w:pPr>
        <w:spacing w:after="0" w:line="5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color w:val="auto"/>
        </w:rPr>
        <w:t>Estimated Adjustments at Closing</w:t>
      </w:r>
    </w:p>
    <w:p>
      <w:pPr>
        <w:spacing w:after="0" w:line="5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color w:val="auto"/>
        </w:rPr>
        <w:t>Post-Closing Adjustment</w:t>
      </w:r>
    </w:p>
    <w:p>
      <w:pPr>
        <w:spacing w:after="0" w:line="5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color w:val="auto"/>
        </w:rPr>
        <w:t>Completion Accounts</w:t>
      </w:r>
    </w:p>
    <w:p>
      <w:pPr>
        <w:spacing w:after="0" w:line="54"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Intentionally left blank)</w:t>
      </w:r>
    </w:p>
    <w:p>
      <w:pPr>
        <w:spacing w:after="0" w:line="62"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color w:val="auto"/>
        </w:rPr>
        <w:t>Deferred Payments</w:t>
      </w:r>
    </w:p>
    <w:p>
      <w:pPr>
        <w:spacing w:after="0" w:line="5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color w:val="auto"/>
        </w:rPr>
        <w:t>Closing</w:t>
      </w:r>
    </w:p>
    <w:p>
      <w:pPr>
        <w:spacing w:after="0" w:line="5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color w:val="auto"/>
        </w:rPr>
        <w:t>Deliveries by Seller</w:t>
      </w:r>
    </w:p>
    <w:p>
      <w:pPr>
        <w:spacing w:after="0" w:line="5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color w:val="auto"/>
        </w:rPr>
        <w:t>Deliveries by Purchaser</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Article III</w:t>
            </w:r>
          </w:p>
        </w:tc>
      </w:tr>
      <w:tr>
        <w:trPr>
          <w:trHeight w:val="282"/>
        </w:trPr>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0" w:type="dxa"/>
            <w:vAlign w:val="bottom"/>
          </w:tcPr>
          <w:p>
            <w:pPr>
              <w:ind w:left="1900"/>
              <w:spacing w:after="0"/>
              <w:rPr>
                <w:sz w:val="20"/>
                <w:szCs w:val="20"/>
                <w:color w:val="auto"/>
              </w:rPr>
            </w:pPr>
            <w:r>
              <w:rPr>
                <w:rFonts w:ascii="Times New Roman" w:cs="Times New Roman" w:eastAsia="Times New Roman" w:hAnsi="Times New Roman"/>
                <w:sz w:val="22"/>
                <w:szCs w:val="22"/>
                <w:color w:val="auto"/>
                <w:w w:val="96"/>
              </w:rPr>
              <w:t>REPRESENTATIONS AND WARRANTIES OF SELLER</w:t>
            </w:r>
          </w:p>
        </w:tc>
      </w:tr>
      <w:tr>
        <w:trPr>
          <w:trHeight w:val="526"/>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3.1  Organization and Qualification</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60" w:type="dxa"/>
            <w:vAlign w:val="bottom"/>
          </w:tcPr>
          <w:p>
            <w:pPr>
              <w:spacing w:after="0"/>
              <w:rPr>
                <w:sz w:val="24"/>
                <w:szCs w:val="24"/>
                <w:color w:val="auto"/>
              </w:rPr>
            </w:pPr>
          </w:p>
        </w:tc>
        <w:tc>
          <w:tcPr>
            <w:tcW w:w="7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Authorization; Enforceability</w:t>
            </w: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3.3  Consents and Approvals; No Violations</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3.4</w:t>
            </w:r>
          </w:p>
        </w:tc>
        <w:tc>
          <w:tcPr>
            <w:tcW w:w="60" w:type="dxa"/>
            <w:vAlign w:val="bottom"/>
          </w:tcPr>
          <w:p>
            <w:pPr>
              <w:spacing w:after="0"/>
              <w:rPr>
                <w:sz w:val="24"/>
                <w:szCs w:val="24"/>
                <w:color w:val="auto"/>
              </w:rPr>
            </w:pPr>
          </w:p>
        </w:tc>
        <w:tc>
          <w:tcPr>
            <w:tcW w:w="7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Seller Litigation</w:t>
            </w: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3.5  Ownership of Purchased Interest</w:t>
            </w: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3.6  Organization and Qualification</w:t>
            </w: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3.7  Capitalization and Corporate Structure</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3.8</w:t>
            </w:r>
          </w:p>
        </w:tc>
        <w:tc>
          <w:tcPr>
            <w:tcW w:w="60" w:type="dxa"/>
            <w:vAlign w:val="bottom"/>
          </w:tcPr>
          <w:p>
            <w:pPr>
              <w:spacing w:after="0"/>
              <w:rPr>
                <w:sz w:val="24"/>
                <w:szCs w:val="24"/>
                <w:color w:val="auto"/>
              </w:rPr>
            </w:pPr>
          </w:p>
        </w:tc>
        <w:tc>
          <w:tcPr>
            <w:tcW w:w="7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Financial Statements</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3.9</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Conduct of Business</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3.10</w:t>
            </w:r>
          </w:p>
        </w:tc>
        <w:tc>
          <w:tcPr>
            <w:tcW w:w="7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Company Litigation</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3.11</w:t>
            </w:r>
          </w:p>
        </w:tc>
        <w:tc>
          <w:tcPr>
            <w:tcW w:w="7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Taxes</w:t>
            </w: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3.12  Employee Benefit Plans</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3.13</w:t>
            </w:r>
          </w:p>
        </w:tc>
        <w:tc>
          <w:tcPr>
            <w:tcW w:w="7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Labor Matters</w:t>
            </w: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3.14  Property and Assets</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3.15</w:t>
            </w:r>
          </w:p>
        </w:tc>
        <w:tc>
          <w:tcPr>
            <w:tcW w:w="7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Environmental Matters</w:t>
            </w: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3.16  No Undisclosed Liabilities</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3.17</w:t>
            </w:r>
          </w:p>
        </w:tc>
        <w:tc>
          <w:tcPr>
            <w:tcW w:w="7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Intellectual Property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12</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12</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14</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14</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15</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16</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16</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16</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17</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18</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19</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19</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21</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21</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21</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22</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23</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23</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24</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26</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26</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26</w:t>
      </w:r>
    </w:p>
    <w:p>
      <w:pPr>
        <w:spacing w:after="0" w:line="202" w:lineRule="exact"/>
        <w:rPr>
          <w:sz w:val="20"/>
          <w:szCs w:val="20"/>
          <w:color w:val="auto"/>
        </w:rPr>
      </w:pPr>
    </w:p>
    <w:p>
      <w:pPr>
        <w:sectPr>
          <w:pgSz w:w="11900" w:h="16838" w:orient="portrait"/>
          <w:cols w:equalWidth="0" w:num="2">
            <w:col w:w="10060" w:space="720"/>
            <w:col w:w="440"/>
          </w:cols>
          <w:pgMar w:left="340" w:top="1440" w:right="339" w:bottom="5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440" w:right="339" w:bottom="503" w:gutter="0" w:footer="0" w:header="0"/>
          <w:type w:val="continuous"/>
        </w:sectPr>
      </w:pPr>
    </w:p>
    <w:bookmarkStart w:id="70" w:name="page71"/>
    <w:bookmarkEnd w:id="70"/>
    <w:p>
      <w:pPr>
        <w:spacing w:after="0" w:line="25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3.18</w:t>
      </w:r>
      <w:r>
        <w:rPr>
          <w:sz w:val="20"/>
          <w:szCs w:val="20"/>
          <w:color w:val="auto"/>
        </w:rPr>
        <w:tab/>
      </w:r>
      <w:r>
        <w:rPr>
          <w:rFonts w:ascii="Times New Roman" w:cs="Times New Roman" w:eastAsia="Times New Roman" w:hAnsi="Times New Roman"/>
          <w:sz w:val="21"/>
          <w:szCs w:val="21"/>
          <w:color w:val="auto"/>
        </w:rPr>
        <w:t>Compliance with Laws and Orders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color w:val="auto"/>
        </w:rPr>
        <w:t>Company Contracts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3.20</w:t>
      </w:r>
      <w:r>
        <w:rPr>
          <w:sz w:val="20"/>
          <w:szCs w:val="20"/>
          <w:color w:val="auto"/>
        </w:rPr>
        <w:tab/>
      </w:r>
      <w:r>
        <w:rPr>
          <w:rFonts w:ascii="Times New Roman" w:cs="Times New Roman" w:eastAsia="Times New Roman" w:hAnsi="Times New Roman"/>
          <w:sz w:val="21"/>
          <w:szCs w:val="21"/>
          <w:color w:val="auto"/>
        </w:rPr>
        <w:t>Suppliers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3.21</w:t>
      </w:r>
      <w:r>
        <w:rPr>
          <w:sz w:val="20"/>
          <w:szCs w:val="20"/>
          <w:color w:val="auto"/>
        </w:rPr>
        <w:tab/>
      </w:r>
      <w:r>
        <w:rPr>
          <w:rFonts w:ascii="Times New Roman" w:cs="Times New Roman" w:eastAsia="Times New Roman" w:hAnsi="Times New Roman"/>
          <w:sz w:val="21"/>
          <w:szCs w:val="21"/>
          <w:color w:val="auto"/>
        </w:rPr>
        <w:t>Permits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3.22</w:t>
      </w:r>
      <w:r>
        <w:rPr>
          <w:sz w:val="20"/>
          <w:szCs w:val="20"/>
          <w:color w:val="auto"/>
        </w:rPr>
        <w:tab/>
      </w:r>
      <w:r>
        <w:rPr>
          <w:rFonts w:ascii="Times New Roman" w:cs="Times New Roman" w:eastAsia="Times New Roman" w:hAnsi="Times New Roman"/>
          <w:sz w:val="21"/>
          <w:szCs w:val="21"/>
          <w:color w:val="auto"/>
        </w:rPr>
        <w:t>Insurance</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3.23</w:t>
      </w:r>
      <w:r>
        <w:rPr>
          <w:sz w:val="20"/>
          <w:szCs w:val="20"/>
          <w:color w:val="auto"/>
        </w:rPr>
        <w:tab/>
      </w:r>
      <w:r>
        <w:rPr>
          <w:rFonts w:ascii="Times New Roman" w:cs="Times New Roman" w:eastAsia="Times New Roman" w:hAnsi="Times New Roman"/>
          <w:sz w:val="21"/>
          <w:szCs w:val="21"/>
          <w:color w:val="auto"/>
        </w:rPr>
        <w:t>Transactions with Affiliates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3.24</w:t>
      </w:r>
      <w:r>
        <w:rPr>
          <w:sz w:val="20"/>
          <w:szCs w:val="20"/>
          <w:color w:val="auto"/>
        </w:rPr>
        <w:tab/>
      </w:r>
      <w:r>
        <w:rPr>
          <w:rFonts w:ascii="Times New Roman" w:cs="Times New Roman" w:eastAsia="Times New Roman" w:hAnsi="Times New Roman"/>
          <w:sz w:val="21"/>
          <w:szCs w:val="21"/>
          <w:color w:val="auto"/>
        </w:rPr>
        <w:t>Data Protection</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3.25</w:t>
      </w:r>
      <w:r>
        <w:rPr>
          <w:sz w:val="20"/>
          <w:szCs w:val="20"/>
          <w:color w:val="auto"/>
        </w:rPr>
        <w:tab/>
      </w:r>
      <w:r>
        <w:rPr>
          <w:rFonts w:ascii="Times New Roman" w:cs="Times New Roman" w:eastAsia="Times New Roman" w:hAnsi="Times New Roman"/>
          <w:sz w:val="21"/>
          <w:szCs w:val="21"/>
          <w:color w:val="auto"/>
        </w:rPr>
        <w:t>Due Diligence Materials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3.26</w:t>
      </w:r>
      <w:r>
        <w:rPr>
          <w:sz w:val="20"/>
          <w:szCs w:val="20"/>
          <w:color w:val="auto"/>
        </w:rPr>
        <w:tab/>
      </w:r>
      <w:r>
        <w:rPr>
          <w:rFonts w:ascii="Times New Roman" w:cs="Times New Roman" w:eastAsia="Times New Roman" w:hAnsi="Times New Roman"/>
          <w:sz w:val="21"/>
          <w:szCs w:val="21"/>
          <w:color w:val="auto"/>
        </w:rPr>
        <w:t>Solvency</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3.27</w:t>
      </w:r>
      <w:r>
        <w:rPr>
          <w:sz w:val="20"/>
          <w:szCs w:val="20"/>
          <w:color w:val="auto"/>
        </w:rPr>
        <w:tab/>
      </w:r>
      <w:r>
        <w:rPr>
          <w:rFonts w:ascii="Times New Roman" w:cs="Times New Roman" w:eastAsia="Times New Roman" w:hAnsi="Times New Roman"/>
          <w:sz w:val="21"/>
          <w:szCs w:val="21"/>
          <w:color w:val="auto"/>
        </w:rPr>
        <w:t>Product Liability</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3.28</w:t>
      </w:r>
      <w:r>
        <w:rPr>
          <w:sz w:val="20"/>
          <w:szCs w:val="20"/>
          <w:color w:val="auto"/>
        </w:rPr>
        <w:tab/>
      </w:r>
      <w:r>
        <w:rPr>
          <w:rFonts w:ascii="Times New Roman" w:cs="Times New Roman" w:eastAsia="Times New Roman" w:hAnsi="Times New Roman"/>
          <w:sz w:val="21"/>
          <w:szCs w:val="21"/>
          <w:color w:val="auto"/>
        </w:rPr>
        <w:t>Anti-Corruption Laws and Sanctions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3.29</w:t>
      </w:r>
      <w:r>
        <w:rPr>
          <w:sz w:val="20"/>
          <w:szCs w:val="20"/>
          <w:color w:val="auto"/>
        </w:rPr>
        <w:tab/>
      </w:r>
      <w:r>
        <w:rPr>
          <w:rFonts w:ascii="Times New Roman" w:cs="Times New Roman" w:eastAsia="Times New Roman" w:hAnsi="Times New Roman"/>
          <w:sz w:val="21"/>
          <w:szCs w:val="21"/>
          <w:color w:val="auto"/>
        </w:rPr>
        <w:t>Brokers</w:t>
      </w:r>
    </w:p>
    <w:p>
      <w:pPr>
        <w:spacing w:after="0" w:line="35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1"/>
          <w:szCs w:val="21"/>
          <w:color w:val="auto"/>
        </w:rPr>
        <w:t>REPRESENTATIONS AND WARRANTIES OF PURCHASER</w:t>
      </w:r>
    </w:p>
    <w:p>
      <w:pPr>
        <w:spacing w:after="0" w:line="26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color w:val="auto"/>
        </w:rPr>
        <w:t>Organization and Qualification</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color w:val="auto"/>
        </w:rPr>
        <w:t>Authorization; Enforceability</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color w:val="auto"/>
        </w:rPr>
        <w:t>Consents and Approvals; No Violations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color w:val="auto"/>
        </w:rPr>
        <w:t>Litigation</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color w:val="auto"/>
        </w:rPr>
        <w:t>Solvency</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color w:val="auto"/>
        </w:rPr>
        <w:t>Independent Investigation; No Reliance.</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color w:val="auto"/>
        </w:rPr>
        <w:t>Available Funds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color w:val="auto"/>
        </w:rPr>
        <w:t>Letter of Guarantee</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4.9</w:t>
      </w:r>
      <w:r>
        <w:rPr>
          <w:sz w:val="20"/>
          <w:szCs w:val="20"/>
          <w:color w:val="auto"/>
        </w:rPr>
        <w:tab/>
      </w:r>
      <w:r>
        <w:rPr>
          <w:rFonts w:ascii="Times New Roman" w:cs="Times New Roman" w:eastAsia="Times New Roman" w:hAnsi="Times New Roman"/>
          <w:sz w:val="21"/>
          <w:szCs w:val="21"/>
          <w:color w:val="auto"/>
        </w:rPr>
        <w:t>Brokers</w:t>
      </w:r>
    </w:p>
    <w:p>
      <w:pPr>
        <w:spacing w:after="0" w:line="35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Article V</w:t>
      </w:r>
    </w:p>
    <w:p>
      <w:pPr>
        <w:spacing w:after="0" w:line="28"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2">
            <w:col w:w="10220" w:space="720"/>
            <w:col w:w="220"/>
          </w:cols>
          <w:pgMar w:left="360" w:top="1440" w:right="379" w:bottom="1440" w:gutter="0" w:footer="0" w:header="0"/>
        </w:sectPr>
      </w:pPr>
    </w:p>
    <w:bookmarkStart w:id="71" w:name="page72"/>
    <w:bookmarkEnd w:id="71"/>
    <w:p>
      <w:pPr>
        <w:spacing w:after="0" w:line="25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color w:val="auto"/>
        </w:rPr>
        <w:t>Conduct of Business Prior to the Closing</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color w:val="auto"/>
        </w:rPr>
        <w:t>Access to Information; Confidentiality</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color w:val="auto"/>
        </w:rPr>
        <w:t>Regulatory Filings; Reasonable Best Efforts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color w:val="auto"/>
        </w:rPr>
        <w:t>Closing Conditions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color w:val="auto"/>
        </w:rPr>
        <w:t>No Amendment to Letter of Guarantee</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color w:val="auto"/>
        </w:rPr>
        <w:t>Employee Benefits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color w:val="auto"/>
        </w:rPr>
        <w:t>Public Announcements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color w:val="auto"/>
        </w:rPr>
        <w:t>Further Assurances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color w:val="auto"/>
        </w:rPr>
        <w:t>Notification of Certain Matters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19"/>
          <w:szCs w:val="19"/>
          <w:color w:val="auto"/>
        </w:rPr>
        <w:t>Taxes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color w:val="auto"/>
        </w:rPr>
        <w:t>No-Shop</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color w:val="auto"/>
        </w:rPr>
        <w:t>Non-Compete; Non-Solicitation</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color w:val="auto"/>
        </w:rPr>
        <w:t>Working Capital Support</w:t>
      </w:r>
    </w:p>
    <w:p>
      <w:pPr>
        <w:spacing w:after="0" w:line="35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Article VI</w:t>
      </w:r>
    </w:p>
    <w:p>
      <w:pPr>
        <w:spacing w:after="0" w:line="28"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1"/>
          <w:szCs w:val="21"/>
          <w:color w:val="auto"/>
        </w:rPr>
        <w:t>CONDITIONS PRECEDENT</w:t>
      </w:r>
    </w:p>
    <w:p>
      <w:pPr>
        <w:spacing w:after="0" w:line="26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color w:val="auto"/>
        </w:rPr>
        <w:t>Mutual Closing Conditions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color w:val="auto"/>
        </w:rPr>
        <w:t>Purchaser’s Closing Conditions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color w:val="auto"/>
        </w:rPr>
        <w:t>Seller’s Closing Conditions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color w:val="auto"/>
        </w:rPr>
        <w:t>Mutual Conditions for AMR Submission</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6.5</w:t>
      </w:r>
      <w:r>
        <w:rPr>
          <w:sz w:val="20"/>
          <w:szCs w:val="20"/>
          <w:color w:val="auto"/>
        </w:rPr>
        <w:tab/>
      </w:r>
      <w:r>
        <w:rPr>
          <w:rFonts w:ascii="Times New Roman" w:cs="Times New Roman" w:eastAsia="Times New Roman" w:hAnsi="Times New Roman"/>
          <w:sz w:val="21"/>
          <w:szCs w:val="21"/>
          <w:color w:val="auto"/>
        </w:rPr>
        <w:t>Purchaser’s Conditions for AMR Submission</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color w:val="auto"/>
        </w:rPr>
        <w:t>Seller’s Conditions for AMR Submission</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color w:val="auto"/>
        </w:rPr>
        <w:t>Frustration of Conditions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6.8</w:t>
      </w:r>
      <w:r>
        <w:rPr>
          <w:sz w:val="20"/>
          <w:szCs w:val="20"/>
          <w:color w:val="auto"/>
        </w:rPr>
        <w:tab/>
      </w:r>
      <w:r>
        <w:rPr>
          <w:rFonts w:ascii="Times New Roman" w:cs="Times New Roman" w:eastAsia="Times New Roman" w:hAnsi="Times New Roman"/>
          <w:sz w:val="21"/>
          <w:szCs w:val="21"/>
          <w:color w:val="auto"/>
        </w:rPr>
        <w:t>Waiver of Conditions</w:t>
      </w:r>
    </w:p>
    <w:p>
      <w:pPr>
        <w:spacing w:after="0" w:line="35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Article VII</w:t>
      </w:r>
    </w:p>
    <w:p>
      <w:pPr>
        <w:spacing w:after="0" w:line="28"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1"/>
          <w:szCs w:val="21"/>
          <w:color w:val="auto"/>
        </w:rPr>
        <w:t>TERMINATION; EXPENSES</w:t>
      </w:r>
    </w:p>
    <w:p>
      <w:pPr>
        <w:spacing w:after="0" w:line="26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color w:val="auto"/>
        </w:rPr>
        <w:t>Termination</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color w:val="auto"/>
        </w:rPr>
        <w:t>Effect of Termination; Procedure</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color w:val="auto"/>
        </w:rPr>
        <w:t>Fees and Expenses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color w:val="auto"/>
        </w:rPr>
        <w:t>Termination Fee</w:t>
      </w:r>
    </w:p>
    <w:p>
      <w:pPr>
        <w:spacing w:after="0" w:line="35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Article VIII</w:t>
      </w:r>
    </w:p>
    <w:p>
      <w:pPr>
        <w:spacing w:after="0" w:line="28"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1061" w:lineRule="exact"/>
        <w:rPr>
          <w:sz w:val="20"/>
          <w:szCs w:val="20"/>
          <w:color w:val="auto"/>
        </w:rPr>
      </w:pPr>
    </w:p>
    <w:p>
      <w:pPr>
        <w:sectPr>
          <w:pgSz w:w="11900" w:h="16838" w:orient="portrait"/>
          <w:cols w:equalWidth="0" w:num="2">
            <w:col w:w="10220" w:space="720"/>
            <w:col w:w="220"/>
          </w:cols>
          <w:pgMar w:left="3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60"/>
          </w:cols>
          <w:pgMar w:left="360" w:top="1440" w:right="379" w:bottom="1440" w:gutter="0" w:footer="0" w:header="0"/>
          <w:type w:val="continuous"/>
        </w:sectPr>
      </w:pPr>
    </w:p>
    <w:bookmarkStart w:id="72" w:name="page73"/>
    <w:bookmarkEnd w:id="72"/>
    <w:p>
      <w:pPr>
        <w:spacing w:after="0" w:line="25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color w:val="auto"/>
        </w:rPr>
        <w:t>Survival</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color w:val="auto"/>
        </w:rPr>
        <w:t>Indemnification by Seller</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color w:val="auto"/>
        </w:rPr>
        <w:t>Indemnification by Purchaser</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color w:val="auto"/>
        </w:rPr>
        <w:t>Certain Limitations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8.5</w:t>
      </w:r>
      <w:r>
        <w:rPr>
          <w:sz w:val="20"/>
          <w:szCs w:val="20"/>
          <w:color w:val="auto"/>
        </w:rPr>
        <w:tab/>
      </w:r>
      <w:r>
        <w:rPr>
          <w:rFonts w:ascii="Times New Roman" w:cs="Times New Roman" w:eastAsia="Times New Roman" w:hAnsi="Times New Roman"/>
          <w:sz w:val="21"/>
          <w:szCs w:val="21"/>
          <w:color w:val="auto"/>
        </w:rPr>
        <w:t>Indemnification Procedures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8.6</w:t>
      </w:r>
      <w:r>
        <w:rPr>
          <w:sz w:val="20"/>
          <w:szCs w:val="20"/>
          <w:color w:val="auto"/>
        </w:rPr>
        <w:tab/>
      </w:r>
      <w:r>
        <w:rPr>
          <w:rFonts w:ascii="Times New Roman" w:cs="Times New Roman" w:eastAsia="Times New Roman" w:hAnsi="Times New Roman"/>
          <w:sz w:val="21"/>
          <w:szCs w:val="21"/>
          <w:color w:val="auto"/>
        </w:rPr>
        <w:t>Payments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8.7</w:t>
      </w:r>
      <w:r>
        <w:rPr>
          <w:sz w:val="20"/>
          <w:szCs w:val="20"/>
          <w:color w:val="auto"/>
        </w:rPr>
        <w:tab/>
      </w:r>
      <w:r>
        <w:rPr>
          <w:rFonts w:ascii="Times New Roman" w:cs="Times New Roman" w:eastAsia="Times New Roman" w:hAnsi="Times New Roman"/>
          <w:sz w:val="21"/>
          <w:szCs w:val="21"/>
          <w:color w:val="auto"/>
        </w:rPr>
        <w:t>Tax Consequences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8.8</w:t>
      </w:r>
      <w:r>
        <w:rPr>
          <w:sz w:val="20"/>
          <w:szCs w:val="20"/>
          <w:color w:val="auto"/>
        </w:rPr>
        <w:tab/>
      </w:r>
      <w:r>
        <w:rPr>
          <w:rFonts w:ascii="Times New Roman" w:cs="Times New Roman" w:eastAsia="Times New Roman" w:hAnsi="Times New Roman"/>
          <w:sz w:val="21"/>
          <w:szCs w:val="21"/>
          <w:color w:val="auto"/>
        </w:rPr>
        <w:t>Pre-Closing Tax Indemnity</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8.9</w:t>
      </w:r>
      <w:r>
        <w:rPr>
          <w:sz w:val="20"/>
          <w:szCs w:val="20"/>
          <w:color w:val="auto"/>
        </w:rPr>
        <w:tab/>
      </w:r>
      <w:r>
        <w:rPr>
          <w:rFonts w:ascii="Times New Roman" w:cs="Times New Roman" w:eastAsia="Times New Roman" w:hAnsi="Times New Roman"/>
          <w:sz w:val="21"/>
          <w:szCs w:val="21"/>
          <w:color w:val="auto"/>
        </w:rPr>
        <w:t>Exclusive Remedy</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8.10</w:t>
      </w:r>
      <w:r>
        <w:rPr>
          <w:sz w:val="20"/>
          <w:szCs w:val="20"/>
          <w:color w:val="auto"/>
        </w:rPr>
        <w:tab/>
      </w:r>
      <w:r>
        <w:rPr>
          <w:rFonts w:ascii="Times New Roman" w:cs="Times New Roman" w:eastAsia="Times New Roman" w:hAnsi="Times New Roman"/>
          <w:sz w:val="21"/>
          <w:szCs w:val="21"/>
          <w:color w:val="auto"/>
        </w:rPr>
        <w:t>Determination of Losses</w:t>
      </w:r>
    </w:p>
    <w:p>
      <w:pPr>
        <w:spacing w:after="0" w:line="355"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22"/>
          <w:szCs w:val="22"/>
          <w:color w:val="auto"/>
        </w:rPr>
        <w:t>Article IX</w:t>
      </w:r>
    </w:p>
    <w:p>
      <w:pPr>
        <w:spacing w:after="0" w:line="28"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21"/>
          <w:szCs w:val="21"/>
          <w:color w:val="auto"/>
        </w:rPr>
        <w:t>MISCELLANEOUS</w:t>
      </w:r>
    </w:p>
    <w:p>
      <w:pPr>
        <w:spacing w:after="0" w:line="26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color w:val="auto"/>
        </w:rPr>
        <w:t>Release</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1"/>
          <w:szCs w:val="21"/>
          <w:color w:val="auto"/>
        </w:rPr>
        <w:t>Disclosure</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color w:val="auto"/>
        </w:rPr>
        <w:t>No Other Representations or Warranties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9.4</w:t>
      </w:r>
      <w:r>
        <w:rPr>
          <w:sz w:val="20"/>
          <w:szCs w:val="20"/>
          <w:color w:val="auto"/>
        </w:rPr>
        <w:tab/>
      </w:r>
      <w:r>
        <w:rPr>
          <w:rFonts w:ascii="Times New Roman" w:cs="Times New Roman" w:eastAsia="Times New Roman" w:hAnsi="Times New Roman"/>
          <w:sz w:val="21"/>
          <w:szCs w:val="21"/>
          <w:color w:val="auto"/>
        </w:rPr>
        <w:t>Amendments; No Waivers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color w:val="auto"/>
        </w:rPr>
        <w:t>Notices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9.6</w:t>
      </w:r>
      <w:r>
        <w:rPr>
          <w:sz w:val="20"/>
          <w:szCs w:val="20"/>
          <w:color w:val="auto"/>
        </w:rPr>
        <w:tab/>
      </w:r>
      <w:r>
        <w:rPr>
          <w:rFonts w:ascii="Times New Roman" w:cs="Times New Roman" w:eastAsia="Times New Roman" w:hAnsi="Times New Roman"/>
          <w:sz w:val="21"/>
          <w:szCs w:val="21"/>
          <w:color w:val="auto"/>
        </w:rPr>
        <w:t>Successors and Assigns</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9.7</w:t>
      </w:r>
      <w:r>
        <w:rPr>
          <w:sz w:val="20"/>
          <w:szCs w:val="20"/>
          <w:color w:val="auto"/>
        </w:rPr>
        <w:tab/>
      </w:r>
      <w:r>
        <w:rPr>
          <w:rFonts w:ascii="Times New Roman" w:cs="Times New Roman" w:eastAsia="Times New Roman" w:hAnsi="Times New Roman"/>
          <w:sz w:val="21"/>
          <w:szCs w:val="21"/>
          <w:color w:val="auto"/>
        </w:rPr>
        <w:t>Governing Law</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9.8</w:t>
      </w:r>
      <w:r>
        <w:rPr>
          <w:sz w:val="20"/>
          <w:szCs w:val="20"/>
          <w:color w:val="auto"/>
        </w:rPr>
        <w:tab/>
      </w:r>
      <w:r>
        <w:rPr>
          <w:rFonts w:ascii="Times New Roman" w:cs="Times New Roman" w:eastAsia="Times New Roman" w:hAnsi="Times New Roman"/>
          <w:sz w:val="21"/>
          <w:szCs w:val="21"/>
          <w:color w:val="auto"/>
        </w:rPr>
        <w:t>Dispute Resolution</w:t>
      </w:r>
    </w:p>
    <w:p>
      <w:pPr>
        <w:spacing w:after="0" w:line="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Section 9.9</w:t>
      </w:r>
      <w:r>
        <w:rPr>
          <w:sz w:val="20"/>
          <w:szCs w:val="20"/>
          <w:color w:val="auto"/>
        </w:rPr>
        <w:tab/>
      </w:r>
      <w:r>
        <w:rPr>
          <w:rFonts w:ascii="Times New Roman" w:cs="Times New Roman" w:eastAsia="Times New Roman" w:hAnsi="Times New Roman"/>
          <w:sz w:val="21"/>
          <w:szCs w:val="21"/>
          <w:color w:val="auto"/>
        </w:rPr>
        <w:t>Privilege; Counsel</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9.10</w:t>
      </w:r>
      <w:r>
        <w:rPr>
          <w:sz w:val="20"/>
          <w:szCs w:val="20"/>
          <w:color w:val="auto"/>
        </w:rPr>
        <w:tab/>
      </w:r>
      <w:r>
        <w:rPr>
          <w:rFonts w:ascii="Times New Roman" w:cs="Times New Roman" w:eastAsia="Times New Roman" w:hAnsi="Times New Roman"/>
          <w:sz w:val="21"/>
          <w:szCs w:val="21"/>
          <w:color w:val="auto"/>
        </w:rPr>
        <w:t>Counterparts; Effectiveness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9.11</w:t>
      </w:r>
      <w:r>
        <w:rPr>
          <w:sz w:val="20"/>
          <w:szCs w:val="20"/>
          <w:color w:val="auto"/>
        </w:rPr>
        <w:tab/>
      </w:r>
      <w:r>
        <w:rPr>
          <w:rFonts w:ascii="Times New Roman" w:cs="Times New Roman" w:eastAsia="Times New Roman" w:hAnsi="Times New Roman"/>
          <w:sz w:val="21"/>
          <w:szCs w:val="21"/>
          <w:color w:val="auto"/>
        </w:rPr>
        <w:t>Entire Agreement</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9.12</w:t>
      </w:r>
      <w:r>
        <w:rPr>
          <w:sz w:val="20"/>
          <w:szCs w:val="20"/>
          <w:color w:val="auto"/>
        </w:rPr>
        <w:tab/>
      </w:r>
      <w:r>
        <w:rPr>
          <w:rFonts w:ascii="Times New Roman" w:cs="Times New Roman" w:eastAsia="Times New Roman" w:hAnsi="Times New Roman"/>
          <w:sz w:val="21"/>
          <w:szCs w:val="21"/>
          <w:color w:val="auto"/>
        </w:rPr>
        <w:t>Third-Party Beneficiaries</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color w:val="auto"/>
        </w:rPr>
        <w:t>Severability</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9.14</w:t>
      </w:r>
      <w:r>
        <w:rPr>
          <w:sz w:val="20"/>
          <w:szCs w:val="20"/>
          <w:color w:val="auto"/>
        </w:rPr>
        <w:tab/>
      </w:r>
      <w:r>
        <w:rPr>
          <w:rFonts w:ascii="Times New Roman" w:cs="Times New Roman" w:eastAsia="Times New Roman" w:hAnsi="Times New Roman"/>
          <w:sz w:val="21"/>
          <w:szCs w:val="21"/>
          <w:color w:val="auto"/>
        </w:rPr>
        <w:t>Specific Performance</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color w:val="auto"/>
        </w:rPr>
        <w:t>No Setoff</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9.16</w:t>
      </w:r>
      <w:r>
        <w:rPr>
          <w:sz w:val="20"/>
          <w:szCs w:val="20"/>
          <w:color w:val="auto"/>
        </w:rPr>
        <w:tab/>
      </w:r>
      <w:r>
        <w:rPr>
          <w:rFonts w:ascii="Times New Roman" w:cs="Times New Roman" w:eastAsia="Times New Roman" w:hAnsi="Times New Roman"/>
          <w:sz w:val="21"/>
          <w:szCs w:val="21"/>
          <w:color w:val="auto"/>
        </w:rPr>
        <w:t>Construction</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9.17</w:t>
      </w:r>
      <w:r>
        <w:rPr>
          <w:sz w:val="20"/>
          <w:szCs w:val="20"/>
          <w:color w:val="auto"/>
        </w:rPr>
        <w:tab/>
      </w:r>
      <w:r>
        <w:rPr>
          <w:rFonts w:ascii="Times New Roman" w:cs="Times New Roman" w:eastAsia="Times New Roman" w:hAnsi="Times New Roman"/>
          <w:sz w:val="21"/>
          <w:szCs w:val="21"/>
          <w:color w:val="auto"/>
        </w:rPr>
        <w:t>No Recourse</w:t>
      </w:r>
    </w:p>
    <w:p>
      <w:pPr>
        <w:spacing w:after="0" w:line="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Section 9.18</w:t>
      </w:r>
      <w:r>
        <w:rPr>
          <w:sz w:val="20"/>
          <w:szCs w:val="20"/>
          <w:color w:val="auto"/>
        </w:rPr>
        <w:tab/>
      </w:r>
      <w:r>
        <w:rPr>
          <w:rFonts w:ascii="Times New Roman" w:cs="Times New Roman" w:eastAsia="Times New Roman" w:hAnsi="Times New Roman"/>
          <w:sz w:val="21"/>
          <w:szCs w:val="21"/>
          <w:color w:val="auto"/>
        </w:rPr>
        <w:t>Currency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pacing w:after="0" w:line="200" w:lineRule="exact"/>
        <w:rPr>
          <w:sz w:val="20"/>
          <w:szCs w:val="20"/>
          <w:color w:val="auto"/>
        </w:rPr>
      </w:pPr>
    </w:p>
    <w:p>
      <w:pPr>
        <w:sectPr>
          <w:pgSz w:w="11900" w:h="16838" w:orient="portrait"/>
          <w:cols w:equalWidth="0" w:num="2">
            <w:col w:w="10220" w:space="720"/>
            <w:col w:w="220"/>
          </w:cols>
          <w:pgMar w:left="360" w:top="1440" w:right="379" w:bottom="10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160"/>
          </w:cols>
          <w:pgMar w:left="360" w:top="1440" w:right="379" w:bottom="1066"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SCHEDULES AND EXHIBITS</w:t>
      </w:r>
    </w:p>
    <w:p>
      <w:pPr>
        <w:spacing w:after="0" w:line="2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Example Net Working Capital Calculation</w:t>
      </w:r>
    </w:p>
    <w:p>
      <w:pPr>
        <w:spacing w:after="0" w:line="200" w:lineRule="exact"/>
        <w:rPr>
          <w:sz w:val="20"/>
          <w:szCs w:val="20"/>
          <w:color w:val="auto"/>
        </w:rPr>
      </w:pPr>
    </w:p>
    <w:p>
      <w:pPr>
        <w:spacing w:after="0" w:line="26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Letter of Guarantee</w:t>
      </w:r>
    </w:p>
    <w:p>
      <w:pPr>
        <w:spacing w:after="0" w:line="2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Knowledge of Purchaser List</w:t>
      </w:r>
    </w:p>
    <w:p>
      <w:pPr>
        <w:spacing w:after="0" w:line="1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Knowledge of Seller</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Shareholders Agreement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Terms of Supply Agreement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LETTER</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139"/>
          </w:cols>
          <w:pgMar w:left="320" w:top="1422" w:right="1440" w:bottom="1440" w:gutter="0" w:footer="0" w:header="0"/>
          <w:type w:val="continuous"/>
        </w:sectPr>
      </w:pPr>
    </w:p>
    <w:bookmarkStart w:id="74" w:name="page75"/>
    <w:bookmarkEnd w:id="74"/>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OF DEFINED TERMS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b w:val="1"/>
                <w:bCs w:val="1"/>
                <w:color w:val="auto"/>
              </w:rPr>
              <w:t>Defined Term</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Page</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Defined Term</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66"/>
        </w:trPr>
        <w:tc>
          <w:tcPr>
            <w:tcW w:w="15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w w:val="98"/>
              </w:rPr>
              <w:t>2023 Balance Sheet</w:t>
            </w:r>
          </w:p>
        </w:tc>
        <w:tc>
          <w:tcPr>
            <w:tcW w:w="2680" w:type="dxa"/>
            <w:vAlign w:val="bottom"/>
            <w:gridSpan w:val="19"/>
          </w:tcPr>
          <w:p>
            <w:pPr>
              <w:spacing w:after="0"/>
              <w:rPr>
                <w:sz w:val="24"/>
                <w:szCs w:val="24"/>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21</w:t>
            </w:r>
          </w:p>
        </w:tc>
        <w:tc>
          <w:tcPr>
            <w:tcW w:w="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5"/>
              </w:rPr>
              <w:t>Contract</w:t>
            </w:r>
          </w:p>
        </w:tc>
        <w:tc>
          <w:tcPr>
            <w:tcW w:w="3640" w:type="dxa"/>
            <w:vAlign w:val="bottom"/>
            <w:gridSpan w:val="2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37"/>
        </w:trPr>
        <w:tc>
          <w:tcPr>
            <w:tcW w:w="17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0"/>
                <w:szCs w:val="20"/>
                <w:color w:val="auto"/>
                <w:w w:val="96"/>
              </w:rPr>
              <w:t>Accounting Principles</w:t>
            </w:r>
          </w:p>
        </w:tc>
        <w:tc>
          <w:tcPr>
            <w:tcW w:w="2500" w:type="dxa"/>
            <w:vAlign w:val="bottom"/>
            <w:gridSpan w:val="13"/>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4"/>
              </w:rPr>
              <w:t>Control</w:t>
            </w:r>
          </w:p>
        </w:tc>
        <w:tc>
          <w:tcPr>
            <w:tcW w:w="3720" w:type="dxa"/>
            <w:vAlign w:val="bottom"/>
            <w:gridSpan w:val="2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37"/>
        </w:trPr>
        <w:tc>
          <w:tcPr>
            <w:tcW w:w="1680" w:type="dxa"/>
            <w:vAlign w:val="bottom"/>
            <w:gridSpan w:val="14"/>
          </w:tcPr>
          <w:p>
            <w:pPr>
              <w:spacing w:after="0"/>
              <w:rPr>
                <w:sz w:val="20"/>
                <w:szCs w:val="20"/>
                <w:color w:val="auto"/>
              </w:rPr>
            </w:pPr>
            <w:r>
              <w:rPr>
                <w:rFonts w:ascii="Times New Roman" w:cs="Times New Roman" w:eastAsia="Times New Roman" w:hAnsi="Times New Roman"/>
                <w:sz w:val="20"/>
                <w:szCs w:val="20"/>
                <w:color w:val="auto"/>
                <w:w w:val="98"/>
              </w:rPr>
              <w:t>Acquisition Proposal</w:t>
            </w:r>
          </w:p>
        </w:tc>
        <w:tc>
          <w:tcPr>
            <w:tcW w:w="2580" w:type="dxa"/>
            <w:vAlign w:val="bottom"/>
            <w:gridSpan w:val="16"/>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Controller Pro Rata Value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7"/>
        </w:trPr>
        <w:tc>
          <w:tcPr>
            <w:tcW w:w="168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20"/>
                <w:szCs w:val="20"/>
                <w:color w:val="auto"/>
              </w:rPr>
              <w:t>Action</w:t>
            </w:r>
          </w:p>
        </w:tc>
        <w:tc>
          <w:tcPr>
            <w:tcW w:w="2580" w:type="dxa"/>
            <w:vAlign w:val="bottom"/>
            <w:gridSpan w:val="16"/>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204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20"/>
                <w:szCs w:val="20"/>
                <w:color w:val="auto"/>
              </w:rPr>
              <w:t>Controller Suppliers</w:t>
            </w:r>
          </w:p>
        </w:tc>
        <w:tc>
          <w:tcPr>
            <w:tcW w:w="2280" w:type="dxa"/>
            <w:vAlign w:val="bottom"/>
            <w:gridSpan w:val="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0"/>
        </w:trPr>
        <w:tc>
          <w:tcPr>
            <w:tcW w:w="7140" w:type="dxa"/>
            <w:vAlign w:val="bottom"/>
            <w:gridSpan w:val="40"/>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60" w:type="dxa"/>
            <w:vAlign w:val="bottom"/>
            <w:tcBorders>
              <w:left w:val="single" w:sz="8" w:color="auto"/>
            </w:tcBorders>
            <w:gridSpan w:val="17"/>
          </w:tcPr>
          <w:p>
            <w:pPr>
              <w:spacing w:after="0" w:line="20" w:lineRule="exact"/>
              <w:rPr>
                <w:sz w:val="1"/>
                <w:szCs w:val="1"/>
                <w:color w:val="auto"/>
              </w:rPr>
            </w:pPr>
          </w:p>
        </w:tc>
      </w:tr>
      <w:tr>
        <w:trPr>
          <w:trHeight w:val="237"/>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Actual Net Debt Amount</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Controller Transition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680" w:type="dxa"/>
            <w:vAlign w:val="bottom"/>
            <w:tcBorders>
              <w:right w:val="single" w:sz="8" w:color="auto"/>
            </w:tcBorders>
            <w:gridSpan w:val="9"/>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5160" w:type="dxa"/>
            <w:vAlign w:val="bottom"/>
            <w:tcBorders>
              <w:left w:val="single" w:sz="8" w:color="auto"/>
            </w:tcBorders>
            <w:gridSpan w:val="19"/>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9"/>
            <w:shd w:val="clear" w:color="auto" w:fill="000000"/>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r>
      <w:tr>
        <w:trPr>
          <w:trHeight w:val="236"/>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Actual Working Capital Adjustment Amount</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Controller Working Capital 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7"/>
        </w:trPr>
        <w:tc>
          <w:tcPr>
            <w:tcW w:w="2600" w:type="dxa"/>
            <w:vAlign w:val="bottom"/>
            <w:tcBorders>
              <w:top w:val="single" w:sz="8" w:color="auto"/>
              <w:bottom w:val="single" w:sz="8" w:color="auto"/>
            </w:tcBorders>
            <w:gridSpan w:val="25"/>
          </w:tcPr>
          <w:p>
            <w:pPr>
              <w:spacing w:after="0"/>
              <w:rPr>
                <w:sz w:val="20"/>
                <w:szCs w:val="20"/>
                <w:color w:val="auto"/>
              </w:rPr>
            </w:pPr>
            <w:r>
              <w:rPr>
                <w:rFonts w:ascii="Times New Roman" w:cs="Times New Roman" w:eastAsia="Times New Roman" w:hAnsi="Times New Roman"/>
                <w:sz w:val="20"/>
                <w:szCs w:val="20"/>
                <w:color w:val="auto"/>
                <w:w w:val="98"/>
              </w:rPr>
              <w:t>Actual Working Capital Amount</w:t>
            </w:r>
          </w:p>
        </w:tc>
        <w:tc>
          <w:tcPr>
            <w:tcW w:w="960" w:type="dxa"/>
            <w:vAlign w:val="bottom"/>
            <w:tcBorders>
              <w:top w:val="single" w:sz="8" w:color="auto"/>
            </w:tcBorders>
            <w:gridSpan w:val="2"/>
          </w:tcPr>
          <w:p>
            <w:pPr>
              <w:spacing w:after="0"/>
              <w:rPr>
                <w:sz w:val="20"/>
                <w:szCs w:val="20"/>
                <w:color w:val="auto"/>
              </w:rPr>
            </w:pPr>
          </w:p>
        </w:tc>
        <w:tc>
          <w:tcPr>
            <w:tcW w:w="700" w:type="dxa"/>
            <w:vAlign w:val="bottom"/>
            <w:gridSpan w:val="3"/>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w:t>
            </w:r>
          </w:p>
        </w:tc>
        <w:tc>
          <w:tcPr>
            <w:tcW w:w="1740" w:type="dxa"/>
            <w:vAlign w:val="bottom"/>
            <w:tcBorders>
              <w:top w:val="single" w:sz="8" w:color="auto"/>
              <w:bottom w:val="single" w:sz="8" w:color="auto"/>
            </w:tcBorders>
            <w:gridSpan w:val="18"/>
          </w:tcPr>
          <w:p>
            <w:pPr>
              <w:spacing w:after="0"/>
              <w:rPr>
                <w:sz w:val="20"/>
                <w:szCs w:val="20"/>
                <w:color w:val="auto"/>
              </w:rPr>
            </w:pPr>
            <w:r>
              <w:rPr>
                <w:rFonts w:ascii="Times New Roman" w:cs="Times New Roman" w:eastAsia="Times New Roman" w:hAnsi="Times New Roman"/>
                <w:sz w:val="20"/>
                <w:szCs w:val="20"/>
                <w:color w:val="auto"/>
                <w:w w:val="99"/>
              </w:rPr>
              <w:t>Data Protection Laws</w:t>
            </w:r>
          </w:p>
        </w:tc>
        <w:tc>
          <w:tcPr>
            <w:tcW w:w="1120" w:type="dxa"/>
            <w:vAlign w:val="bottom"/>
            <w:tcBorders>
              <w:top w:val="single" w:sz="8" w:color="auto"/>
            </w:tcBorders>
            <w:gridSpan w:val="9"/>
          </w:tcPr>
          <w:p>
            <w:pPr>
              <w:spacing w:after="0"/>
              <w:rPr>
                <w:sz w:val="20"/>
                <w:szCs w:val="20"/>
                <w:color w:val="auto"/>
              </w:rPr>
            </w:pPr>
          </w:p>
        </w:tc>
        <w:tc>
          <w:tcPr>
            <w:tcW w:w="1460" w:type="dxa"/>
            <w:vAlign w:val="bottom"/>
            <w:gridSpan w:val="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7"/>
        </w:trPr>
        <w:tc>
          <w:tcPr>
            <w:tcW w:w="3640" w:type="dxa"/>
            <w:vAlign w:val="bottom"/>
            <w:gridSpan w:val="28"/>
          </w:tcPr>
          <w:p>
            <w:pPr>
              <w:spacing w:after="0"/>
              <w:rPr>
                <w:sz w:val="20"/>
                <w:szCs w:val="20"/>
                <w:color w:val="auto"/>
              </w:rPr>
            </w:pPr>
            <w:r>
              <w:rPr>
                <w:rFonts w:ascii="Times New Roman" w:cs="Times New Roman" w:eastAsia="Times New Roman" w:hAnsi="Times New Roman"/>
                <w:sz w:val="20"/>
                <w:szCs w:val="20"/>
                <w:color w:val="auto"/>
                <w:w w:val="98"/>
              </w:rPr>
              <w:t>Adjusted Controller Working Capital Amount</w:t>
            </w:r>
          </w:p>
        </w:tc>
        <w:tc>
          <w:tcPr>
            <w:tcW w:w="620" w:type="dxa"/>
            <w:vAlign w:val="bottom"/>
            <w:gridSpan w:val="2"/>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50</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Deductible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7"/>
              </w:rPr>
              <w:t>Affiliate</w:t>
            </w:r>
          </w:p>
        </w:tc>
        <w:tc>
          <w:tcPr>
            <w:tcW w:w="2960" w:type="dxa"/>
            <w:vAlign w:val="bottom"/>
            <w:gridSpan w:val="24"/>
          </w:tcPr>
          <w:p>
            <w:pPr>
              <w:spacing w:after="0"/>
              <w:rPr>
                <w:sz w:val="20"/>
                <w:szCs w:val="20"/>
                <w:color w:val="auto"/>
              </w:rPr>
            </w:pPr>
          </w:p>
        </w:tc>
        <w:tc>
          <w:tcPr>
            <w:tcW w:w="620" w:type="dxa"/>
            <w:vAlign w:val="bottom"/>
            <w:gridSpan w:val="2"/>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w:t>
            </w:r>
          </w:p>
        </w:tc>
        <w:tc>
          <w:tcPr>
            <w:tcW w:w="14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w w:val="97"/>
              </w:rPr>
              <w:t>Deferred Payment</w:t>
            </w:r>
          </w:p>
        </w:tc>
        <w:tc>
          <w:tcPr>
            <w:tcW w:w="2880" w:type="dxa"/>
            <w:vAlign w:val="bottom"/>
            <w:gridSpan w:val="1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6"/>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Affiliate Transactions</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30</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Deferred Payment Date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7"/>
        </w:trPr>
        <w:tc>
          <w:tcPr>
            <w:tcW w:w="172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rPr>
              <w:t>Agreement</w:t>
            </w:r>
          </w:p>
        </w:tc>
        <w:tc>
          <w:tcPr>
            <w:tcW w:w="2540" w:type="dxa"/>
            <w:vAlign w:val="bottom"/>
            <w:gridSpan w:val="14"/>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186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20"/>
                <w:szCs w:val="20"/>
                <w:color w:val="auto"/>
              </w:rPr>
              <w:t>Determination Date</w:t>
            </w:r>
          </w:p>
        </w:tc>
        <w:tc>
          <w:tcPr>
            <w:tcW w:w="2460" w:type="dxa"/>
            <w:vAlign w:val="bottom"/>
            <w:gridSpan w:val="9"/>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3720" w:type="dxa"/>
            <w:vAlign w:val="bottom"/>
            <w:gridSpan w:val="29"/>
          </w:tcPr>
          <w:p>
            <w:pPr>
              <w:spacing w:after="0"/>
              <w:rPr>
                <w:sz w:val="20"/>
                <w:szCs w:val="20"/>
                <w:color w:val="auto"/>
              </w:rPr>
            </w:pPr>
            <w:r>
              <w:rPr>
                <w:rFonts w:ascii="Times New Roman" w:cs="Times New Roman" w:eastAsia="Times New Roman" w:hAnsi="Times New Roman"/>
                <w:sz w:val="20"/>
                <w:szCs w:val="20"/>
                <w:color w:val="auto"/>
                <w:w w:val="98"/>
              </w:rPr>
              <w:t>Amended and Restated Articles of Association</w:t>
            </w:r>
          </w:p>
        </w:tc>
        <w:tc>
          <w:tcPr>
            <w:tcW w:w="540" w:type="dxa"/>
            <w:vAlign w:val="bottom"/>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Direct Claim</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7"/>
        </w:trPr>
        <w:tc>
          <w:tcPr>
            <w:tcW w:w="12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8"/>
              </w:rPr>
              <w:t>AMR Approval</w:t>
            </w:r>
          </w:p>
        </w:tc>
        <w:tc>
          <w:tcPr>
            <w:tcW w:w="2460" w:type="dxa"/>
            <w:vAlign w:val="bottom"/>
            <w:tcBorders>
              <w:top w:val="single" w:sz="8" w:color="auto"/>
            </w:tcBorders>
            <w:gridSpan w:val="19"/>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w:t>
            </w:r>
          </w:p>
        </w:tc>
        <w:tc>
          <w:tcPr>
            <w:tcW w:w="10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rPr>
              <w:t>Dispute</w:t>
            </w:r>
          </w:p>
        </w:tc>
        <w:tc>
          <w:tcPr>
            <w:tcW w:w="3300" w:type="dxa"/>
            <w:vAlign w:val="bottom"/>
            <w:gridSpan w:val="2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8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20"/>
                <w:szCs w:val="20"/>
                <w:color w:val="auto"/>
                <w:w w:val="98"/>
              </w:rPr>
              <w:t>AMR Submission Date</w:t>
            </w:r>
          </w:p>
        </w:tc>
        <w:tc>
          <w:tcPr>
            <w:tcW w:w="2400" w:type="dxa"/>
            <w:vAlign w:val="bottom"/>
            <w:gridSpan w:val="12"/>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12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7"/>
              </w:rPr>
              <w:t>Dispute Notice</w:t>
            </w:r>
          </w:p>
        </w:tc>
        <w:tc>
          <w:tcPr>
            <w:tcW w:w="3120" w:type="dxa"/>
            <w:vAlign w:val="bottom"/>
            <w:gridSpan w:val="19"/>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6"/>
        </w:trPr>
        <w:tc>
          <w:tcPr>
            <w:tcW w:w="1760" w:type="dxa"/>
            <w:vAlign w:val="bottom"/>
            <w:gridSpan w:val="17"/>
          </w:tcPr>
          <w:p>
            <w:pPr>
              <w:spacing w:after="0"/>
              <w:rPr>
                <w:sz w:val="20"/>
                <w:szCs w:val="20"/>
                <w:color w:val="auto"/>
              </w:rPr>
            </w:pPr>
            <w:r>
              <w:rPr>
                <w:rFonts w:ascii="Times New Roman" w:cs="Times New Roman" w:eastAsia="Times New Roman" w:hAnsi="Times New Roman"/>
                <w:sz w:val="20"/>
                <w:szCs w:val="20"/>
                <w:color w:val="auto"/>
                <w:w w:val="97"/>
              </w:rPr>
              <w:t>Ancillary Agreements</w:t>
            </w:r>
          </w:p>
        </w:tc>
        <w:tc>
          <w:tcPr>
            <w:tcW w:w="2500" w:type="dxa"/>
            <w:vAlign w:val="bottom"/>
            <w:gridSpan w:val="13"/>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Disputed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760" w:type="dxa"/>
            <w:vAlign w:val="bottom"/>
            <w:gridSpan w:val="17"/>
          </w:tcPr>
          <w:p>
            <w:pPr>
              <w:spacing w:after="0"/>
              <w:rPr>
                <w:sz w:val="20"/>
                <w:szCs w:val="20"/>
                <w:color w:val="auto"/>
              </w:rPr>
            </w:pPr>
            <w:r>
              <w:rPr>
                <w:rFonts w:ascii="Times New Roman" w:cs="Times New Roman" w:eastAsia="Times New Roman" w:hAnsi="Times New Roman"/>
                <w:sz w:val="20"/>
                <w:szCs w:val="20"/>
                <w:color w:val="auto"/>
                <w:w w:val="96"/>
              </w:rPr>
              <w:t>Anti-Corruption Laws</w:t>
            </w:r>
          </w:p>
        </w:tc>
        <w:tc>
          <w:tcPr>
            <w:tcW w:w="2500" w:type="dxa"/>
            <w:vAlign w:val="bottom"/>
            <w:gridSpan w:val="13"/>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Employee Benefit Plan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900" w:type="dxa"/>
            <w:vAlign w:val="bottom"/>
            <w:gridSpan w:val="19"/>
          </w:tcPr>
          <w:p>
            <w:pPr>
              <w:spacing w:after="0"/>
              <w:rPr>
                <w:sz w:val="20"/>
                <w:szCs w:val="20"/>
                <w:color w:val="auto"/>
              </w:rPr>
            </w:pPr>
            <w:r>
              <w:rPr>
                <w:rFonts w:ascii="Times New Roman" w:cs="Times New Roman" w:eastAsia="Times New Roman" w:hAnsi="Times New Roman"/>
                <w:sz w:val="20"/>
                <w:szCs w:val="20"/>
                <w:color w:val="auto"/>
                <w:w w:val="98"/>
              </w:rPr>
              <w:t>Application Documents</w:t>
            </w:r>
          </w:p>
        </w:tc>
        <w:tc>
          <w:tcPr>
            <w:tcW w:w="2360" w:type="dxa"/>
            <w:vAlign w:val="bottom"/>
            <w:gridSpan w:val="11"/>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40</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Environmental Law</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16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w w:val="98"/>
              </w:rPr>
              <w:t>Base Purchase Price</w:t>
            </w:r>
          </w:p>
        </w:tc>
        <w:tc>
          <w:tcPr>
            <w:tcW w:w="280" w:type="dxa"/>
            <w:vAlign w:val="bottom"/>
            <w:gridSpan w:val="7"/>
          </w:tcPr>
          <w:p>
            <w:pPr>
              <w:spacing w:after="0"/>
              <w:rPr>
                <w:sz w:val="20"/>
                <w:szCs w:val="20"/>
                <w:color w:val="auto"/>
              </w:rPr>
            </w:pPr>
          </w:p>
        </w:tc>
        <w:tc>
          <w:tcPr>
            <w:tcW w:w="2360" w:type="dxa"/>
            <w:vAlign w:val="bottom"/>
            <w:gridSpan w:val="11"/>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22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w w:val="98"/>
              </w:rPr>
              <w:t>Estimated Closing Payment</w:t>
            </w:r>
          </w:p>
        </w:tc>
        <w:tc>
          <w:tcPr>
            <w:tcW w:w="2100" w:type="dxa"/>
            <w:vAlign w:val="bottom"/>
            <w:gridSpan w:val="6"/>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7"/>
        </w:trPr>
        <w:tc>
          <w:tcPr>
            <w:tcW w:w="11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w w:val="98"/>
              </w:rPr>
              <w:t>Business Day</w:t>
            </w:r>
          </w:p>
        </w:tc>
        <w:tc>
          <w:tcPr>
            <w:tcW w:w="3160" w:type="dxa"/>
            <w:vAlign w:val="bottom"/>
            <w:gridSpan w:val="21"/>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226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20"/>
                <w:szCs w:val="20"/>
                <w:color w:val="auto"/>
                <w:w w:val="98"/>
              </w:rPr>
              <w:t>Estimated Net Debt Amount</w:t>
            </w:r>
          </w:p>
        </w:tc>
        <w:tc>
          <w:tcPr>
            <w:tcW w:w="2060" w:type="dxa"/>
            <w:vAlign w:val="bottom"/>
            <w:gridSpan w:val="5"/>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6"/>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Cash</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Estimated Working Capital Adjustment 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Closing</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16</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Estimated Working Capital 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0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6"/>
              </w:rPr>
              <w:t>Closing Cash</w:t>
            </w:r>
          </w:p>
        </w:tc>
        <w:tc>
          <w:tcPr>
            <w:tcW w:w="3180" w:type="dxa"/>
            <w:vAlign w:val="bottom"/>
            <w:gridSpan w:val="22"/>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Exchange Rate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10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Closing Date</w:t>
            </w:r>
          </w:p>
        </w:tc>
        <w:tc>
          <w:tcPr>
            <w:tcW w:w="3180" w:type="dxa"/>
            <w:vAlign w:val="bottom"/>
            <w:gridSpan w:val="22"/>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17</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Excluded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0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7"/>
              </w:rPr>
              <w:t>Closing Debt</w:t>
            </w:r>
          </w:p>
        </w:tc>
        <w:tc>
          <w:tcPr>
            <w:tcW w:w="3180" w:type="dxa"/>
            <w:vAlign w:val="bottom"/>
            <w:gridSpan w:val="22"/>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172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0"/>
                <w:szCs w:val="20"/>
                <w:color w:val="auto"/>
              </w:rPr>
              <w:t>Excluded Employees</w:t>
            </w:r>
          </w:p>
        </w:tc>
        <w:tc>
          <w:tcPr>
            <w:tcW w:w="2600" w:type="dxa"/>
            <w:vAlign w:val="bottom"/>
            <w:gridSpan w:val="1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6"/>
        </w:trPr>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7"/>
              </w:rPr>
              <w:t>Company</w:t>
            </w:r>
          </w:p>
        </w:tc>
        <w:tc>
          <w:tcPr>
            <w:tcW w:w="3480" w:type="dxa"/>
            <w:vAlign w:val="bottom"/>
            <w:gridSpan w:val="25"/>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170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rPr>
              <w:t>Final Objection Date</w:t>
            </w:r>
          </w:p>
        </w:tc>
        <w:tc>
          <w:tcPr>
            <w:tcW w:w="2620" w:type="dxa"/>
            <w:vAlign w:val="bottom"/>
            <w:gridSpan w:val="1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7"/>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Company Capital Account Bank</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6"/>
        </w:trPr>
        <w:tc>
          <w:tcPr>
            <w:tcW w:w="258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20"/>
                <w:szCs w:val="20"/>
                <w:color w:val="auto"/>
              </w:rPr>
              <w:t>Company Contracts</w:t>
            </w:r>
          </w:p>
        </w:tc>
        <w:tc>
          <w:tcPr>
            <w:tcW w:w="1680" w:type="dxa"/>
            <w:vAlign w:val="bottom"/>
            <w:gridSpan w:val="6"/>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28</w:t>
            </w:r>
          </w:p>
        </w:tc>
        <w:tc>
          <w:tcPr>
            <w:tcW w:w="16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Flash Spin-off</w:t>
            </w:r>
          </w:p>
        </w:tc>
        <w:tc>
          <w:tcPr>
            <w:tcW w:w="2640" w:type="dxa"/>
            <w:vAlign w:val="bottom"/>
            <w:gridSpan w:val="1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960" w:type="dxa"/>
            <w:vAlign w:val="bottom"/>
            <w:tcBorders>
              <w:left w:val="single" w:sz="8" w:color="auto"/>
            </w:tcBorders>
            <w:gridSpan w:val="8"/>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Company Employees</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42</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Fraud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040" w:type="dxa"/>
            <w:vAlign w:val="bottom"/>
            <w:tcBorders>
              <w:left w:val="single" w:sz="8" w:color="auto"/>
            </w:tcBorders>
            <w:gridSpan w:val="10"/>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2740" w:type="dxa"/>
            <w:vAlign w:val="bottom"/>
            <w:gridSpan w:val="26"/>
          </w:tcPr>
          <w:p>
            <w:pPr>
              <w:spacing w:after="0"/>
              <w:rPr>
                <w:sz w:val="20"/>
                <w:szCs w:val="20"/>
                <w:color w:val="auto"/>
              </w:rPr>
            </w:pPr>
            <w:r>
              <w:rPr>
                <w:rFonts w:ascii="Times New Roman" w:cs="Times New Roman" w:eastAsia="Times New Roman" w:hAnsi="Times New Roman"/>
                <w:sz w:val="20"/>
                <w:szCs w:val="20"/>
                <w:color w:val="auto"/>
                <w:w w:val="98"/>
              </w:rPr>
              <w:t>Company Material Adverse Effect</w:t>
            </w:r>
          </w:p>
        </w:tc>
        <w:tc>
          <w:tcPr>
            <w:tcW w:w="1520" w:type="dxa"/>
            <w:vAlign w:val="bottom"/>
            <w:gridSpan w:val="4"/>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Full Transition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040" w:type="dxa"/>
            <w:vAlign w:val="bottom"/>
            <w:tcBorders>
              <w:left w:val="single" w:sz="8" w:color="auto"/>
            </w:tcBorders>
            <w:gridSpan w:val="10"/>
            <w:shd w:val="clear" w:color="auto" w:fill="000000"/>
          </w:tcPr>
          <w:p>
            <w:pPr>
              <w:spacing w:after="0" w:line="20" w:lineRule="exact"/>
              <w:rPr>
                <w:sz w:val="1"/>
                <w:szCs w:val="1"/>
                <w:color w:val="auto"/>
              </w:rPr>
            </w:pPr>
          </w:p>
        </w:tc>
        <w:tc>
          <w:tcPr>
            <w:tcW w:w="1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920" w:type="dxa"/>
            <w:vAlign w:val="bottom"/>
            <w:gridSpan w:val="20"/>
          </w:tcPr>
          <w:p>
            <w:pPr>
              <w:spacing w:after="0"/>
              <w:rPr>
                <w:sz w:val="20"/>
                <w:szCs w:val="20"/>
                <w:color w:val="auto"/>
              </w:rPr>
            </w:pPr>
            <w:r>
              <w:rPr>
                <w:rFonts w:ascii="Times New Roman" w:cs="Times New Roman" w:eastAsia="Times New Roman" w:hAnsi="Times New Roman"/>
                <w:sz w:val="20"/>
                <w:szCs w:val="20"/>
                <w:color w:val="auto"/>
                <w:w w:val="98"/>
              </w:rPr>
              <w:t>Company Real Property</w:t>
            </w:r>
          </w:p>
        </w:tc>
        <w:tc>
          <w:tcPr>
            <w:tcW w:w="820" w:type="dxa"/>
            <w:vAlign w:val="bottom"/>
            <w:gridSpan w:val="6"/>
          </w:tcPr>
          <w:p>
            <w:pPr>
              <w:spacing w:after="0"/>
              <w:rPr>
                <w:sz w:val="20"/>
                <w:szCs w:val="20"/>
                <w:color w:val="auto"/>
              </w:rPr>
            </w:pPr>
          </w:p>
        </w:tc>
        <w:tc>
          <w:tcPr>
            <w:tcW w:w="1520" w:type="dxa"/>
            <w:vAlign w:val="bottom"/>
            <w:gridSpan w:val="4"/>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24</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General Enforceability Exceptions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040" w:type="dxa"/>
            <w:vAlign w:val="bottom"/>
            <w:tcBorders>
              <w:left w:val="single" w:sz="8" w:color="auto"/>
            </w:tcBorders>
            <w:gridSpan w:val="10"/>
            <w:shd w:val="clear" w:color="auto" w:fill="000000"/>
          </w:tcPr>
          <w:p>
            <w:pPr>
              <w:spacing w:after="0" w:line="20" w:lineRule="exact"/>
              <w:rPr>
                <w:sz w:val="1"/>
                <w:szCs w:val="1"/>
                <w:color w:val="auto"/>
              </w:rPr>
            </w:pPr>
          </w:p>
        </w:tc>
        <w:tc>
          <w:tcPr>
            <w:tcW w:w="1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gridSpan w:val="7"/>
            <w:shd w:val="clear" w:color="auto" w:fill="000000"/>
          </w:tcPr>
          <w:p>
            <w:pPr>
              <w:spacing w:after="0" w:line="20" w:lineRule="exact"/>
              <w:rPr>
                <w:sz w:val="1"/>
                <w:szCs w:val="1"/>
                <w:color w:val="auto"/>
              </w:rPr>
            </w:pPr>
          </w:p>
        </w:tc>
        <w:tc>
          <w:tcPr>
            <w:tcW w:w="280" w:type="dxa"/>
            <w:vAlign w:val="bottom"/>
            <w:gridSpan w:val="7"/>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Company Real Property Leases</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Government Official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040" w:type="dxa"/>
            <w:vAlign w:val="bottom"/>
            <w:tcBorders>
              <w:left w:val="single" w:sz="8" w:color="auto"/>
            </w:tcBorders>
            <w:gridSpan w:val="10"/>
            <w:shd w:val="clear" w:color="auto" w:fill="000000"/>
          </w:tcPr>
          <w:p>
            <w:pPr>
              <w:spacing w:after="0" w:line="20" w:lineRule="exact"/>
              <w:rPr>
                <w:sz w:val="1"/>
                <w:szCs w:val="1"/>
                <w:color w:val="auto"/>
              </w:rPr>
            </w:pPr>
          </w:p>
        </w:tc>
        <w:tc>
          <w:tcPr>
            <w:tcW w:w="10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gridSpan w:val="7"/>
            <w:shd w:val="clear" w:color="auto" w:fill="000000"/>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Company Transaction Expenses</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Governmental Authority</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7"/>
        </w:trPr>
        <w:tc>
          <w:tcPr>
            <w:tcW w:w="1760" w:type="dxa"/>
            <w:vAlign w:val="bottom"/>
            <w:tcBorders>
              <w:top w:val="single" w:sz="8" w:color="auto"/>
              <w:bottom w:val="single" w:sz="8" w:color="auto"/>
            </w:tcBorders>
            <w:gridSpan w:val="17"/>
          </w:tcPr>
          <w:p>
            <w:pPr>
              <w:spacing w:after="0"/>
              <w:rPr>
                <w:sz w:val="20"/>
                <w:szCs w:val="20"/>
                <w:color w:val="auto"/>
              </w:rPr>
            </w:pPr>
            <w:r>
              <w:rPr>
                <w:rFonts w:ascii="Times New Roman" w:cs="Times New Roman" w:eastAsia="Times New Roman" w:hAnsi="Times New Roman"/>
                <w:sz w:val="20"/>
                <w:szCs w:val="20"/>
                <w:color w:val="auto"/>
                <w:w w:val="98"/>
              </w:rPr>
              <w:t>Completion Accounts</w:t>
            </w:r>
          </w:p>
        </w:tc>
        <w:tc>
          <w:tcPr>
            <w:tcW w:w="780" w:type="dxa"/>
            <w:vAlign w:val="bottom"/>
            <w:tcBorders>
              <w:top w:val="single" w:sz="8" w:color="auto"/>
            </w:tcBorders>
            <w:gridSpan w:val="6"/>
          </w:tcPr>
          <w:p>
            <w:pPr>
              <w:spacing w:after="0"/>
              <w:rPr>
                <w:sz w:val="20"/>
                <w:szCs w:val="20"/>
                <w:color w:val="auto"/>
              </w:rPr>
            </w:pPr>
          </w:p>
        </w:tc>
        <w:tc>
          <w:tcPr>
            <w:tcW w:w="1720" w:type="dxa"/>
            <w:vAlign w:val="bottom"/>
            <w:gridSpan w:val="7"/>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15</w:t>
            </w:r>
          </w:p>
        </w:tc>
        <w:tc>
          <w:tcPr>
            <w:tcW w:w="166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20"/>
                <w:szCs w:val="20"/>
                <w:color w:val="auto"/>
                <w:w w:val="97"/>
              </w:rPr>
              <w:t>Hazardous Materials</w:t>
            </w:r>
          </w:p>
        </w:tc>
        <w:tc>
          <w:tcPr>
            <w:tcW w:w="280" w:type="dxa"/>
            <w:vAlign w:val="bottom"/>
            <w:tcBorders>
              <w:top w:val="single" w:sz="8" w:color="auto"/>
            </w:tcBorders>
            <w:gridSpan w:val="7"/>
          </w:tcPr>
          <w:p>
            <w:pPr>
              <w:spacing w:after="0"/>
              <w:rPr>
                <w:sz w:val="20"/>
                <w:szCs w:val="20"/>
                <w:color w:val="auto"/>
              </w:rPr>
            </w:pPr>
          </w:p>
        </w:tc>
        <w:tc>
          <w:tcPr>
            <w:tcW w:w="2380" w:type="dxa"/>
            <w:vAlign w:val="bottom"/>
            <w:gridSpan w:val="8"/>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6"/>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Condition to Closing</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54</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HKIAC</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040" w:type="dxa"/>
            <w:vAlign w:val="bottom"/>
            <w:tcBorders>
              <w:left w:val="single" w:sz="8" w:color="auto"/>
            </w:tcBorders>
            <w:gridSpan w:val="10"/>
            <w:shd w:val="clear" w:color="auto" w:fill="000000"/>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2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426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Confidential Information</w:t>
            </w: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38</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Hong Kong</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360" w:type="dxa"/>
            <w:vAlign w:val="bottom"/>
            <w:tcBorders>
              <w:left w:val="single" w:sz="8" w:color="auto"/>
            </w:tcBorders>
            <w:gridSpan w:val="18"/>
            <w:shd w:val="clear" w:color="auto" w:fill="000000"/>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2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6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88"/>
              </w:rPr>
              <w:t>Consent</w:t>
            </w:r>
          </w:p>
        </w:tc>
        <w:tc>
          <w:tcPr>
            <w:tcW w:w="1360" w:type="dxa"/>
            <w:vAlign w:val="bottom"/>
            <w:gridSpan w:val="18"/>
          </w:tcPr>
          <w:p>
            <w:pPr>
              <w:spacing w:after="0"/>
              <w:rPr>
                <w:sz w:val="20"/>
                <w:szCs w:val="20"/>
                <w:color w:val="auto"/>
              </w:rPr>
            </w:pPr>
          </w:p>
        </w:tc>
        <w:tc>
          <w:tcPr>
            <w:tcW w:w="2280" w:type="dxa"/>
            <w:vAlign w:val="bottom"/>
            <w:gridSpan w:val="9"/>
          </w:tcPr>
          <w:p>
            <w:pPr>
              <w:spacing w:after="0"/>
              <w:rPr>
                <w:sz w:val="20"/>
                <w:szCs w:val="20"/>
                <w:color w:val="auto"/>
              </w:rPr>
            </w:pPr>
          </w:p>
        </w:tc>
        <w:tc>
          <w:tcPr>
            <w:tcW w:w="1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w:t>
            </w:r>
          </w:p>
        </w:tc>
        <w:tc>
          <w:tcPr>
            <w:tcW w:w="432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Indebtedness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0"/>
        </w:trPr>
        <w:tc>
          <w:tcPr>
            <w:tcW w:w="620" w:type="dxa"/>
            <w:vAlign w:val="bottom"/>
            <w:gridSpan w:val="3"/>
            <w:shd w:val="clear" w:color="auto" w:fill="000000"/>
          </w:tcPr>
          <w:p>
            <w:pPr>
              <w:spacing w:after="0" w:line="20" w:lineRule="exact"/>
              <w:rPr>
                <w:sz w:val="1"/>
                <w:szCs w:val="1"/>
                <w:color w:val="auto"/>
              </w:rPr>
            </w:pPr>
          </w:p>
        </w:tc>
        <w:tc>
          <w:tcPr>
            <w:tcW w:w="10580" w:type="dxa"/>
            <w:vAlign w:val="bottom"/>
            <w:tcBorders>
              <w:left w:val="single" w:sz="8" w:color="auto"/>
            </w:tcBorders>
            <w:gridSpan w:val="58"/>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200"/>
          </w:cols>
          <w:pgMar w:left="340" w:top="1440" w:right="359" w:bottom="1440" w:gutter="0" w:footer="0" w:header="0"/>
        </w:sectPr>
      </w:pPr>
    </w:p>
    <w:bookmarkStart w:id="75" w:name="page76"/>
    <w:bookmarkEnd w:id="75"/>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Indemnification Tax Benefit</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61</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Restraints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11"/>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10"/>
            <w:shd w:val="clear" w:color="auto" w:fill="000000"/>
          </w:tcPr>
          <w:p>
            <w:pPr>
              <w:spacing w:after="0" w:line="20" w:lineRule="exact"/>
              <w:rPr>
                <w:sz w:val="1"/>
                <w:szCs w:val="1"/>
                <w:color w:val="auto"/>
              </w:rPr>
            </w:pPr>
          </w:p>
        </w:tc>
        <w:tc>
          <w:tcPr>
            <w:tcW w:w="4360" w:type="dxa"/>
            <w:vAlign w:val="bottom"/>
            <w:tcBorders>
              <w:right w:val="single" w:sz="8" w:color="auto"/>
            </w:tcBorders>
            <w:gridSpan w:val="10"/>
            <w:shd w:val="clear" w:color="auto" w:fill="000000"/>
          </w:tcPr>
          <w:p>
            <w:pPr>
              <w:spacing w:after="0" w:line="20" w:lineRule="exact"/>
              <w:rPr>
                <w:sz w:val="1"/>
                <w:szCs w:val="1"/>
                <w:color w:val="auto"/>
              </w:rPr>
            </w:pPr>
          </w:p>
        </w:tc>
        <w:tc>
          <w:tcPr>
            <w:tcW w:w="4740" w:type="dxa"/>
            <w:vAlign w:val="bottom"/>
            <w:gridSpan w:val="31"/>
            <w:shd w:val="clear" w:color="auto" w:fill="000000"/>
          </w:tcPr>
          <w:p>
            <w:pPr>
              <w:spacing w:after="0" w:line="20" w:lineRule="exact"/>
              <w:rPr>
                <w:sz w:val="1"/>
                <w:szCs w:val="1"/>
                <w:color w:val="auto"/>
              </w:rPr>
            </w:pPr>
          </w:p>
        </w:tc>
      </w:tr>
      <w:tr>
        <w:trPr>
          <w:trHeight w:val="237"/>
        </w:trPr>
        <w:tc>
          <w:tcPr>
            <w:tcW w:w="224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Indemnified Person</w:t>
            </w:r>
          </w:p>
        </w:tc>
        <w:tc>
          <w:tcPr>
            <w:tcW w:w="1640" w:type="dxa"/>
            <w:vAlign w:val="bottom"/>
            <w:gridSpan w:val="2"/>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60</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SAFE Registration Voucher</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11"/>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900" w:type="dxa"/>
            <w:vAlign w:val="bottom"/>
            <w:tcBorders>
              <w:right w:val="single" w:sz="8" w:color="auto"/>
            </w:tcBorders>
            <w:gridSpan w:val="21"/>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gridSpan w:val="13"/>
            <w:shd w:val="clear" w:color="auto" w:fill="000000"/>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r>
      <w:tr>
        <w:trPr>
          <w:trHeight w:val="237"/>
        </w:trPr>
        <w:tc>
          <w:tcPr>
            <w:tcW w:w="168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0"/>
                <w:szCs w:val="20"/>
                <w:color w:val="auto"/>
                <w:w w:val="98"/>
              </w:rPr>
              <w:t>Indemnifying Person</w:t>
            </w:r>
          </w:p>
        </w:tc>
        <w:tc>
          <w:tcPr>
            <w:tcW w:w="2200" w:type="dxa"/>
            <w:vAlign w:val="bottom"/>
            <w:gridSpan w:val="13"/>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60</w:t>
            </w:r>
          </w:p>
        </w:tc>
        <w:tc>
          <w:tcPr>
            <w:tcW w:w="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5"/>
              </w:rPr>
              <w:t>SAMR</w:t>
            </w:r>
          </w:p>
        </w:tc>
        <w:tc>
          <w:tcPr>
            <w:tcW w:w="3380" w:type="dxa"/>
            <w:vAlign w:val="bottom"/>
            <w:gridSpan w:val="29"/>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6"/>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Independent Accountant</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15</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Sanctioned Person</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7"/>
        </w:trPr>
        <w:tc>
          <w:tcPr>
            <w:tcW w:w="194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20"/>
                <w:szCs w:val="20"/>
                <w:color w:val="auto"/>
              </w:rPr>
              <w:t>Intellectual Property</w:t>
            </w:r>
          </w:p>
        </w:tc>
        <w:tc>
          <w:tcPr>
            <w:tcW w:w="1940" w:type="dxa"/>
            <w:vAlign w:val="bottom"/>
            <w:gridSpan w:val="10"/>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w:t>
            </w:r>
          </w:p>
        </w:tc>
        <w:tc>
          <w:tcPr>
            <w:tcW w:w="146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20"/>
                <w:szCs w:val="20"/>
                <w:color w:val="auto"/>
              </w:rPr>
              <w:t>Sanctions Laws</w:t>
            </w:r>
          </w:p>
        </w:tc>
        <w:tc>
          <w:tcPr>
            <w:tcW w:w="2480" w:type="dxa"/>
            <w:vAlign w:val="bottom"/>
            <w:gridSpan w:val="15"/>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11"/>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40" w:type="dxa"/>
            <w:vAlign w:val="bottom"/>
            <w:tcBorders>
              <w:right w:val="single" w:sz="8" w:color="auto"/>
            </w:tcBorders>
            <w:gridSpan w:val="20"/>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980" w:type="dxa"/>
            <w:vAlign w:val="bottom"/>
            <w:gridSpan w:val="21"/>
          </w:tcPr>
          <w:p>
            <w:pPr>
              <w:spacing w:after="0" w:line="20" w:lineRule="exact"/>
              <w:rPr>
                <w:sz w:val="1"/>
                <w:szCs w:val="1"/>
                <w:color w:val="auto"/>
              </w:rPr>
            </w:pPr>
          </w:p>
        </w:tc>
      </w:tr>
      <w:tr>
        <w:trPr>
          <w:trHeight w:val="237"/>
        </w:trPr>
        <w:tc>
          <w:tcPr>
            <w:tcW w:w="1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8"/>
              </w:rPr>
              <w:t>Interim Period</w:t>
            </w:r>
          </w:p>
        </w:tc>
        <w:tc>
          <w:tcPr>
            <w:tcW w:w="460" w:type="dxa"/>
            <w:vAlign w:val="bottom"/>
            <w:gridSpan w:val="8"/>
          </w:tcPr>
          <w:p>
            <w:pPr>
              <w:spacing w:after="0"/>
              <w:rPr>
                <w:sz w:val="20"/>
                <w:szCs w:val="20"/>
                <w:color w:val="auto"/>
              </w:rPr>
            </w:pPr>
          </w:p>
        </w:tc>
        <w:tc>
          <w:tcPr>
            <w:tcW w:w="2260" w:type="dxa"/>
            <w:vAlign w:val="bottom"/>
            <w:gridSpan w:val="16"/>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w:t>
            </w:r>
          </w:p>
        </w:tc>
        <w:tc>
          <w:tcPr>
            <w:tcW w:w="22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auto"/>
                <w:w w:val="97"/>
              </w:rPr>
              <w:t>Second Installment Payment</w:t>
            </w:r>
          </w:p>
        </w:tc>
        <w:tc>
          <w:tcPr>
            <w:tcW w:w="1680" w:type="dxa"/>
            <w:vAlign w:val="bottom"/>
            <w:gridSpan w:val="6"/>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7"/>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Knowledge of Purchaser</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Seller</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11"/>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40" w:type="dxa"/>
            <w:vAlign w:val="bottom"/>
            <w:tcBorders>
              <w:right w:val="single" w:sz="8" w:color="auto"/>
            </w:tcBorders>
            <w:gridSpan w:val="20"/>
            <w:shd w:val="clear" w:color="auto" w:fill="000000"/>
          </w:tcPr>
          <w:p>
            <w:pPr>
              <w:spacing w:after="0" w:line="20" w:lineRule="exact"/>
              <w:rPr>
                <w:sz w:val="1"/>
                <w:szCs w:val="1"/>
                <w:color w:val="auto"/>
              </w:rPr>
            </w:pPr>
          </w:p>
        </w:tc>
        <w:tc>
          <w:tcPr>
            <w:tcW w:w="4740" w:type="dxa"/>
            <w:vAlign w:val="bottom"/>
            <w:gridSpan w:val="31"/>
          </w:tcPr>
          <w:p>
            <w:pPr>
              <w:spacing w:after="0" w:line="20" w:lineRule="exact"/>
              <w:rPr>
                <w:sz w:val="1"/>
                <w:szCs w:val="1"/>
                <w:color w:val="auto"/>
              </w:rPr>
            </w:pPr>
          </w:p>
        </w:tc>
      </w:tr>
      <w:tr>
        <w:trPr>
          <w:trHeight w:val="236"/>
        </w:trPr>
        <w:tc>
          <w:tcPr>
            <w:tcW w:w="16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20"/>
                <w:szCs w:val="20"/>
                <w:color w:val="auto"/>
                <w:w w:val="99"/>
              </w:rPr>
              <w:t>Knowledge of Seller</w:t>
            </w:r>
          </w:p>
        </w:tc>
        <w:tc>
          <w:tcPr>
            <w:tcW w:w="300" w:type="dxa"/>
            <w:vAlign w:val="bottom"/>
            <w:gridSpan w:val="5"/>
          </w:tcPr>
          <w:p>
            <w:pPr>
              <w:spacing w:after="0"/>
              <w:rPr>
                <w:sz w:val="20"/>
                <w:szCs w:val="20"/>
                <w:color w:val="auto"/>
              </w:rPr>
            </w:pPr>
          </w:p>
        </w:tc>
        <w:tc>
          <w:tcPr>
            <w:tcW w:w="1920" w:type="dxa"/>
            <w:vAlign w:val="bottom"/>
            <w:gridSpan w:val="9"/>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220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20"/>
                <w:szCs w:val="20"/>
                <w:color w:val="auto"/>
                <w:w w:val="99"/>
              </w:rPr>
              <w:t>Seller Controller Inventory</w:t>
            </w:r>
          </w:p>
        </w:tc>
        <w:tc>
          <w:tcPr>
            <w:tcW w:w="1740" w:type="dxa"/>
            <w:vAlign w:val="bottom"/>
            <w:gridSpan w:val="7"/>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7"/>
        </w:trPr>
        <w:tc>
          <w:tcPr>
            <w:tcW w:w="15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w w:val="96"/>
              </w:rPr>
              <w:t>Labor Organization</w:t>
            </w:r>
          </w:p>
        </w:tc>
        <w:tc>
          <w:tcPr>
            <w:tcW w:w="2320" w:type="dxa"/>
            <w:vAlign w:val="bottom"/>
            <w:gridSpan w:val="17"/>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190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20"/>
                <w:szCs w:val="20"/>
                <w:color w:val="auto"/>
                <w:w w:val="98"/>
              </w:rPr>
              <w:t>Seller Disclosure Letter</w:t>
            </w:r>
          </w:p>
        </w:tc>
        <w:tc>
          <w:tcPr>
            <w:tcW w:w="2040" w:type="dxa"/>
            <w:vAlign w:val="bottom"/>
            <w:gridSpan w:val="9"/>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5"/>
              </w:rPr>
              <w:t>Law</w:t>
            </w:r>
          </w:p>
        </w:tc>
        <w:tc>
          <w:tcPr>
            <w:tcW w:w="3520" w:type="dxa"/>
            <w:vAlign w:val="bottom"/>
            <w:gridSpan w:val="31"/>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286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20"/>
                <w:szCs w:val="20"/>
                <w:color w:val="auto"/>
                <w:w w:val="98"/>
              </w:rPr>
              <w:t>Seller Fundamental Representations</w:t>
            </w:r>
          </w:p>
        </w:tc>
        <w:tc>
          <w:tcPr>
            <w:tcW w:w="10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7"/>
        </w:trPr>
        <w:tc>
          <w:tcPr>
            <w:tcW w:w="15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w w:val="97"/>
              </w:rPr>
              <w:t>Letter of Guarantee</w:t>
            </w:r>
          </w:p>
        </w:tc>
        <w:tc>
          <w:tcPr>
            <w:tcW w:w="2320" w:type="dxa"/>
            <w:vAlign w:val="bottom"/>
            <w:gridSpan w:val="17"/>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242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20"/>
                <w:szCs w:val="20"/>
                <w:color w:val="auto"/>
                <w:w w:val="97"/>
              </w:rPr>
              <w:t>Seller Material Adverse Effect</w:t>
            </w:r>
          </w:p>
        </w:tc>
        <w:tc>
          <w:tcPr>
            <w:tcW w:w="1520" w:type="dxa"/>
            <w:vAlign w:val="bottom"/>
            <w:gridSpan w:val="5"/>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7"/>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Lien</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Seller Releasee</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0"/>
        </w:trPr>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1200" w:type="dxa"/>
            <w:vAlign w:val="bottom"/>
            <w:gridSpan w:val="10"/>
          </w:tcPr>
          <w:p>
            <w:pPr>
              <w:spacing w:after="0"/>
              <w:rPr>
                <w:sz w:val="20"/>
                <w:szCs w:val="20"/>
                <w:color w:val="auto"/>
              </w:rPr>
            </w:pPr>
            <w:r>
              <w:rPr>
                <w:rFonts w:ascii="Times New Roman" w:cs="Times New Roman" w:eastAsia="Times New Roman" w:hAnsi="Times New Roman"/>
                <w:sz w:val="20"/>
                <w:szCs w:val="20"/>
                <w:color w:val="auto"/>
                <w:w w:val="99"/>
              </w:rPr>
              <w:t>Longstop Date</w:t>
            </w:r>
          </w:p>
        </w:tc>
        <w:tc>
          <w:tcPr>
            <w:tcW w:w="2680" w:type="dxa"/>
            <w:vAlign w:val="bottom"/>
            <w:gridSpan w:val="22"/>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54</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Seller Termination Fee</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7"/>
        </w:trPr>
        <w:tc>
          <w:tcPr>
            <w:tcW w:w="5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9"/>
              </w:rPr>
              <w:t>Losses</w:t>
            </w:r>
          </w:p>
        </w:tc>
        <w:tc>
          <w:tcPr>
            <w:tcW w:w="640" w:type="dxa"/>
            <w:vAlign w:val="bottom"/>
            <w:tcBorders>
              <w:top w:val="single" w:sz="8" w:color="auto"/>
            </w:tcBorders>
            <w:gridSpan w:val="5"/>
          </w:tcPr>
          <w:p>
            <w:pPr>
              <w:spacing w:after="0"/>
              <w:rPr>
                <w:sz w:val="20"/>
                <w:szCs w:val="20"/>
                <w:color w:val="auto"/>
              </w:rPr>
            </w:pPr>
          </w:p>
        </w:tc>
        <w:tc>
          <w:tcPr>
            <w:tcW w:w="2680" w:type="dxa"/>
            <w:vAlign w:val="bottom"/>
            <w:gridSpan w:val="22"/>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132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w w:val="97"/>
              </w:rPr>
              <w:t>Seller’s Account</w:t>
            </w:r>
          </w:p>
        </w:tc>
        <w:tc>
          <w:tcPr>
            <w:tcW w:w="480" w:type="dxa"/>
            <w:vAlign w:val="bottom"/>
            <w:tcBorders>
              <w:top w:val="single" w:sz="8" w:color="auto"/>
            </w:tcBorders>
            <w:gridSpan w:val="7"/>
          </w:tcPr>
          <w:p>
            <w:pPr>
              <w:spacing w:after="0"/>
              <w:rPr>
                <w:sz w:val="20"/>
                <w:szCs w:val="20"/>
                <w:color w:val="auto"/>
              </w:rPr>
            </w:pPr>
          </w:p>
        </w:tc>
        <w:tc>
          <w:tcPr>
            <w:tcW w:w="2140" w:type="dxa"/>
            <w:vAlign w:val="bottom"/>
            <w:gridSpan w:val="11"/>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7"/>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Major Suppliers</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29</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Shareholders Agreement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Major Supply Agreements</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29</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SOFR</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12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8"/>
              </w:rPr>
              <w:t>Offshore Plans</w:t>
            </w:r>
          </w:p>
        </w:tc>
        <w:tc>
          <w:tcPr>
            <w:tcW w:w="900" w:type="dxa"/>
            <w:vAlign w:val="bottom"/>
            <w:gridSpan w:val="16"/>
          </w:tcPr>
          <w:p>
            <w:pPr>
              <w:spacing w:after="0"/>
              <w:rPr>
                <w:sz w:val="20"/>
                <w:szCs w:val="20"/>
                <w:color w:val="auto"/>
              </w:rPr>
            </w:pPr>
          </w:p>
        </w:tc>
        <w:tc>
          <w:tcPr>
            <w:tcW w:w="1780" w:type="dxa"/>
            <w:vAlign w:val="bottom"/>
            <w:gridSpan w:val="6"/>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6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4"/>
              </w:rPr>
              <w:t>Solvent</w:t>
            </w:r>
          </w:p>
        </w:tc>
        <w:tc>
          <w:tcPr>
            <w:tcW w:w="3340" w:type="dxa"/>
            <w:vAlign w:val="bottom"/>
            <w:gridSpan w:val="28"/>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7"/>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Order</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Statement Date</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Organizational Documents</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Straddle Period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7"/>
        </w:trPr>
        <w:tc>
          <w:tcPr>
            <w:tcW w:w="1620" w:type="dxa"/>
            <w:vAlign w:val="bottom"/>
            <w:tcBorders>
              <w:top w:val="single" w:sz="8" w:color="auto"/>
              <w:bottom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w w:val="98"/>
              </w:rPr>
              <w:t>Original Agreement</w:t>
            </w:r>
          </w:p>
        </w:tc>
        <w:tc>
          <w:tcPr>
            <w:tcW w:w="500" w:type="dxa"/>
            <w:vAlign w:val="bottom"/>
            <w:tcBorders>
              <w:top w:val="single" w:sz="8" w:color="auto"/>
            </w:tcBorders>
            <w:gridSpan w:val="11"/>
          </w:tcPr>
          <w:p>
            <w:pPr>
              <w:spacing w:after="0"/>
              <w:rPr>
                <w:sz w:val="20"/>
                <w:szCs w:val="20"/>
                <w:color w:val="auto"/>
              </w:rPr>
            </w:pPr>
          </w:p>
        </w:tc>
        <w:tc>
          <w:tcPr>
            <w:tcW w:w="1760" w:type="dxa"/>
            <w:vAlign w:val="bottom"/>
            <w:gridSpan w:val="5"/>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84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5"/>
              </w:rPr>
              <w:t>Subsidiary</w:t>
            </w:r>
          </w:p>
        </w:tc>
        <w:tc>
          <w:tcPr>
            <w:tcW w:w="400" w:type="dxa"/>
            <w:vAlign w:val="bottom"/>
            <w:tcBorders>
              <w:top w:val="single" w:sz="8" w:color="auto"/>
            </w:tcBorders>
            <w:gridSpan w:val="5"/>
          </w:tcPr>
          <w:p>
            <w:pPr>
              <w:spacing w:after="0"/>
              <w:rPr>
                <w:sz w:val="20"/>
                <w:szCs w:val="20"/>
                <w:color w:val="auto"/>
              </w:rPr>
            </w:pPr>
          </w:p>
        </w:tc>
        <w:tc>
          <w:tcPr>
            <w:tcW w:w="2700" w:type="dxa"/>
            <w:vAlign w:val="bottom"/>
            <w:gridSpan w:val="20"/>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6"/>
        </w:trPr>
        <w:tc>
          <w:tcPr>
            <w:tcW w:w="1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w w:val="97"/>
              </w:rPr>
              <w:t>Partial Transition</w:t>
            </w:r>
          </w:p>
        </w:tc>
        <w:tc>
          <w:tcPr>
            <w:tcW w:w="2500" w:type="dxa"/>
            <w:vAlign w:val="bottom"/>
            <w:gridSpan w:val="20"/>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50</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Supply Agreement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Parties</w:t>
            </w:r>
          </w:p>
        </w:tc>
        <w:tc>
          <w:tcPr>
            <w:tcW w:w="2500" w:type="dxa"/>
            <w:vAlign w:val="bottom"/>
            <w:gridSpan w:val="20"/>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Target Working Capital Amount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6"/>
        </w:trPr>
        <w:tc>
          <w:tcPr>
            <w:tcW w:w="5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Party</w:t>
            </w:r>
          </w:p>
        </w:tc>
        <w:tc>
          <w:tcPr>
            <w:tcW w:w="3340" w:type="dxa"/>
            <w:vAlign w:val="bottom"/>
            <w:gridSpan w:val="28"/>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2540" w:type="dxa"/>
            <w:vAlign w:val="bottom"/>
            <w:tcBorders>
              <w:top w:val="single" w:sz="8" w:color="auto"/>
            </w:tcBorders>
            <w:gridSpan w:val="30"/>
          </w:tcPr>
          <w:p>
            <w:pPr>
              <w:spacing w:after="0"/>
              <w:rPr>
                <w:sz w:val="20"/>
                <w:szCs w:val="20"/>
                <w:color w:val="auto"/>
              </w:rPr>
            </w:pPr>
            <w:r>
              <w:rPr>
                <w:rFonts w:ascii="Times New Roman" w:cs="Times New Roman" w:eastAsia="Times New Roman" w:hAnsi="Times New Roman"/>
                <w:sz w:val="20"/>
                <w:szCs w:val="20"/>
                <w:color w:val="auto"/>
              </w:rPr>
              <w:t>Tax Claim</w:t>
            </w:r>
          </w:p>
        </w:tc>
        <w:tc>
          <w:tcPr>
            <w:tcW w:w="1400" w:type="dxa"/>
            <w:vAlign w:val="bottom"/>
            <w:gridSpan w:val="3"/>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w w:val="98"/>
              </w:rPr>
              <w:t>Permits</w:t>
            </w:r>
          </w:p>
        </w:tc>
        <w:tc>
          <w:tcPr>
            <w:tcW w:w="3260" w:type="dxa"/>
            <w:vAlign w:val="bottom"/>
            <w:gridSpan w:val="26"/>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29</w:t>
            </w:r>
          </w:p>
        </w:tc>
        <w:tc>
          <w:tcPr>
            <w:tcW w:w="8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w w:val="94"/>
              </w:rPr>
              <w:t>Tax Return</w:t>
            </w:r>
          </w:p>
        </w:tc>
        <w:tc>
          <w:tcPr>
            <w:tcW w:w="3060" w:type="dxa"/>
            <w:vAlign w:val="bottom"/>
            <w:gridSpan w:val="24"/>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6"/>
        </w:trPr>
        <w:tc>
          <w:tcPr>
            <w:tcW w:w="12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8"/>
              </w:rPr>
              <w:t>Permitted Lien</w:t>
            </w:r>
          </w:p>
        </w:tc>
        <w:tc>
          <w:tcPr>
            <w:tcW w:w="2680" w:type="dxa"/>
            <w:vAlign w:val="bottom"/>
            <w:gridSpan w:val="22"/>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2"/>
              </w:rPr>
              <w:t>Taxes</w:t>
            </w:r>
          </w:p>
        </w:tc>
        <w:tc>
          <w:tcPr>
            <w:tcW w:w="3460" w:type="dxa"/>
            <w:vAlign w:val="bottom"/>
            <w:gridSpan w:val="30"/>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7"/>
        </w:trPr>
        <w:tc>
          <w:tcPr>
            <w:tcW w:w="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9"/>
              </w:rPr>
              <w:t>Person</w:t>
            </w:r>
          </w:p>
        </w:tc>
        <w:tc>
          <w:tcPr>
            <w:tcW w:w="3320" w:type="dxa"/>
            <w:vAlign w:val="bottom"/>
            <w:gridSpan w:val="27"/>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13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w w:val="96"/>
              </w:rPr>
              <w:t>Taxing Authority</w:t>
            </w:r>
          </w:p>
        </w:tc>
        <w:tc>
          <w:tcPr>
            <w:tcW w:w="2580" w:type="dxa"/>
            <w:vAlign w:val="bottom"/>
            <w:gridSpan w:val="17"/>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6"/>
        </w:trPr>
        <w:tc>
          <w:tcPr>
            <w:tcW w:w="200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20"/>
                <w:szCs w:val="20"/>
                <w:color w:val="auto"/>
                <w:w w:val="98"/>
              </w:rPr>
              <w:t>Post-Closing Bonus Plan</w:t>
            </w:r>
          </w:p>
        </w:tc>
        <w:tc>
          <w:tcPr>
            <w:tcW w:w="1880" w:type="dxa"/>
            <w:vAlign w:val="bottom"/>
            <w:gridSpan w:val="7"/>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42</w:t>
            </w:r>
          </w:p>
        </w:tc>
        <w:tc>
          <w:tcPr>
            <w:tcW w:w="13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20"/>
                <w:szCs w:val="20"/>
                <w:color w:val="auto"/>
                <w:w w:val="96"/>
              </w:rPr>
              <w:t>Termination Fee</w:t>
            </w:r>
          </w:p>
        </w:tc>
        <w:tc>
          <w:tcPr>
            <w:tcW w:w="2640" w:type="dxa"/>
            <w:vAlign w:val="bottom"/>
            <w:gridSpan w:val="19"/>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89"/>
              </w:rPr>
              <w:t>PRC</w:t>
            </w:r>
          </w:p>
        </w:tc>
        <w:tc>
          <w:tcPr>
            <w:tcW w:w="3500" w:type="dxa"/>
            <w:vAlign w:val="bottom"/>
            <w:gridSpan w:val="30"/>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Third-Party Claim</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210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20"/>
                <w:szCs w:val="20"/>
                <w:color w:val="auto"/>
                <w:w w:val="98"/>
              </w:rPr>
              <w:t>PRC Anti-Monopoly Law</w:t>
            </w:r>
          </w:p>
        </w:tc>
        <w:tc>
          <w:tcPr>
            <w:tcW w:w="1780" w:type="dxa"/>
            <w:vAlign w:val="bottom"/>
            <w:gridSpan w:val="6"/>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188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w w:val="97"/>
              </w:rPr>
              <w:t>Transaction Deductions</w:t>
            </w:r>
          </w:p>
        </w:tc>
        <w:tc>
          <w:tcPr>
            <w:tcW w:w="2060" w:type="dxa"/>
            <w:vAlign w:val="bottom"/>
            <w:gridSpan w:val="10"/>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7"/>
        </w:trPr>
        <w:tc>
          <w:tcPr>
            <w:tcW w:w="1980" w:type="dxa"/>
            <w:vAlign w:val="bottom"/>
            <w:gridSpan w:val="24"/>
          </w:tcPr>
          <w:p>
            <w:pPr>
              <w:spacing w:after="0"/>
              <w:rPr>
                <w:sz w:val="20"/>
                <w:szCs w:val="20"/>
                <w:color w:val="auto"/>
              </w:rPr>
            </w:pPr>
            <w:r>
              <w:rPr>
                <w:rFonts w:ascii="Times New Roman" w:cs="Times New Roman" w:eastAsia="Times New Roman" w:hAnsi="Times New Roman"/>
                <w:sz w:val="20"/>
                <w:szCs w:val="20"/>
                <w:color w:val="auto"/>
                <w:w w:val="98"/>
              </w:rPr>
              <w:t>PRC Antitrust Clearance</w:t>
            </w:r>
          </w:p>
        </w:tc>
        <w:tc>
          <w:tcPr>
            <w:tcW w:w="1900" w:type="dxa"/>
            <w:vAlign w:val="bottom"/>
            <w:gridSpan w:val="8"/>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Transfer Taxes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0"/>
        </w:trPr>
        <w:tc>
          <w:tcPr>
            <w:tcW w:w="780" w:type="dxa"/>
            <w:vAlign w:val="bottom"/>
            <w:gridSpan w:val="7"/>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9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PRC Withholding Tax</w:t>
            </w:r>
          </w:p>
        </w:tc>
        <w:tc>
          <w:tcPr>
            <w:tcW w:w="1900" w:type="dxa"/>
            <w:vAlign w:val="bottom"/>
            <w:gridSpan w:val="8"/>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Transition of Controller Suppliers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0"/>
        </w:trPr>
        <w:tc>
          <w:tcPr>
            <w:tcW w:w="780" w:type="dxa"/>
            <w:vAlign w:val="bottom"/>
            <w:gridSpan w:val="7"/>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8"/>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Pre-Closing Tax Period</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Transition Services Agreement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7"/>
        </w:trPr>
        <w:tc>
          <w:tcPr>
            <w:tcW w:w="11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w w:val="98"/>
              </w:rPr>
              <w:t>Purchase Price</w:t>
            </w:r>
          </w:p>
        </w:tc>
        <w:tc>
          <w:tcPr>
            <w:tcW w:w="680" w:type="dxa"/>
            <w:vAlign w:val="bottom"/>
            <w:tcBorders>
              <w:top w:val="single" w:sz="8" w:color="auto"/>
            </w:tcBorders>
            <w:gridSpan w:val="12"/>
          </w:tcPr>
          <w:p>
            <w:pPr>
              <w:spacing w:after="0"/>
              <w:rPr>
                <w:sz w:val="20"/>
                <w:szCs w:val="20"/>
                <w:color w:val="auto"/>
              </w:rPr>
            </w:pPr>
          </w:p>
        </w:tc>
        <w:tc>
          <w:tcPr>
            <w:tcW w:w="2020" w:type="dxa"/>
            <w:vAlign w:val="bottom"/>
            <w:gridSpan w:val="11"/>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12</w:t>
            </w:r>
          </w:p>
        </w:tc>
        <w:tc>
          <w:tcPr>
            <w:tcW w:w="2440" w:type="dxa"/>
            <w:vAlign w:val="bottom"/>
            <w:tcBorders>
              <w:top w:val="single" w:sz="8" w:color="auto"/>
            </w:tcBorders>
            <w:gridSpan w:val="29"/>
          </w:tcPr>
          <w:p>
            <w:pPr>
              <w:spacing w:after="0"/>
              <w:rPr>
                <w:sz w:val="20"/>
                <w:szCs w:val="20"/>
                <w:color w:val="auto"/>
              </w:rPr>
            </w:pPr>
            <w:r>
              <w:rPr>
                <w:rFonts w:ascii="Times New Roman" w:cs="Times New Roman" w:eastAsia="Times New Roman" w:hAnsi="Times New Roman"/>
                <w:sz w:val="20"/>
                <w:szCs w:val="20"/>
                <w:color w:val="auto"/>
              </w:rPr>
              <w:t>U.S.</w:t>
            </w:r>
          </w:p>
        </w:tc>
        <w:tc>
          <w:tcPr>
            <w:tcW w:w="1500" w:type="dxa"/>
            <w:vAlign w:val="bottom"/>
            <w:gridSpan w:val="4"/>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780" w:type="dxa"/>
            <w:vAlign w:val="bottom"/>
            <w:gridSpan w:val="7"/>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Purchased Interest</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12</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U.S. Dollar</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780" w:type="dxa"/>
            <w:vAlign w:val="bottom"/>
            <w:gridSpan w:val="7"/>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80" w:type="dxa"/>
            <w:vAlign w:val="bottom"/>
            <w:gridSpan w:val="8"/>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4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Purchaser</w:t>
            </w:r>
          </w:p>
        </w:tc>
        <w:tc>
          <w:tcPr>
            <w:tcW w:w="2480" w:type="dxa"/>
            <w:vAlign w:val="bottom"/>
            <w:gridSpan w:val="19"/>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1</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780" w:type="dxa"/>
            <w:vAlign w:val="bottom"/>
            <w:gridSpan w:val="7"/>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1640" w:type="dxa"/>
            <w:vAlign w:val="bottom"/>
            <w:gridSpan w:val="17"/>
          </w:tcPr>
          <w:p>
            <w:pPr>
              <w:spacing w:after="0"/>
              <w:rPr>
                <w:sz w:val="20"/>
                <w:szCs w:val="20"/>
                <w:color w:val="auto"/>
              </w:rPr>
            </w:pPr>
            <w:r>
              <w:rPr>
                <w:rFonts w:ascii="Times New Roman" w:cs="Times New Roman" w:eastAsia="Times New Roman" w:hAnsi="Times New Roman"/>
                <w:sz w:val="20"/>
                <w:szCs w:val="20"/>
                <w:color w:val="auto"/>
                <w:w w:val="98"/>
              </w:rPr>
              <w:t>Purchaser Guarantor</w:t>
            </w:r>
          </w:p>
        </w:tc>
        <w:tc>
          <w:tcPr>
            <w:tcW w:w="2240" w:type="dxa"/>
            <w:vAlign w:val="bottom"/>
            <w:gridSpan w:val="15"/>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Unvested WDC RSU</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0"/>
        </w:trPr>
        <w:tc>
          <w:tcPr>
            <w:tcW w:w="1180" w:type="dxa"/>
            <w:vAlign w:val="bottom"/>
            <w:gridSpan w:val="9"/>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80" w:type="dxa"/>
            <w:vAlign w:val="bottom"/>
            <w:gridSpan w:val="8"/>
            <w:shd w:val="clear" w:color="auto" w:fill="000000"/>
          </w:tcPr>
          <w:p>
            <w:pPr>
              <w:spacing w:after="0" w:line="20" w:lineRule="exact"/>
              <w:rPr>
                <w:sz w:val="1"/>
                <w:szCs w:val="1"/>
                <w:color w:val="auto"/>
              </w:rPr>
            </w:pPr>
          </w:p>
        </w:tc>
        <w:tc>
          <w:tcPr>
            <w:tcW w:w="640" w:type="dxa"/>
            <w:vAlign w:val="bottom"/>
            <w:tcBorders>
              <w:left w:val="single" w:sz="8" w:color="auto"/>
            </w:tcBorders>
            <w:gridSpan w:val="10"/>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38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Purchaser Material Adverse Effect</w:t>
            </w: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9</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1180" w:type="dxa"/>
            <w:vAlign w:val="bottom"/>
            <w:gridSpan w:val="9"/>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1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274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Purchaser Releasor</w:t>
            </w:r>
          </w:p>
        </w:tc>
        <w:tc>
          <w:tcPr>
            <w:tcW w:w="1140" w:type="dxa"/>
            <w:vAlign w:val="bottom"/>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64</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VDR</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1180" w:type="dxa"/>
            <w:vAlign w:val="bottom"/>
            <w:gridSpan w:val="9"/>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2160" w:type="dxa"/>
            <w:vAlign w:val="bottom"/>
            <w:gridSpan w:val="29"/>
          </w:tcPr>
          <w:p>
            <w:pPr>
              <w:spacing w:after="0"/>
              <w:rPr>
                <w:sz w:val="20"/>
                <w:szCs w:val="20"/>
                <w:color w:val="auto"/>
              </w:rPr>
            </w:pPr>
            <w:r>
              <w:rPr>
                <w:rFonts w:ascii="Times New Roman" w:cs="Times New Roman" w:eastAsia="Times New Roman" w:hAnsi="Times New Roman"/>
                <w:sz w:val="20"/>
                <w:szCs w:val="20"/>
                <w:color w:val="auto"/>
                <w:w w:val="98"/>
              </w:rPr>
              <w:t>Purchaser Termination Fee</w:t>
            </w:r>
          </w:p>
        </w:tc>
        <w:tc>
          <w:tcPr>
            <w:tcW w:w="1720" w:type="dxa"/>
            <w:vAlign w:val="bottom"/>
            <w:gridSpan w:val="3"/>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57</w:t>
            </w:r>
          </w:p>
        </w:tc>
        <w:tc>
          <w:tcPr>
            <w:tcW w:w="394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Vested WDC RSUs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6"/>
        </w:trPr>
        <w:tc>
          <w:tcPr>
            <w:tcW w:w="140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w w:val="95"/>
              </w:rPr>
              <w:t>Registration ETA</w:t>
            </w:r>
          </w:p>
        </w:tc>
        <w:tc>
          <w:tcPr>
            <w:tcW w:w="760" w:type="dxa"/>
            <w:vAlign w:val="bottom"/>
            <w:tcBorders>
              <w:top w:val="single" w:sz="8" w:color="auto"/>
            </w:tcBorders>
            <w:gridSpan w:val="16"/>
          </w:tcPr>
          <w:p>
            <w:pPr>
              <w:spacing w:after="0"/>
              <w:rPr>
                <w:sz w:val="20"/>
                <w:szCs w:val="20"/>
                <w:color w:val="auto"/>
              </w:rPr>
            </w:pPr>
          </w:p>
        </w:tc>
        <w:tc>
          <w:tcPr>
            <w:tcW w:w="1720" w:type="dxa"/>
            <w:vAlign w:val="bottom"/>
            <w:gridSpan w:val="3"/>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70</w:t>
            </w:r>
          </w:p>
        </w:tc>
        <w:tc>
          <w:tcPr>
            <w:tcW w:w="154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20"/>
                <w:szCs w:val="20"/>
                <w:color w:val="auto"/>
              </w:rPr>
              <w:t>WDC RSUs</w:t>
            </w:r>
          </w:p>
        </w:tc>
        <w:tc>
          <w:tcPr>
            <w:tcW w:w="2400" w:type="dxa"/>
            <w:vAlign w:val="bottom"/>
            <w:gridSpan w:val="13"/>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0"/>
        </w:trPr>
        <w:tc>
          <w:tcPr>
            <w:tcW w:w="1180" w:type="dxa"/>
            <w:vAlign w:val="bottom"/>
            <w:gridSpan w:val="9"/>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214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20"/>
                <w:szCs w:val="20"/>
                <w:color w:val="auto"/>
                <w:w w:val="97"/>
              </w:rPr>
              <w:t>Replacement Cash Awards</w:t>
            </w:r>
          </w:p>
        </w:tc>
        <w:tc>
          <w:tcPr>
            <w:tcW w:w="1740" w:type="dxa"/>
            <w:vAlign w:val="bottom"/>
            <w:gridSpan w:val="4"/>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42</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12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9"/>
              </w:rPr>
              <w:t>Representative</w:t>
            </w:r>
          </w:p>
        </w:tc>
        <w:tc>
          <w:tcPr>
            <w:tcW w:w="2680" w:type="dxa"/>
            <w:vAlign w:val="bottom"/>
            <w:gridSpan w:val="22"/>
          </w:tcPr>
          <w:p>
            <w:pPr>
              <w:spacing w:after="0"/>
              <w:rPr>
                <w:sz w:val="20"/>
                <w:szCs w:val="20"/>
                <w:color w:val="auto"/>
              </w:rPr>
            </w:pPr>
          </w:p>
        </w:tc>
        <w:tc>
          <w:tcPr>
            <w:tcW w:w="2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1200"/>
          </w:cols>
          <w:pgMar w:left="340" w:top="1440" w:right="35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EQUITY PURCHASE AGREEMENT</w:t>
      </w:r>
    </w:p>
    <w:p>
      <w:pPr>
        <w:spacing w:after="0" w:line="224" w:lineRule="exact"/>
        <w:rPr>
          <w:sz w:val="20"/>
          <w:szCs w:val="20"/>
          <w:color w:val="auto"/>
        </w:rPr>
      </w:pPr>
    </w:p>
    <w:p>
      <w:pPr>
        <w:jc w:val="both"/>
        <w:ind w:firstLine="648"/>
        <w:spacing w:after="0" w:line="266" w:lineRule="exact"/>
        <w:rPr>
          <w:sz w:val="20"/>
          <w:szCs w:val="20"/>
          <w:color w:val="auto"/>
        </w:rPr>
      </w:pPr>
      <w:r>
        <w:rPr>
          <w:rFonts w:ascii="Times New Roman" w:cs="Times New Roman" w:eastAsia="Times New Roman" w:hAnsi="Times New Roman"/>
          <w:sz w:val="21"/>
          <w:szCs w:val="21"/>
          <w:color w:val="auto"/>
        </w:rPr>
        <w:t>THIS AMENDED AND RESTATED EQUITY PURCHASE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September 12, 2024, is entered into by and between SanDisk China Limited, a company organized under the Laws of the Republic of Ireland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and JCET Management Co., Ltd. (</w:t>
      </w:r>
      <w:r>
        <w:rPr>
          <w:rFonts w:ascii="SimSun" w:cs="SimSun" w:eastAsia="SimSun" w:hAnsi="SimSun"/>
          <w:sz w:val="21"/>
          <w:szCs w:val="21"/>
          <w:color w:val="auto"/>
        </w:rPr>
        <w:t>长电科技管理有限公司</w:t>
      </w:r>
      <w:r>
        <w:rPr>
          <w:rFonts w:ascii="Times New Roman" w:cs="Times New Roman" w:eastAsia="Times New Roman" w:hAnsi="Times New Roman"/>
          <w:sz w:val="21"/>
          <w:szCs w:val="21"/>
          <w:color w:val="auto"/>
        </w:rPr>
        <w:t>), a limited liability company established under the Laws of the PRC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Seller and Purchaser may each be referred to herein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69" w:lineRule="exact"/>
        <w:rPr>
          <w:sz w:val="20"/>
          <w:szCs w:val="20"/>
          <w:color w:val="auto"/>
        </w:rPr>
      </w:pPr>
      <w:r>
        <w:rPr>
          <w:rFonts w:ascii="Times New Roman" w:cs="Times New Roman" w:eastAsia="Times New Roman" w:hAnsi="Times New Roman"/>
          <w:sz w:val="22"/>
          <w:szCs w:val="22"/>
          <w:color w:val="auto"/>
        </w:rPr>
        <w:t>WHEREAS, SanDisk Semiconductor (Shanghai) Co. Ltd. (</w:t>
      </w:r>
      <w:r>
        <w:rPr>
          <w:rFonts w:ascii="SimSun" w:cs="SimSun" w:eastAsia="SimSun" w:hAnsi="SimSun"/>
          <w:sz w:val="22"/>
          <w:szCs w:val="22"/>
          <w:color w:val="auto"/>
        </w:rPr>
        <w:t>晟碟半导体（上海）有限公司</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a limited liability company established under the Laws of the PRC;</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Seller owns 100% of all rights and interests in the registered capital of the Company;</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upon the terms and subject to the conditions set forth herein, Seller desires to sell and assign to Purchaser, and Purchaser desires to purchase and assume from Seller, 80% equity interest in the Company;</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entered into that certain Equity Purchase Agreement, dated as of March 4, 2024 (the “</w:t>
      </w:r>
      <w:r>
        <w:rPr>
          <w:rFonts w:ascii="Times New Roman" w:cs="Times New Roman" w:eastAsia="Times New Roman" w:hAnsi="Times New Roman"/>
          <w:sz w:val="22"/>
          <w:szCs w:val="22"/>
          <w:u w:val="single" w:color="auto"/>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with respect to the transactions referenced in the foregoing recital; and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Parties desire to enter into this Agreement to amend and restate the Original Agreement in its entirety, in accordance with the terms and conditions of the Original Agreement (including without limitation, Section 9.4 thereof), with effect from the execution and delivery of the Original Agreement.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contained in this Agreement and for good and valuable consideration, the receipt and sufficiency of which the parties hereby acknowledge, and intending to be legally bound hereby, the parties hereto agree as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9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When used in this Agreement, the following terms shall have the respective meanings set forth below:</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means the accounting principles generally accepted in the PRC consistently applied in accordance with the Company’s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77" w:name="page78"/>
    <w:bookmarkEnd w:id="7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charge, claim, action, complaint, petition, investigation, appeal, suit, arbitration, litigation, grievance, inquiry or other proceeding, whether administrative, civil, regulatory or criminal, whether at law or in equity, or otherwise under any applicable Law, and whether or not before any mediator, arbitrator or Governmental Authority.</w:t>
      </w:r>
    </w:p>
    <w:p>
      <w:pPr>
        <w:spacing w:after="0" w:line="18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Net Debt Amount</w:t>
      </w:r>
      <w:r>
        <w:rPr>
          <w:rFonts w:ascii="Times New Roman" w:cs="Times New Roman" w:eastAsia="Times New Roman" w:hAnsi="Times New Roman"/>
          <w:sz w:val="22"/>
          <w:szCs w:val="22"/>
          <w:color w:val="auto"/>
        </w:rPr>
        <w:t xml:space="preserve">” means the amount equal to (a) Closing Debt,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Closing Cash. For the avoidance of doubt, the Actual Net Debt Amount may be a negative number.</w:t>
      </w:r>
    </w:p>
    <w:p>
      <w:pPr>
        <w:spacing w:after="0" w:line="15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Actual Working Capital Amount</w:t>
      </w:r>
      <w:r>
        <w:rPr>
          <w:rFonts w:ascii="Times New Roman" w:cs="Times New Roman" w:eastAsia="Times New Roman" w:hAnsi="Times New Roman"/>
          <w:sz w:val="21"/>
          <w:szCs w:val="21"/>
          <w:color w:val="auto"/>
        </w:rPr>
        <w:t xml:space="preserve">” means as of 12:01 a.m. Beijing time on the Closing Date, (a) the current assets of the Company as of such time (excluding Closing Cash),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current liabilities of the Company as of such time (excluding Closing Debt), in each case, calculated in accordance with the Accounting Principles on a basis consistent with the illustrative sample calculation set forth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attached hereto. For purposes of the calculation of Actual Working Capital Amount,</w:t>
      </w:r>
    </w:p>
    <w:p>
      <w:pPr>
        <w:spacing w:after="0" w:line="1" w:lineRule="exact"/>
        <w:rPr>
          <w:sz w:val="20"/>
          <w:szCs w:val="20"/>
          <w:color w:val="auto"/>
        </w:rPr>
      </w:pPr>
    </w:p>
    <w:p>
      <w:pPr>
        <w:jc w:val="both"/>
        <w:ind w:firstLine="8"/>
        <w:spacing w:after="0" w:line="244" w:lineRule="auto"/>
        <w:tabs>
          <w:tab w:leader="none" w:pos="27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current assets shall include all current Tax assets allocable to the Taxable period that is deemed to end on the Closing Date pursuant to, and in accordance with,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 xml:space="preserve"> and shall expressly exclude all deferred Tax assets; and (ii) current liabilities shall expressly exclude: (w) Indebtedness; (x) Company Transaction Expenses; (y) all deferred Tax liabilities; and (z) all current Tax liabilities not allocable to the Taxable period that is deemed to end on the Closing Date (or any earlier Taxable period) pursuant to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Working Capital Adjustment Amount</w:t>
      </w:r>
      <w:r>
        <w:rPr>
          <w:rFonts w:ascii="Times New Roman" w:cs="Times New Roman" w:eastAsia="Times New Roman" w:hAnsi="Times New Roman"/>
          <w:sz w:val="22"/>
          <w:szCs w:val="22"/>
          <w:color w:val="auto"/>
        </w:rPr>
        <w:t xml:space="preserve">” means the amount equal to (a) the Actual Working Capital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Target Working Capital Amount. For the avoidance of doubt, the Actual Working Capital Adjustment Amount may be a negative number.</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 Proposal</w:t>
      </w:r>
      <w:r>
        <w:rPr>
          <w:rFonts w:ascii="Times New Roman" w:cs="Times New Roman" w:eastAsia="Times New Roman" w:hAnsi="Times New Roman"/>
          <w:sz w:val="21"/>
          <w:szCs w:val="21"/>
          <w:color w:val="auto"/>
        </w:rPr>
        <w:t>” means any agreement, offer, proposal or bona fide indication of interest (other than (i) this Agreement or any other offer, proposal or indication of interest by Purchaser or any of its Affiliates, and (ii) any offer, proposal or indication of interest with respect to or as a result of a Flash Spin-off), or any public announcement of intention to enter into any such agreement or of (or intention to make) any such offer, proposal or bona fide indication of interest, relating to, or involving:</w:t>
      </w:r>
    </w:p>
    <w:p>
      <w:pPr>
        <w:spacing w:after="0" w:line="1" w:lineRule="exact"/>
        <w:rPr>
          <w:sz w:val="20"/>
          <w:szCs w:val="20"/>
          <w:color w:val="auto"/>
        </w:rPr>
      </w:pPr>
    </w:p>
    <w:p>
      <w:pPr>
        <w:jc w:val="both"/>
        <w:ind w:firstLine="8"/>
        <w:spacing w:after="0" w:line="259" w:lineRule="auto"/>
        <w:tabs>
          <w:tab w:leader="none" w:pos="30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or purchase of the Company or any merger, amalgamation, arrangement, consolidation, business combination or similar transaction involving the Company; (b) any sale, lease, mortgage, pledge, exchange, transfer, license, acquisition, or disposition (other than in the ordinary course of business consistent with past practice) of all or substantially all of the assets or business of the Company in any single transaction or series of related transactions; (c) any liquidation, winding-up, dissolution, recapitalization or other corporate reorganization of the Company, or any extraordinary dividend, whether of cash or other property; or (d) any other transaction undertaken by Seller, the Company or any of their Representatives which would reasonably be expected to prevent, impede or delay the consummation of the transactions contemplated by this Agreement.</w:t>
      </w:r>
    </w:p>
    <w:p>
      <w:pPr>
        <w:spacing w:after="0" w:line="17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Controls, Controlled by or under common Control with, such first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78" w:name="page79"/>
    <w:bookmarkEnd w:id="7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Amended and Restated Articles of Association</w:t>
      </w:r>
      <w:r>
        <w:rPr>
          <w:rFonts w:ascii="Times New Roman" w:cs="Times New Roman" w:eastAsia="Times New Roman" w:hAnsi="Times New Roman"/>
          <w:sz w:val="22"/>
          <w:szCs w:val="22"/>
          <w:color w:val="auto"/>
        </w:rPr>
        <w:t>” means the Amended and Restated Articles of Association of the Company, with effect from the date on which the Company submits the application for the AMR Approval.</w:t>
      </w:r>
    </w:p>
    <w:p>
      <w:pPr>
        <w:spacing w:after="0" w:line="158"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AMR Approval</w:t>
      </w:r>
      <w:r>
        <w:rPr>
          <w:rFonts w:ascii="Times New Roman" w:cs="Times New Roman" w:eastAsia="Times New Roman" w:hAnsi="Times New Roman"/>
          <w:sz w:val="22"/>
          <w:szCs w:val="22"/>
          <w:color w:val="auto"/>
        </w:rPr>
        <w:t xml:space="preserve">” means that SAMR has issued a registration notice (“ </w:t>
      </w:r>
      <w:r>
        <w:rPr>
          <w:rFonts w:ascii="SimSun" w:cs="SimSun" w:eastAsia="SimSun" w:hAnsi="SimSun"/>
          <w:sz w:val="22"/>
          <w:szCs w:val="22"/>
          <w:color w:val="auto"/>
        </w:rPr>
        <w:t>登记通知书</w:t>
      </w:r>
      <w:r>
        <w:rPr>
          <w:rFonts w:ascii="Times New Roman" w:cs="Times New Roman" w:eastAsia="Times New Roman" w:hAnsi="Times New Roman"/>
          <w:sz w:val="22"/>
          <w:szCs w:val="22"/>
          <w:color w:val="auto"/>
        </w:rPr>
        <w:t xml:space="preserve">”), together with a new business license for the Company, evidencing that (a) Purchaser is the owner of an 80% equity interest in the Company and Seller is the owner of a 20% equity interest in the Company; and (b) the Amended and Restated Articles of Association of the Company, the appointment of directors, supervisors and legal representative nominated by Purchaser and Seller pursuant to the Shareholders Agreement and the Amended and Restated Articles of Association, and the resignation of such Persons from such positions of the Company as set forth in </w:t>
      </w:r>
      <w:r>
        <w:rPr>
          <w:rFonts w:ascii="Times New Roman" w:cs="Times New Roman" w:eastAsia="Times New Roman" w:hAnsi="Times New Roman"/>
          <w:sz w:val="22"/>
          <w:szCs w:val="22"/>
          <w:u w:val="single" w:color="auto"/>
          <w:color w:val="auto"/>
        </w:rPr>
        <w:t>Section 2.9(a)(iii)</w:t>
      </w:r>
      <w:r>
        <w:rPr>
          <w:rFonts w:ascii="Times New Roman" w:cs="Times New Roman" w:eastAsia="Times New Roman" w:hAnsi="Times New Roman"/>
          <w:sz w:val="22"/>
          <w:szCs w:val="22"/>
          <w:color w:val="auto"/>
        </w:rPr>
        <w:t xml:space="preserve"> have been filed with SAMR.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AMR Submission Date</w:t>
      </w:r>
      <w:r>
        <w:rPr>
          <w:rFonts w:ascii="Times New Roman" w:cs="Times New Roman" w:eastAsia="Times New Roman" w:hAnsi="Times New Roman"/>
          <w:sz w:val="22"/>
          <w:szCs w:val="22"/>
          <w:color w:val="auto"/>
        </w:rPr>
        <w:t>” means the official acceptance date by SAMR of the application for the AMR Approval.</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Agreements</w:t>
      </w:r>
      <w:r>
        <w:rPr>
          <w:rFonts w:ascii="Times New Roman" w:cs="Times New Roman" w:eastAsia="Times New Roman" w:hAnsi="Times New Roman"/>
          <w:sz w:val="22"/>
          <w:szCs w:val="22"/>
          <w:color w:val="auto"/>
        </w:rPr>
        <w:t>” means, collectively, the Shareholders Agreement, the Amended and Restated Articles of Association, the Supply Agreement, the Transition Services Agreement and the Registration ETA, each as defined herein.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applicable PRC and non-PRC Laws for the prevention of public or commercial corruption and bribery.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means US$436,800,000.</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legal holiday, or other day on which commercial banks are required or authorized to be closed for general business in, Shanghai, PRC or the State of California, United States.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means, as of a given time, all cash, cash equivalents and other similar deposits at such time, as determined in accordance with the Accounting Principles;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“Cash” shall: (a) be calculated net of issued but uncleared checks, wire transfers and drafts written or issued by the Company at such time and (b) include all uncleared checks, wire transfers and drafts deposited or pending deposit for the account of the Company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means, as of 12:01 a.m. Beijing time on the Closing Date, all Cash of the Company.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Debt</w:t>
      </w:r>
      <w:r>
        <w:rPr>
          <w:rFonts w:ascii="Times New Roman" w:cs="Times New Roman" w:eastAsia="Times New Roman" w:hAnsi="Times New Roman"/>
          <w:sz w:val="22"/>
          <w:szCs w:val="22"/>
          <w:color w:val="auto"/>
        </w:rPr>
        <w:t>” means, as of 12:01 a.m. Beijing time on the Closing Date, all Indebtedness of the Company for borrowed money, together with accrued and unpaid interest thereon, required to be reflected as Indebtedness on the balance sheet of the Company as of such time.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Material Adverse Effect</w:t>
      </w:r>
      <w:r>
        <w:rPr>
          <w:rFonts w:ascii="Times New Roman" w:cs="Times New Roman" w:eastAsia="Times New Roman" w:hAnsi="Times New Roman"/>
          <w:sz w:val="22"/>
          <w:szCs w:val="22"/>
          <w:color w:val="auto"/>
        </w:rPr>
        <w:t>” means any event, development or change that has had or would reasonably be expected to have a material adverse effect on the businesses, assets, liabilities, properties, financial or other conditions or operations, or results of operations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2"/>
          <w:szCs w:val="22"/>
          <w:color w:val="auto"/>
        </w:rPr>
        <w:t>Company, other than any event, development or change, either alone or in combination, relating to or arising out of: (a) general economic, regulatory or political conditions, global, international, national or regional political, economic, financial or social conditions, or conditions in the financial, credit, debt, currency, capital or securities markets (including changes in interest or currency exchange rates); (b) (i) any acts of God (including weather, meteorological conditions or climate, pandemics, storms, earthquakes, floods, hurricanes, tornadoes, volcanic eruptions, natural disasters or other acts of nature), or (ii) any effect, event, change, development or occurrence resulting from an outbreak, or any escalation, worsening or diminution of, terrorism, hostilities, sabotage, cyber attack, war, military actions, political instability or other regional, national or international calamity, crisis or emergency, or any governmental or other response to any of the foregoing; (c) any event, development or change in any of the industries or markets in which the Company operates, including cyclical fluctuations and trends; (d) any enactment of, change in, or change in the interpretation of, applicable Law or in the Accounting Principles or other applicable accounting standards, or in each case any change in the interpretation thereof or the adoption or addition of any new Laws or rules, or the rescission, expiration or retirement of any current Law or rule; (e) the announcement, pendency or performance of the transactions contemplated hereby, including by reason of the identity of Purchaser, or any Affiliate of Purchaser, or any communication by Purchaser regarding the plans or intentions of Purchaser with respect to the conduct of the business of the Company, and including the impact of any of the foregoing on any relationships, contractual or otherwise, with customers, suppliers, distributors, collaboration partners, employees or regulators; (f) any action taken, or failure to take any action, in each case, to the extent such action or failure to take action is required by the express terms of this Agreement or to which Purchaser has approved, consented or requested; or (g) any effect, event, change, development, occurrence or circumstance resulting from any breach of this Agreement by Purchaser.</w:t>
      </w:r>
    </w:p>
    <w:p>
      <w:pPr>
        <w:spacing w:after="0" w:line="19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Capital Account Bank</w:t>
      </w:r>
      <w:r>
        <w:rPr>
          <w:rFonts w:ascii="Times New Roman" w:cs="Times New Roman" w:eastAsia="Times New Roman" w:hAnsi="Times New Roman"/>
          <w:sz w:val="22"/>
          <w:szCs w:val="22"/>
          <w:color w:val="auto"/>
        </w:rPr>
        <w:t>” means the Shanghai Municipal branch of Industrial and Commercial Bank of China, where the Company maintains its capital account.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Real Property Leases</w:t>
      </w:r>
      <w:r>
        <w:rPr>
          <w:rFonts w:ascii="Times New Roman" w:cs="Times New Roman" w:eastAsia="Times New Roman" w:hAnsi="Times New Roman"/>
          <w:sz w:val="22"/>
          <w:szCs w:val="22"/>
          <w:color w:val="auto"/>
        </w:rPr>
        <w:t>” means the real property leases, subleases, licenses, and other agreements with respect to the Company Real Property (as defined below), including all amendments, modifications, supplements, extensions, renewals, guaranties or other agreements with respect thereto, pursuant to which the Company is a party.</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Transaction Expenses</w:t>
      </w:r>
      <w:r>
        <w:rPr>
          <w:rFonts w:ascii="Times New Roman" w:cs="Times New Roman" w:eastAsia="Times New Roman" w:hAnsi="Times New Roman"/>
          <w:sz w:val="22"/>
          <w:szCs w:val="22"/>
          <w:color w:val="auto"/>
        </w:rPr>
        <w:t xml:space="preserve">” means, except as otherwise set forth in this Agreement, the aggregate amount of all reasonable out-of-pocket fees and expenses (whether or not yet invoiced), incurred by, or on behalf of, or to be paid by, the Company as of the Closing relating to the performance of the Company’s obligations (including the payments payable to any Company Employee under the Post-Closing Bonus Plan in accordance with </w:t>
      </w:r>
      <w:r>
        <w:rPr>
          <w:rFonts w:ascii="Times New Roman" w:cs="Times New Roman" w:eastAsia="Times New Roman" w:hAnsi="Times New Roman"/>
          <w:sz w:val="22"/>
          <w:szCs w:val="22"/>
          <w:u w:val="single" w:color="auto"/>
          <w:color w:val="auto"/>
        </w:rPr>
        <w:t>Section 5.6(b)(iii)</w:t>
      </w:r>
      <w:r>
        <w:rPr>
          <w:rFonts w:ascii="Times New Roman" w:cs="Times New Roman" w:eastAsia="Times New Roman" w:hAnsi="Times New Roman"/>
          <w:sz w:val="22"/>
          <w:szCs w:val="22"/>
          <w:color w:val="auto"/>
        </w:rPr>
        <w:t>, but excluding any post-Closing liabilities or obligations arising as a result of the occurrence of one or more additional post-Closing events under so-called “double-trigger” severance provisions contained in any Employee Benefit Plan). For the avoidance of doubt, “Company Transaction Expenses” excludes costs and expenses incurred by the Company in connection with the termination, transition or transfer of the Excluded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0" w:name="page81"/>
    <w:bookmarkEnd w:id="80"/>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approval, authorization, release, waiver, permit, grant, franchise, concession, agreement, license, exemption or order of, registration, certificate issued by any Person, including any Governmental Authority.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 contract, agreement, indenture, note, bond, loan, instrument, lease, mortgage, franchise, license, commitment, purchase order, and other legally binding arrangement, whether written or oral, but excluding all Employee Benefit Plans.</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of a given Person means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terms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have meanings correlative to the foregoing.</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xml:space="preserve">” means the date on which the Completion Accounts, the Actual Net Debt Amount, the Actual Working Capital Amount and the Actual Working Capital Adjustment Amount become final and binding on Seller and Purchaser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 as applicable.</w:t>
      </w:r>
    </w:p>
    <w:p>
      <w:pPr>
        <w:spacing w:after="0" w:line="18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appliable Law relating to environmental impact assessment, environmental related permits/filings, the pollution of the environment or natural resources or the protection of human health and safety from the presence of Hazardous Materials.</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xml:space="preserve">” means each plan, program, policy, agreement, or arrangement: (a) that is sponsored or maintained by the Company; (b) to which the Company is a party or with respect to which the Company has any present liability; or (c) the Offshore Plans, in each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that is (i) an employment, profit-sharing, deferred compensation, bonus, stock option, phantom stock, stock units, stock purchase, performance unit, stock appreciation right, employee stock ownership, equity compensation, pension, retirement, severance, change of control, retention, supplemental unemployment benefits, employee loan, welfare or incentive compensation plan, policy, program, agreement or arrangement; (ii) any plan, policy, program, agreement or arrangement providing for “fringe benefits,” perquisites or “survivor benefits”; and (iii) any plan, policy, program, agreement or arrangement providing for hospitalization, health, welfare, dental, disability, life insurance or other similar payments or benefits;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definition, in no event shall an Employee Benefit Plan include any arrangement maintained by a Governmental Authority to which the Company is required to contribute under applicable Law.</w:t>
      </w:r>
    </w:p>
    <w:p>
      <w:pPr>
        <w:spacing w:after="0" w:line="18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Payment</w:t>
      </w:r>
      <w:r>
        <w:rPr>
          <w:rFonts w:ascii="Times New Roman" w:cs="Times New Roman" w:eastAsia="Times New Roman" w:hAnsi="Times New Roman"/>
          <w:sz w:val="22"/>
          <w:szCs w:val="22"/>
          <w:color w:val="auto"/>
        </w:rPr>
        <w:t xml:space="preserve">” means US$218,400,000,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80% of the Estimated Net Debt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80% of the Estimated Working Capital Adjustment Amount.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Flash Spin-off</w:t>
      </w:r>
      <w:r>
        <w:rPr>
          <w:rFonts w:ascii="Times New Roman" w:cs="Times New Roman" w:eastAsia="Times New Roman" w:hAnsi="Times New Roman"/>
          <w:sz w:val="22"/>
          <w:szCs w:val="22"/>
          <w:color w:val="auto"/>
        </w:rPr>
        <w:t>” means a disposition or spin-off of all, or substantially all, of the flash business of 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81" w:name="page82"/>
    <w:bookmarkEnd w:id="81"/>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with respect to a Party, an actual and intentional misrepresentation of a material existing fact pursuant to any representation or warranty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given by such Party, where (i) such Party had Knowledge of the falsity of such fact, (ii) the misrepresentation was made for the purpose of inducing the other Party to act, (iii) other Party justifiably relied upon such misrepresentation and suffered resulting Losses, and (iv) such misrepresentation would entitle the other Party to revocation of this Agreement (or the transactions contemplated under this Agreement) under Article 148 and/or Article 149 of the Civil Code of the People’s Republic of China. For the avoidance of doubt, Fraud shall not include any claim for negligent misrepresentations or any tort based on negligence or any theory of fraud otherwise not recognized by Article 148 or Article 149 of the Civil Code of the People’s Republic of China.</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Enforceability Exceptions</w:t>
      </w:r>
      <w:r>
        <w:rPr>
          <w:rFonts w:ascii="Times New Roman" w:cs="Times New Roman" w:eastAsia="Times New Roman" w:hAnsi="Times New Roman"/>
          <w:sz w:val="22"/>
          <w:szCs w:val="22"/>
          <w:color w:val="auto"/>
        </w:rPr>
        <w:t>” means, collectively, (a) applicable bankruptcy, reorganization, insolvency, moratorium or other similar Laws affecting the enforcement of creditors’ rights generally from time to time in effect; and (b) the availability of specific performance, injunctive relief, protective order or similar remedies.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of any nation, federation, province or state or any other political subdivision thereof, any entity, authority or body exercising executive, legislative, judicial, regulatory or administrative functions of or pertaining to government, including any governmental authority, agency, department, board, commission or instrumentality of the PRC or any other country, or any political subdivision thereof, any court, tribunal or arbitrator, and any self-regulatory organization.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substance regulated or classified as hazardous, toxic, radioactive, dangerous, a pollutant, a contaminant, petroleum, oil or words of similar meaning or effect under any Law relating to pollution, waste or the environment.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Hong Kong</w:t>
      </w:r>
      <w:r>
        <w:rPr>
          <w:rFonts w:ascii="Times New Roman" w:cs="Times New Roman" w:eastAsia="Times New Roman" w:hAnsi="Times New Roman"/>
          <w:sz w:val="22"/>
          <w:szCs w:val="22"/>
          <w:color w:val="auto"/>
        </w:rPr>
        <w:t>” means the Hong Kong Special Administrative Region of the PRC.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the Company, without duplication: (a) indebtedness for borrowed money;</w:t>
      </w:r>
    </w:p>
    <w:p>
      <w:pPr>
        <w:spacing w:after="0" w:line="28" w:lineRule="exact"/>
        <w:rPr>
          <w:sz w:val="20"/>
          <w:szCs w:val="20"/>
          <w:color w:val="auto"/>
        </w:rPr>
      </w:pPr>
    </w:p>
    <w:p>
      <w:pPr>
        <w:jc w:val="both"/>
        <w:ind w:firstLine="8"/>
        <w:spacing w:after="0" w:line="256" w:lineRule="auto"/>
        <w:tabs>
          <w:tab w:leader="none" w:pos="31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evidenced by bonds, notes, debentures or other similar instruments or, in each case and only to the extent drawn by the counterparty thereto, letters of credit or performance bonds; (c) obligations under derivative financial instruments, including interest rate swaps; (d) obligations for any deferred purchase price of property, services, stocks or assets with respect to which the Company is liable (but excluding trade payables, accrued expenses and accruals incurred in the ordinary course of business and earn-outs not yet earned); (e) that portion of any obligations under any capitalized lease that is classified, in conformity with the Accounting Principles, as a liability on the balance sheet of the Company; (f) accrued and unpaid interest, if any, on and all make-whole amounts, prepayment penalties, breakage fees and other exit fees paid or payable in the event that any of the foregoing is to be repaid or otherwise discharged; and (g) all guarantees of the obligations of other Persons described in the immediately precedent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For purposes of this Agreement, “Indebtedness” shall expressly exclude:</w:t>
      </w:r>
    </w:p>
    <w:p>
      <w:pPr>
        <w:spacing w:after="0" w:line="5" w:lineRule="exact"/>
        <w:rPr>
          <w:rFonts w:ascii="Times New Roman" w:cs="Times New Roman" w:eastAsia="Times New Roman" w:hAnsi="Times New Roman"/>
          <w:sz w:val="21"/>
          <w:szCs w:val="21"/>
          <w:color w:val="auto"/>
        </w:rPr>
      </w:pPr>
    </w:p>
    <w:p>
      <w:pPr>
        <w:ind w:firstLine="8"/>
        <w:spacing w:after="0" w:line="259" w:lineRule="auto"/>
        <w:tabs>
          <w:tab w:leader="none" w:pos="2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liabilities, calculated in accordance with the Accounting Principles; (ii) Company Transaction Expenses; (iii) all Tax liabilities; and (iv) all Purchaser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all intellectual property, including all: (a) patents, patent applications, invention disclosures and all related continuations, continuations-in-part, divisionals, reissues, re-examinations, substitutions and extensions thereof;</w:t>
      </w:r>
    </w:p>
    <w:p>
      <w:pPr>
        <w:spacing w:after="0" w:line="2" w:lineRule="exact"/>
        <w:rPr>
          <w:sz w:val="20"/>
          <w:szCs w:val="20"/>
          <w:color w:val="auto"/>
        </w:rPr>
      </w:pPr>
    </w:p>
    <w:p>
      <w:pPr>
        <w:jc w:val="both"/>
        <w:ind w:firstLine="8"/>
        <w:spacing w:after="0" w:line="252" w:lineRule="auto"/>
        <w:tabs>
          <w:tab w:leader="none" w:pos="35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trademarks, service marks, domain names, logos, business name, slogans, trade dress, design rights and other similar designations of source or origin; (c) copyrights; (d) trade secrets; and know-how; and (e) all applications and registrations for any of the foregoing.</w:t>
      </w:r>
    </w:p>
    <w:p>
      <w:pPr>
        <w:spacing w:after="0" w:line="17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means the period from and after the date of the Original Agreement until the earlier to occur of (a) the Closing and (b) the date this Agreement is otherwise terminated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Purchaser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Labor Organization</w:t>
      </w:r>
      <w:r>
        <w:rPr>
          <w:rFonts w:ascii="Times New Roman" w:cs="Times New Roman" w:eastAsia="Times New Roman" w:hAnsi="Times New Roman"/>
          <w:sz w:val="22"/>
          <w:szCs w:val="22"/>
          <w:color w:val="auto"/>
        </w:rPr>
        <w:t>” means any labor union, labor organization, workers’ association or works council.</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and all provisions of any applicable constitution, treaty, statute, law, regulation, ordinance, code, rule, or rule of common law, any governmental approval, concession, grant, franchise, license, agreement, directive, requirement, or other governmental restriction or any similar form of decision of, or determination by, or any interpretation or administration of any of the foregoing by, any Governmental Authority, in each case as amended, and any and all applicable Orders.</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Guarantee</w:t>
      </w:r>
      <w:r>
        <w:rPr>
          <w:rFonts w:ascii="Times New Roman" w:cs="Times New Roman" w:eastAsia="Times New Roman" w:hAnsi="Times New Roman"/>
          <w:sz w:val="22"/>
          <w:szCs w:val="22"/>
          <w:color w:val="auto"/>
        </w:rPr>
        <w:t xml:space="preserve">” means the Letter of Guarantee issued by the Purchaser Guarantor in favor of Seller, to guarantee the payment obligations of Purchaser with respect to the Estimated Closing Payment, any adjustment to the Estimated Closing Payment payable to Seller, the Second Installment Payment and, each Deferred Payment, pursuant to the terms of this Agreement, substantially in the form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which shall provide, among other things, that the aggregate amount payable by the Purchaser Guarantor thereunder does not exceed US$680,000,000 and the obligations of the Purchaser Guarantor thereunder will expire as of December 31, 2029.</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any mortgage, lien, pledge, charge, hypothecation, claim, encroachment, easement, adverse claim, option, security interest or encumbrance of any kind with respect to such asset. For the avoidance of doubt, the license or other grant of rights with respect to Intellectual Property as explicitly set out in the Seller Disclosure Letter, in and of itself, shall not be deemed to be a Lien.</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with respect to a breach of any representation or warranty or any breach or non-fulfillment by a Party of any of its covenants or agreements under this Agreement, all costs, expenses, damages, obligations, liabilities, assessments, judgments, losses, settlements, awards and fees (including any reasonable legal fees and other reasonable expenses incurred in connection with, and any amounts paid in settlement of, any pending or threatened Action) actually suffered, sustained, incurred or paid by the relevant Person(s) to be indemnified,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71" w:lineRule="auto"/>
        <w:rPr>
          <w:sz w:val="20"/>
          <w:szCs w:val="20"/>
          <w:color w:val="auto"/>
        </w:rPr>
      </w:pPr>
      <w:r>
        <w:rPr>
          <w:rFonts w:ascii="Times New Roman" w:cs="Times New Roman" w:eastAsia="Times New Roman" w:hAnsi="Times New Roman"/>
          <w:sz w:val="22"/>
          <w:szCs w:val="22"/>
          <w:color w:val="auto"/>
        </w:rPr>
        <w:t>extent directly arising out of or resulting from the breach of any such representation, warranty, covenant or agreement (as the case may be).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with respect to a particular legal entity, the articles of incorporation, certificate of incorporation, formation or registration (including, if applicable, certificates of change of name), memorandum of association, articles of association, bylaws, articles of organization, limited liability company agreement, trust deed, trust instrument, operating agreement, joint venture agreement, business license, or similar or other constitutive, governing, or charter documents, or equivalent documents, of such entity.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Offshore Plans</w:t>
      </w:r>
      <w:r>
        <w:rPr>
          <w:rFonts w:ascii="Times New Roman" w:cs="Times New Roman" w:eastAsia="Times New Roman" w:hAnsi="Times New Roman"/>
          <w:sz w:val="22"/>
          <w:szCs w:val="22"/>
          <w:color w:val="auto"/>
        </w:rPr>
        <w:t>” means, all material benefit or compensation plans, policies or programs that are sponsored or maintained by Seller or its offshore Affiliates and covering all or part of the employees of the Company, including, without limitation, the Western Digital Corporation Amended and Restated 2017 Performance Incentive Plan, amended and restated as of August 11, 2020, and Western Digital Corporation Amended and Restated 2021 Long-Term Incentive Plan, amended and restated as of August 22, 2023.</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w:t>
      </w:r>
      <w:r>
        <w:rPr>
          <w:rFonts w:ascii="Times New Roman" w:cs="Times New Roman" w:eastAsia="Times New Roman" w:hAnsi="Times New Roman"/>
          <w:sz w:val="21"/>
          <w:szCs w:val="21"/>
          <w:color w:val="auto"/>
        </w:rPr>
        <w:t xml:space="preserve">” means all: (a) Liens for Taxes or other governmental charges not yet due or payable or that are being contested in good faith; (b) statutory mechanics’, carriers’, workers’, repairers’ and similar statutory Liens incurred in the ordinary course of business; (c) easements, rights of way, zoning ordinances or other, similar encumbrances, as identified in real property ownership certificates or title reports or compulsorily permitted by applicable Laws, affecting the Company Real Property; (d) Liens that shall be released prior to or as of the Closing; (e) Liens with respect to any obligations as lessee under capitalized leases as disclosed in the VDR; (f) rights, interests, Liens or titles of, a licensor, sublicensor, licensee, sublicensee, lessor or sublessor under any license, lease or other similar agreement or in the property being leased or licensed to the Company incurred in the ordinary course of business; and (g) Liens (if any) set forth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of the Seller Disclosure Letter.</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limited partnership, proprietorship, association, limited liability company, firm, trust, estate or other enterprise or entity.</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w:t>
      </w:r>
      <w:r>
        <w:rPr>
          <w:rFonts w:ascii="Times New Roman" w:cs="Times New Roman" w:eastAsia="Times New Roman" w:hAnsi="Times New Roman"/>
          <w:sz w:val="22"/>
          <w:szCs w:val="22"/>
          <w:color w:val="auto"/>
        </w:rPr>
        <w:t>” means the People’s Republic of China, solely for purposes of this Agreement, excluding Hong Kong, the Macau Special Administrative Region and the region of Taiwan.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 Anti-Monopoly Law</w:t>
      </w:r>
      <w:r>
        <w:rPr>
          <w:rFonts w:ascii="Times New Roman" w:cs="Times New Roman" w:eastAsia="Times New Roman" w:hAnsi="Times New Roman"/>
          <w:sz w:val="22"/>
          <w:szCs w:val="22"/>
          <w:color w:val="auto"/>
        </w:rPr>
        <w:t>” means the Anti-Monopoly Law of the PRC promulgated on August 30, 2007, amended on June 24, 2022 and effective as so amended as of August 1, 2022, and any amendment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 Antitrust Clearance</w:t>
      </w:r>
      <w:r>
        <w:rPr>
          <w:rFonts w:ascii="Times New Roman" w:cs="Times New Roman" w:eastAsia="Times New Roman" w:hAnsi="Times New Roman"/>
          <w:sz w:val="22"/>
          <w:szCs w:val="22"/>
          <w:color w:val="auto"/>
        </w:rPr>
        <w:t>” means (i) a decision or other document issued by SAMR approving the transactions contemplated hereby pursuant to the PRC Anti-Monopoly Law or (ii) the relevant statutory periods for a decision by SAMR prescribed by the PRC Anti-Monopoly Law, including any extensions thereof, having expired and no Restraint having been raised or imposed by SAMR with respect to the transactions contemplated hereby.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 Withholding Tax</w:t>
      </w:r>
      <w:r>
        <w:rPr>
          <w:rFonts w:ascii="Times New Roman" w:cs="Times New Roman" w:eastAsia="Times New Roman" w:hAnsi="Times New Roman"/>
          <w:sz w:val="22"/>
          <w:szCs w:val="22"/>
          <w:color w:val="auto"/>
        </w:rPr>
        <w:t>” means the amount of any withholding Tax imposed on the transfer of the Purchased Interest by Seller to Purchaser pursuant to this Agreement (including any Tax imposed on the payment of any contingent or deferred payments relating thereto) as assessed and finally determined by a competent PRC Taxing Authority.</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shall mean any taxable period ending on or before the Closing Date, and, with respect to any taxable period beginning on or before and ending after the Closing Date, the portion of such taxable period ending at the end of the Closing Date.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Guarantor</w:t>
      </w:r>
      <w:r>
        <w:rPr>
          <w:rFonts w:ascii="Times New Roman" w:cs="Times New Roman" w:eastAsia="Times New Roman" w:hAnsi="Times New Roman"/>
          <w:sz w:val="22"/>
          <w:szCs w:val="22"/>
          <w:color w:val="auto"/>
        </w:rPr>
        <w:t>” means Bank of Communications, Ltd., Singapore Branch.</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Material Adverse Effect</w:t>
      </w:r>
      <w:r>
        <w:rPr>
          <w:rFonts w:ascii="Times New Roman" w:cs="Times New Roman" w:eastAsia="Times New Roman" w:hAnsi="Times New Roman"/>
          <w:sz w:val="22"/>
          <w:szCs w:val="22"/>
          <w:color w:val="auto"/>
        </w:rPr>
        <w:t>” means any event, development or change that has had, or would reasonably be expected to have, a material adverse effect on the ability of Purchaser to perform its obligations under this Agreement, or that would prevent or materially impede, interfere with, hinder or delay the consummation by Purchaser of the transactions contemplated hereby.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its officers, directors, employees, Affiliates, financial advisors, attorneys, accountants, actuaries, consultants and other agents, advisors and representatives.</w:t>
      </w:r>
    </w:p>
    <w:p>
      <w:pPr>
        <w:spacing w:after="0" w:line="158" w:lineRule="exact"/>
        <w:rPr>
          <w:sz w:val="20"/>
          <w:szCs w:val="20"/>
          <w:color w:val="auto"/>
        </w:rPr>
      </w:pPr>
    </w:p>
    <w:p>
      <w:pPr>
        <w:jc w:val="both"/>
        <w:ind w:right="20" w:firstLine="648"/>
        <w:spacing w:after="0" w:line="26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Registration Voucher</w:t>
      </w:r>
      <w:r>
        <w:rPr>
          <w:rFonts w:ascii="Times New Roman" w:cs="Times New Roman" w:eastAsia="Times New Roman" w:hAnsi="Times New Roman"/>
          <w:sz w:val="22"/>
          <w:szCs w:val="22"/>
          <w:color w:val="auto"/>
        </w:rPr>
        <w:t>” means the registration voucher (“</w:t>
      </w:r>
      <w:r>
        <w:rPr>
          <w:rFonts w:ascii="SimSun" w:cs="SimSun" w:eastAsia="SimSun" w:hAnsi="SimSun"/>
          <w:sz w:val="22"/>
          <w:szCs w:val="22"/>
          <w:color w:val="auto"/>
        </w:rPr>
        <w:t>业务登记凭证</w:t>
      </w:r>
      <w:r>
        <w:rPr>
          <w:rFonts w:ascii="Times New Roman" w:cs="Times New Roman" w:eastAsia="Times New Roman" w:hAnsi="Times New Roman"/>
          <w:sz w:val="22"/>
          <w:szCs w:val="22"/>
          <w:color w:val="auto"/>
        </w:rPr>
        <w:t>”) affixed with the seal of the Company Capital Account Bank acknowledging completion of the registration of the updated shareholder information for the Company as a result of the Purchaser’s acquisition of the Purchased Interest pursuant hereto.</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SAMR</w:t>
      </w:r>
      <w:r>
        <w:rPr>
          <w:rFonts w:ascii="Times New Roman" w:cs="Times New Roman" w:eastAsia="Times New Roman" w:hAnsi="Times New Roman"/>
          <w:sz w:val="22"/>
          <w:szCs w:val="22"/>
          <w:color w:val="auto"/>
        </w:rPr>
        <w:t>” means the State Administration for Market Regulation of the PRC, or, with respect to the issuance of any business license or filing or registration to be effected by or with the Administration for Market Regulation of the PRC, any Governmental Authority which is similarly competent to issue such business license or accept such filing or registration under the Laws of the PRC.</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individual or entity that is the subject or target of sanctions or restrictions under Sanctions Laws, including: (i) any individual or entity listed on any applicable U.S. or non-U.S. sanctions- or export-related restricted party list, including, without limitation, OFAC’s Specially Designated Nationals and Blocked Persons List and the EU Consolidated List; or (ii) any entity that is, in the aggregate, fifty percent (50%) or greater owned, directly or indirectly, or otherwise Controlled by a person or persons described in clause (i)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85" w:name="page86"/>
    <w:bookmarkEnd w:id="85"/>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w:t>
      </w:r>
      <w:r>
        <w:rPr>
          <w:rFonts w:ascii="Times New Roman" w:cs="Times New Roman" w:eastAsia="Times New Roman" w:hAnsi="Times New Roman"/>
          <w:sz w:val="22"/>
          <w:szCs w:val="22"/>
          <w:color w:val="auto"/>
        </w:rPr>
        <w:t>” means all applicable U.S. and non-U.S. Laws relating to economic or trade sanctions, including, without limitation, the Laws administered or enforced by the United States (including by OFAC or the U.S. Department of State), those promulgated by the European Union as required to be enforced by its member states and as promulgated by the United Nations as required to be enforced by its member states.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Disclosure Letter</w:t>
      </w:r>
      <w:r>
        <w:rPr>
          <w:rFonts w:ascii="Times New Roman" w:cs="Times New Roman" w:eastAsia="Times New Roman" w:hAnsi="Times New Roman"/>
          <w:sz w:val="22"/>
          <w:szCs w:val="22"/>
          <w:color w:val="auto"/>
        </w:rPr>
        <w:t>” means the written disclosure letter, dated as of the date of the Original Agreement, delivered by Seller to Purchaser in connection with the execution and delivery of the Original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the representations and warranties of Seller contained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(Organization and Qualification),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(Authorization; Enforceability),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(solely with respect to clause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thereof) and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(Consents and Approvals; No Violations),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(Ownership of Equity Interests),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(Organization and Qualification),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(Capitalization and Corporate Structure), and </w:t>
      </w:r>
      <w:r>
        <w:rPr>
          <w:rFonts w:ascii="Times New Roman" w:cs="Times New Roman" w:eastAsia="Times New Roman" w:hAnsi="Times New Roman"/>
          <w:sz w:val="22"/>
          <w:szCs w:val="22"/>
          <w:u w:val="single" w:color="auto"/>
          <w:color w:val="auto"/>
        </w:rPr>
        <w:t>Section 3.29</w:t>
      </w:r>
      <w:r>
        <w:rPr>
          <w:rFonts w:ascii="Times New Roman" w:cs="Times New Roman" w:eastAsia="Times New Roman" w:hAnsi="Times New Roman"/>
          <w:sz w:val="22"/>
          <w:szCs w:val="22"/>
          <w:color w:val="auto"/>
        </w:rPr>
        <w:t xml:space="preserve"> (Brokers).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Material Adverse Effect</w:t>
      </w:r>
      <w:r>
        <w:rPr>
          <w:rFonts w:ascii="Times New Roman" w:cs="Times New Roman" w:eastAsia="Times New Roman" w:hAnsi="Times New Roman"/>
          <w:sz w:val="21"/>
          <w:szCs w:val="21"/>
          <w:color w:val="auto"/>
        </w:rPr>
        <w:t>” means any event, development or change that has had, or would reasonably be expected to have, a material adverse effect on (i) the ability of Seller to perform its obligations under this Agreement, or that would prevent or materially impede, interfere with, hinder or delay the consummation by Seller of the transactions contemplated hereby; and/or</w:t>
      </w:r>
    </w:p>
    <w:p>
      <w:pPr>
        <w:spacing w:after="0" w:line="3" w:lineRule="exact"/>
        <w:rPr>
          <w:sz w:val="20"/>
          <w:szCs w:val="20"/>
          <w:color w:val="auto"/>
        </w:rPr>
      </w:pPr>
    </w:p>
    <w:p>
      <w:pPr>
        <w:ind w:firstLine="8"/>
        <w:spacing w:after="0" w:line="261" w:lineRule="auto"/>
        <w:tabs>
          <w:tab w:leader="none" w:pos="32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Western Digital Technologies, Inc. to assume joint and several liability with Seller for any amounts payable by Seller to Purchaser under this Agreement.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Agreement</w:t>
      </w:r>
      <w:r>
        <w:rPr>
          <w:rFonts w:ascii="Times New Roman" w:cs="Times New Roman" w:eastAsia="Times New Roman" w:hAnsi="Times New Roman"/>
          <w:sz w:val="22"/>
          <w:szCs w:val="22"/>
          <w:color w:val="auto"/>
        </w:rPr>
        <w:t xml:space="preserve">” means the Shareholders Agreement,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one (1)-month CME Term SOFR published by CME Group Inc..</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when used with respect to any Person, means that, as of any date of determination: (a) the amount of the “fair saleable value” of the assets of such Person shall,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shall be required to pay the probable liabilities of such Person on its existing debts (including contingent liabilities) as such debts become absolute and matured;</w:t>
      </w:r>
    </w:p>
    <w:p>
      <w:pPr>
        <w:spacing w:after="0" w:line="2" w:lineRule="exact"/>
        <w:rPr>
          <w:sz w:val="20"/>
          <w:szCs w:val="20"/>
          <w:color w:val="auto"/>
        </w:rPr>
      </w:pPr>
    </w:p>
    <w:p>
      <w:pPr>
        <w:jc w:val="both"/>
        <w:ind w:firstLine="8"/>
        <w:spacing w:after="0" w:line="246" w:lineRule="auto"/>
        <w:tabs>
          <w:tab w:leader="none" w:pos="3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shall not have, as of such date, an unreasonably small amount of capital for the operation of the businesses in which it is engaged or proposed to be engaged following such date; and (c) such Person shall be able to pay its liabilities, including contingent and other liabilities, as they mature. For the purpose of this definition, “not have an unreasonably small amount of capital for the operation of the businesses in which it is engaged or proposed to be engaged” and “able to pay its liabilities, including contingent and other liabilities, as they mature” means that such Person shall be able to generate enough cash from operations, asset dispositions or refinancing, or a combination thereof, to meet its obligations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86" w:name="page87"/>
    <w:bookmarkEnd w:id="86"/>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specified Person, any other Person that is Controlled directly or indirectly by such given Person.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Supply Agreement</w:t>
      </w:r>
      <w:r>
        <w:rPr>
          <w:rFonts w:ascii="Times New Roman" w:cs="Times New Roman" w:eastAsia="Times New Roman" w:hAnsi="Times New Roman"/>
          <w:sz w:val="22"/>
          <w:szCs w:val="22"/>
          <w:color w:val="auto"/>
        </w:rPr>
        <w:t xml:space="preserve">” means the Manufacturing and Supply Agreement to be entered into by and between the Company and Seller as of the Closing, which shall, among other terms, include the provisions set forth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 Amount</w:t>
      </w:r>
      <w:r>
        <w:rPr>
          <w:rFonts w:ascii="Times New Roman" w:cs="Times New Roman" w:eastAsia="Times New Roman" w:hAnsi="Times New Roman"/>
          <w:sz w:val="22"/>
          <w:szCs w:val="22"/>
          <w:color w:val="auto"/>
        </w:rPr>
        <w:t>” means US$72,205,000.</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declaration, report, claim for refund or information return, certificate, bill, statement or other written information required to be filed with any Taxing Authority relating to Taxes, including any supplement, schedule or attachment thereto, and including any amendment thereof.</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taxes, fees, levies, duties, tariffs, imposts, and other charges of any kind (together with any and all interest, penalties, additions to tax and additional amounts imposed with respect thereto) imposed by any Taxing Authority, including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 added, or gains taxes; license, registration and documentation fees; and customs’ duties, tariffs, and similar charges. The term “</w:t>
      </w:r>
      <w:r>
        <w:rPr>
          <w:rFonts w:ascii="Times New Roman" w:cs="Times New Roman" w:eastAsia="Times New Roman" w:hAnsi="Times New Roman"/>
          <w:sz w:val="22"/>
          <w:szCs w:val="22"/>
          <w:u w:val="single" w:color="auto"/>
          <w:color w:val="auto"/>
        </w:rPr>
        <w:t>Taxable</w:t>
      </w:r>
      <w:r>
        <w:rPr>
          <w:rFonts w:ascii="Times New Roman" w:cs="Times New Roman" w:eastAsia="Times New Roman" w:hAnsi="Times New Roman"/>
          <w:sz w:val="22"/>
          <w:szCs w:val="22"/>
          <w:color w:val="auto"/>
        </w:rPr>
        <w:t>” has meanings correlative to the foregoing.</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the State Taxation Administration of the PRC and its local counterparts, and any other Governmental Authority in China and/or other countries and jurisdictions responsible for the collection or enforcement of any Taxes.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Deductions</w:t>
      </w:r>
      <w:r>
        <w:rPr>
          <w:rFonts w:ascii="Times New Roman" w:cs="Times New Roman" w:eastAsia="Times New Roman" w:hAnsi="Times New Roman"/>
          <w:sz w:val="22"/>
          <w:szCs w:val="22"/>
          <w:color w:val="auto"/>
        </w:rPr>
        <w:t>” means all Tax losses, deductions, expenses or similar items incurred or deductible by the Company as a result of, in connection with or in anticipation of the transactions contemplated by this Agreement, including losses, deductions and expenses related to: (i) the payment of any change in control or stay bonuses, or similar compensatory amounts, to employees or other service providers to the Company; (ii) the acceleration of deferred financing fees related to the repayment of Indebtedness; and (iii) the payment of any fees or other expenses associated with the transactions contemplated by this Agreement that are not required to be capitalized, including fees, costs, expenses, brokerage fees, commissions, finders’ fees and disbursements of financial advisors, investment banks, data room administrators, attorneys, accountants and other advisors, service providers and third-party fees and expenses paid or payable by the Company (whether or not billed or accrued for) as a result of or in connection with the negotiation, documentation and consummation of the transactions contemplated by this Agreement.</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means the Transition Services Agreement to be entered into by and between the Company and Seller as of the Closing.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 Dollar</w:t>
      </w:r>
      <w:r>
        <w:rPr>
          <w:rFonts w:ascii="Times New Roman" w:cs="Times New Roman" w:eastAsia="Times New Roman" w:hAnsi="Times New Roman"/>
          <w:sz w:val="22"/>
          <w:szCs w:val="22"/>
          <w:color w:val="auto"/>
        </w:rPr>
        <w:t>” means the legal tender of the United States.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VDR</w:t>
      </w:r>
      <w:r>
        <w:rPr>
          <w:rFonts w:ascii="Times New Roman" w:cs="Times New Roman" w:eastAsia="Times New Roman" w:hAnsi="Times New Roman"/>
          <w:sz w:val="21"/>
          <w:szCs w:val="21"/>
          <w:color w:val="auto"/>
        </w:rPr>
        <w:t>” means Intralinks virtual data site entitled “Project Visage” maintained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479"/>
          </w:cols>
          <w:pgMar w:left="980" w:top="1422" w:right="1440" w:bottom="1440" w:gutter="0" w:footer="0" w:header="0"/>
        </w:sectPr>
      </w:pPr>
    </w:p>
    <w:bookmarkStart w:id="88" w:name="page89"/>
    <w:bookmarkEnd w:id="88"/>
    <w:p>
      <w:pPr>
        <w:ind w:left="51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PURCHASE AND SALE; CLOSING</w:t>
      </w:r>
    </w:p>
    <w:p>
      <w:pPr>
        <w:spacing w:after="0" w:line="19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Purchase and Sale</w:t>
      </w:r>
    </w:p>
    <w:p>
      <w:pPr>
        <w:spacing w:after="0" w:line="233"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22"/>
          <w:szCs w:val="22"/>
          <w:color w:val="auto"/>
        </w:rPr>
        <w:t>Article I Subject to the terms and conditions of this Agreement, at the Closing, Seller agrees to sell, transfer and assign to Purchaser, and Purchaser agrees to purchase, acquire and accept from Seller, legal and beneficial title and ownership to an 80% equity interest in the Company (the “</w:t>
      </w:r>
      <w:r>
        <w:rPr>
          <w:rFonts w:ascii="Times New Roman" w:cs="Times New Roman" w:eastAsia="Times New Roman" w:hAnsi="Times New Roman"/>
          <w:sz w:val="22"/>
          <w:szCs w:val="22"/>
          <w:u w:val="single" w:color="auto"/>
          <w:color w:val="auto"/>
        </w:rPr>
        <w:t>Purchased Interest</w:t>
      </w:r>
      <w:r>
        <w:rPr>
          <w:rFonts w:ascii="Times New Roman" w:cs="Times New Roman" w:eastAsia="Times New Roman" w:hAnsi="Times New Roman"/>
          <w:sz w:val="22"/>
          <w:szCs w:val="22"/>
          <w:color w:val="auto"/>
        </w:rPr>
        <w:t xml:space="preserve">”), for the consideration specified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952"/>
        <w:spacing w:after="0" w:line="251" w:lineRule="auto"/>
        <w:tabs>
          <w:tab w:leader="none" w:pos="258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subject in all cases to the Purchaser’s obligation to pay the Purchase Price (as defined below) hereunder: (i) Purchaser shall be deemed to have acquired the ownership of the Purchased Interest and shall assume all of the rights, responsibilities and obligations of Seller with respect to the Purchased Interest under applicable Laws and as set forth in the Organizational Documents of the Company; (ii) Seller shall cease to hold any interest in the Purchased Interest and shall cease to have any obligations attached thereto; and (iii) Purchaser will hold an 80% equity interest in the Company, and Seller will hold the remaining 20% equity interest in the Company.</w:t>
      </w:r>
    </w:p>
    <w:p>
      <w:pPr>
        <w:spacing w:after="0" w:line="18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Purchase Price</w:t>
      </w:r>
    </w:p>
    <w:p>
      <w:pPr>
        <w:spacing w:after="0" w:line="220" w:lineRule="exact"/>
        <w:rPr>
          <w:sz w:val="20"/>
          <w:szCs w:val="20"/>
          <w:color w:val="auto"/>
        </w:rPr>
      </w:pPr>
    </w:p>
    <w:p>
      <w:pPr>
        <w:jc w:val="both"/>
        <w:ind w:firstLine="1952"/>
        <w:spacing w:after="0" w:line="251" w:lineRule="auto"/>
        <w:tabs>
          <w:tab w:leader="none" w:pos="258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payable for the Purchased Interest shall be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which shall be an amount equal to (i) the Base Purchase Price,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80% of the Actual Net Debt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as applicable),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80% of the Actual Working Capital Adjustment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as applicable),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the Deferred Payments;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Purchase Price, after any adjustments to any component thereof as provided for in this Agreement, shall in no event exceed US$680,000,000 in the aggregate.</w:t>
      </w:r>
    </w:p>
    <w:p>
      <w:pPr>
        <w:spacing w:after="0" w:line="194"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shall be paid by Purchaser to Seller by wire transfer of immediately available funds in U.S. Dollar to a bank account designated by Seller, which account shall be designated by Seller no less than: (x) with respect to the Estimated Closing Payment, ten (10) Business Days prior to the Closing Date, and (y) with respect to each other payment payable pursuant to this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ten (10) Business Days prior to the date for payment thereof (the “</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as follows:</w:t>
      </w:r>
    </w:p>
    <w:p>
      <w:pPr>
        <w:spacing w:after="0" w:line="194"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Estimated Closing Payment, net of applicable Taxes in accordance with </w:t>
      </w:r>
      <w:r>
        <w:rPr>
          <w:rFonts w:ascii="Times New Roman" w:cs="Times New Roman" w:eastAsia="Times New Roman" w:hAnsi="Times New Roman"/>
          <w:sz w:val="21"/>
          <w:szCs w:val="21"/>
          <w:u w:val="single" w:color="auto"/>
          <w:color w:val="auto"/>
        </w:rPr>
        <w:t>Section 5.10(f)</w:t>
      </w:r>
      <w:r>
        <w:rPr>
          <w:rFonts w:ascii="Times New Roman" w:cs="Times New Roman" w:eastAsia="Times New Roman" w:hAnsi="Times New Roman"/>
          <w:sz w:val="21"/>
          <w:szCs w:val="21"/>
          <w:color w:val="auto"/>
        </w:rPr>
        <w: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be paid promptly, but in no event later than five (5) Business Days, following the Closing;</w:t>
      </w:r>
    </w:p>
    <w:p>
      <w:pPr>
        <w:spacing w:after="0" w:line="195" w:lineRule="exact"/>
        <w:rPr>
          <w:rFonts w:ascii="Times New Roman" w:cs="Times New Roman" w:eastAsia="Times New Roman" w:hAnsi="Times New Roman"/>
          <w:sz w:val="21"/>
          <w:szCs w:val="21"/>
          <w:color w:val="auto"/>
        </w:rPr>
      </w:pPr>
    </w:p>
    <w:p>
      <w:pPr>
        <w:jc w:val="both"/>
        <w:ind w:firstLine="2600"/>
        <w:spacing w:after="0" w:line="266" w:lineRule="auto"/>
        <w:tabs>
          <w:tab w:leader="none" w:pos="323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xml:space="preserve">, any adjustment to the Estimated Closing Payment (if is a positive number) payable to Seller, net of applicable Taxes in accordance with </w:t>
      </w:r>
      <w:r>
        <w:rPr>
          <w:rFonts w:ascii="Times New Roman" w:cs="Times New Roman" w:eastAsia="Times New Roman" w:hAnsi="Times New Roman"/>
          <w:sz w:val="22"/>
          <w:szCs w:val="22"/>
          <w:u w:val="single" w:color="auto"/>
          <w:color w:val="auto"/>
        </w:rPr>
        <w:t>Section 5.10(f)</w:t>
      </w:r>
      <w:r>
        <w:rPr>
          <w:rFonts w:ascii="Times New Roman" w:cs="Times New Roman" w:eastAsia="Times New Roman" w:hAnsi="Times New Roman"/>
          <w:sz w:val="22"/>
          <w:szCs w:val="22"/>
          <w:color w:val="auto"/>
        </w:rPr>
        <w:t>, shall be paid promptly, but in no event later than the later of (A) payment date of the Second Installment Payment (as set forth below) and (B)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8" w:right="339" w:bottom="1440" w:gutter="0" w:footer="0" w:header="0"/>
        </w:sectPr>
      </w:pPr>
    </w:p>
    <w:bookmarkStart w:id="89" w:name="page90"/>
    <w:bookmarkEnd w:id="8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Business Day following the Determination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adjustment to the Estimated Closing Payment is a negative number, then subject to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Seller shall pay such amount to Purchaser promptly, but in no event later than the payment date of the Second Installment Payment (as set forth below), following the Determination Date;</w:t>
      </w:r>
    </w:p>
    <w:p>
      <w:pPr>
        <w:spacing w:after="0" w:line="186" w:lineRule="exact"/>
        <w:rPr>
          <w:sz w:val="20"/>
          <w:szCs w:val="20"/>
          <w:color w:val="auto"/>
        </w:rPr>
      </w:pPr>
    </w:p>
    <w:p>
      <w:pPr>
        <w:jc w:val="both"/>
        <w:ind w:firstLine="2600"/>
        <w:spacing w:after="0" w:line="262" w:lineRule="auto"/>
        <w:tabs>
          <w:tab w:leader="none" w:pos="3240"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US$218,400,000 (the “</w:t>
      </w:r>
      <w:r>
        <w:rPr>
          <w:rFonts w:ascii="Times New Roman" w:cs="Times New Roman" w:eastAsia="Times New Roman" w:hAnsi="Times New Roman"/>
          <w:sz w:val="21"/>
          <w:szCs w:val="21"/>
          <w:u w:val="single" w:color="auto"/>
          <w:color w:val="auto"/>
        </w:rPr>
        <w:t>Second Installment Payment</w:t>
      </w:r>
      <w:r>
        <w:rPr>
          <w:rFonts w:ascii="Times New Roman" w:cs="Times New Roman" w:eastAsia="Times New Roman" w:hAnsi="Times New Roman"/>
          <w:sz w:val="21"/>
          <w:szCs w:val="21"/>
          <w:color w:val="auto"/>
        </w:rPr>
        <w:t xml:space="preserve">”), net of applicable Taxes in accordance with </w:t>
      </w:r>
      <w:r>
        <w:rPr>
          <w:rFonts w:ascii="Times New Roman" w:cs="Times New Roman" w:eastAsia="Times New Roman" w:hAnsi="Times New Roman"/>
          <w:sz w:val="21"/>
          <w:szCs w:val="21"/>
          <w:u w:val="single" w:color="auto"/>
          <w:color w:val="auto"/>
        </w:rPr>
        <w:t>Section 5.10(f)</w:t>
      </w:r>
      <w:r>
        <w:rPr>
          <w:rFonts w:ascii="Times New Roman" w:cs="Times New Roman" w:eastAsia="Times New Roman" w:hAnsi="Times New Roman"/>
          <w:sz w:val="21"/>
          <w:szCs w:val="21"/>
          <w:color w:val="auto"/>
        </w:rPr>
        <w:t xml:space="preserve"> and, to the extent any, the Controller Working Capital Amount (or the Adjusted Controller Working Capital Amount, as applicable) in accordance with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shall be paid promptly, but in no event later than three</w:t>
      </w:r>
    </w:p>
    <w:p>
      <w:pPr>
        <w:spacing w:after="0" w:line="2" w:lineRule="exact"/>
        <w:rPr>
          <w:rFonts w:ascii="Times New Roman" w:cs="Times New Roman" w:eastAsia="Times New Roman" w:hAnsi="Times New Roman"/>
          <w:sz w:val="21"/>
          <w:szCs w:val="21"/>
          <w:color w:val="auto"/>
        </w:rPr>
      </w:pPr>
    </w:p>
    <w:p>
      <w:pPr>
        <w:ind w:firstLine="8"/>
        <w:spacing w:after="0" w:line="248" w:lineRule="auto"/>
        <w:tabs>
          <w:tab w:leader="none" w:pos="32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following the earlier to occur of (x) the date six (6) months following the Closing Date and (y) January 1, 2025; and</w:t>
      </w:r>
    </w:p>
    <w:p>
      <w:pPr>
        <w:spacing w:after="0" w:line="195" w:lineRule="exact"/>
        <w:rPr>
          <w:rFonts w:ascii="Times New Roman" w:cs="Times New Roman" w:eastAsia="Times New Roman" w:hAnsi="Times New Roman"/>
          <w:sz w:val="22"/>
          <w:szCs w:val="22"/>
          <w:color w:val="auto"/>
        </w:rPr>
      </w:pPr>
    </w:p>
    <w:p>
      <w:pPr>
        <w:ind w:right="20" w:firstLine="2600"/>
        <w:spacing w:after="0" w:line="271" w:lineRule="auto"/>
        <w:tabs>
          <w:tab w:leader="none" w:pos="3228"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Deferred Payment, net of applicable Taxes in accordance with </w:t>
      </w:r>
      <w:r>
        <w:rPr>
          <w:rFonts w:ascii="Times New Roman" w:cs="Times New Roman" w:eastAsia="Times New Roman" w:hAnsi="Times New Roman"/>
          <w:sz w:val="22"/>
          <w:szCs w:val="22"/>
          <w:u w:val="single" w:color="auto"/>
          <w:color w:val="auto"/>
        </w:rPr>
        <w:t>Section 5.10(f)</w:t>
      </w:r>
      <w:r>
        <w:rPr>
          <w:rFonts w:ascii="Times New Roman" w:cs="Times New Roman" w:eastAsia="Times New Roman" w:hAnsi="Times New Roman"/>
          <w:sz w:val="22"/>
          <w:szCs w:val="22"/>
          <w:color w:val="auto"/>
        </w:rPr>
        <w:t>, shall be paid promptly, but in no event later than three (3) Business Days, following the applicable Deferred Payment Date.</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Purchaser fails to pay any amount payable under the preceding clauses, Purchaser shall pay Seller interest thereon at the rate of 1% above SOFR for the relevant days compounding annually, accruing daily from the payment due date under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(i.e., after expiration of such five (5) or three (3) Business Days, as applicable, as provided for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with respect to such payment) and continuing until such amount, together with the interest payable thereon, has been paid in full.</w:t>
      </w:r>
    </w:p>
    <w:p>
      <w:pPr>
        <w:spacing w:after="0" w:line="178"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8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the Estimated Closing Payment has not been paid (with such payment being evidenced by Purchaser’s presentation to Seller a bank wire reference number(s) or the SWIFT message/document showing the full amount of the Estimated Closing Payment) as of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following the Closing Date and/or (B) any adjustment to the Estimated Closing Payment payable to Seller, the Second Installment Payment or any Deferred Payment has not been paid (with such payment being evidenced by Purchaser’s presentation to Seller a bank wire reference number(s) or the SWIFT message/document showing the full amount of the applicable payment) as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Business Day following the date when such amount first becomes due pursuant to </w:t>
      </w:r>
      <w:r>
        <w:rPr>
          <w:rFonts w:ascii="Times New Roman" w:cs="Times New Roman" w:eastAsia="Times New Roman" w:hAnsi="Times New Roman"/>
          <w:sz w:val="22"/>
          <w:szCs w:val="22"/>
          <w:u w:val="single" w:color="auto"/>
          <w:color w:val="auto"/>
        </w:rPr>
        <w:t>Section 2.2(b)(ii)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2.2(b)(iii)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2.2(b)(iv)</w:t>
      </w:r>
      <w:r>
        <w:rPr>
          <w:rFonts w:ascii="Times New Roman" w:cs="Times New Roman" w:eastAsia="Times New Roman" w:hAnsi="Times New Roman"/>
          <w:sz w:val="22"/>
          <w:szCs w:val="22"/>
          <w:color w:val="auto"/>
        </w:rPr>
        <w:t>, as applicable, then, in each case, Seller shall have the right to, upon written notice to Purchaser, immediately thereafter enforce the Letter of Guarantee for the outstanding unpaid amount of such payment according to the terms of the Letter of Guarantee. For the avoidance of doubt, (x) Seller shall not be entitled to enforce the Letter of Guarantee for the applicable payment set forth below until: (i) October 14, 2024, with respect to the Estimated Closing Payment (or any portion thereof not paid by Purchaser by such date), (ii) January 7, 2025, with respect to any adjustment to the Estimated Closing Payment payable to Seller (or any portion thereof not paid by Purchaser by such date), (iii) January 7, 2025, with respect to the Second Installment Payment (or any portion thereof not paid by Purchaser by such date), and (iv)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following the first, second, third, forth and fifth anniversary of the Closing Date, with respect to each Deferred Payment due and payable following the applicable anniversary date of the Closing Date pursuant to </w:t>
      </w:r>
      <w:r>
        <w:rPr>
          <w:rFonts w:ascii="Times New Roman" w:cs="Times New Roman" w:eastAsia="Times New Roman" w:hAnsi="Times New Roman"/>
          <w:sz w:val="22"/>
          <w:szCs w:val="22"/>
          <w:u w:val="single" w:color="auto"/>
          <w:color w:val="auto"/>
        </w:rPr>
        <w:t>Section 2.2(b)(iv)</w:t>
      </w:r>
      <w:r>
        <w:rPr>
          <w:rFonts w:ascii="Times New Roman" w:cs="Times New Roman" w:eastAsia="Times New Roman" w:hAnsi="Times New Roman"/>
          <w:sz w:val="22"/>
          <w:szCs w:val="22"/>
          <w:color w:val="auto"/>
        </w:rPr>
        <w:t xml:space="preserve"> above (or any portion of each thereof not paid by Purchaser by the applicable date), and (y) the payments for which Seller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entitled to enforce against the Purchaser Guarantor under the Letter of Guarantee shall not include any interest accrued on such payments;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Purchaser shall remain liable for any and all interest accrued and payable on such payments as provided for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notwithstanding Seller’s recovery of any such payments following enforcement of the Letter of Guarantee.</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Estimated Adjustments at Closing</w:t>
      </w:r>
    </w:p>
    <w:p>
      <w:pPr>
        <w:spacing w:after="0" w:line="220" w:lineRule="exact"/>
        <w:rPr>
          <w:sz w:val="20"/>
          <w:szCs w:val="20"/>
          <w:color w:val="auto"/>
        </w:rPr>
      </w:pPr>
    </w:p>
    <w:p>
      <w:pPr>
        <w:jc w:val="both"/>
        <w:ind w:firstLine="1952"/>
        <w:spacing w:after="0" w:line="253" w:lineRule="auto"/>
        <w:tabs>
          <w:tab w:leader="none" w:pos="258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five (5) Business Days before the Closing Date, Seller shall deliver to Purchaser a written notice setting forth Seller’s good faith estimates of the Actual Net Debt Amount, the Actual Working Capital Amount and the Actual Working Capital Adjustment Amount (such estimates, the “</w:t>
      </w:r>
      <w:r>
        <w:rPr>
          <w:rFonts w:ascii="Times New Roman" w:cs="Times New Roman" w:eastAsia="Times New Roman" w:hAnsi="Times New Roman"/>
          <w:sz w:val="22"/>
          <w:szCs w:val="22"/>
          <w:u w:val="single" w:color="auto"/>
          <w:color w:val="auto"/>
        </w:rPr>
        <w:t>Estimated Net Debt Amount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Estimated Working 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Estimated Working Capital Adjustment Amount</w:t>
      </w:r>
      <w:r>
        <w:rPr>
          <w:rFonts w:ascii="Times New Roman" w:cs="Times New Roman" w:eastAsia="Times New Roman" w:hAnsi="Times New Roman"/>
          <w:sz w:val="22"/>
          <w:szCs w:val="22"/>
          <w:color w:val="auto"/>
        </w:rPr>
        <w:t>”, respectively), together with reasonably detailed supporting information.</w:t>
      </w:r>
    </w:p>
    <w:p>
      <w:pPr>
        <w:spacing w:after="0" w:line="178"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Net Debt Amount, the Estimated Working Capital Amount and the Estimated Working Capital Adjustment Amount shall be used to calculate the Estimated Closing Payment.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Post-Closing Adjustment</w:t>
      </w:r>
    </w:p>
    <w:p>
      <w:pPr>
        <w:spacing w:after="0" w:line="220" w:lineRule="exact"/>
        <w:rPr>
          <w:sz w:val="20"/>
          <w:szCs w:val="20"/>
          <w:color w:val="auto"/>
        </w:rPr>
      </w:pPr>
    </w:p>
    <w:p>
      <w:pPr>
        <w:ind w:firstLine="1952"/>
        <w:spacing w:after="0" w:line="284" w:lineRule="auto"/>
        <w:tabs>
          <w:tab w:leader="none" w:pos="258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Debt Adjustment</w:t>
      </w:r>
      <w:r>
        <w:rPr>
          <w:rFonts w:ascii="Times New Roman" w:cs="Times New Roman" w:eastAsia="Times New Roman" w:hAnsi="Times New Roman"/>
          <w:sz w:val="22"/>
          <w:szCs w:val="22"/>
          <w:color w:val="auto"/>
        </w:rPr>
        <w:t xml:space="preserve">. If 80% of the Actual Net Debt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as applicable) is:</w:t>
      </w:r>
    </w:p>
    <w:p>
      <w:pPr>
        <w:spacing w:after="0" w:line="143"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2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80% of the Estimated Net Debt Amount then, Purchaser shall promptly, but in no event later than the date of the Second Installment Payment, pay an amount equal to such difference to Seller and the Purchase Price shall be deemed increased accordingly; or</w:t>
      </w:r>
    </w:p>
    <w:p>
      <w:pPr>
        <w:spacing w:after="0" w:line="172"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3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greater than 80% of the Estimated Net Debt Amount then, Seller shall promptly, but in no event later than the date of the Second Installment Payment pay an amount equal to such difference to Purchaser and the Purchase Price shall be deemed reduced accordingly.</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Working Capital Adjustment</w:t>
      </w:r>
      <w:r>
        <w:rPr>
          <w:rFonts w:ascii="Times New Roman" w:cs="Times New Roman" w:eastAsia="Times New Roman" w:hAnsi="Times New Roman"/>
          <w:sz w:val="22"/>
          <w:szCs w:val="22"/>
          <w:color w:val="auto"/>
        </w:rPr>
        <w:t xml:space="preserve">. If 80% of the Actual Working Capital Adjustment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as applicable) is:</w:t>
      </w:r>
    </w:p>
    <w:p>
      <w:pPr>
        <w:spacing w:after="0" w:line="157"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2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80 % of the Estimated Working Capital Adjustment Amount then, Seller shall promptly, but in no event later than the date of the Second Installment Payment, pay an amount equal to such difference to Purchaser and the Purchase Price shall be deemed reduced accordingly; or</w:t>
      </w:r>
    </w:p>
    <w:p>
      <w:pPr>
        <w:spacing w:after="0" w:line="167" w:lineRule="exact"/>
        <w:rPr>
          <w:rFonts w:ascii="Times New Roman" w:cs="Times New Roman" w:eastAsia="Times New Roman" w:hAnsi="Times New Roman"/>
          <w:sz w:val="22"/>
          <w:szCs w:val="22"/>
          <w:color w:val="auto"/>
        </w:rPr>
      </w:pPr>
    </w:p>
    <w:p>
      <w:pPr>
        <w:ind w:right="20" w:firstLine="2600"/>
        <w:spacing w:after="0" w:line="271" w:lineRule="auto"/>
        <w:tabs>
          <w:tab w:leader="none" w:pos="323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greater than 80% of the Estimated Working Capital Adjustment Amount then, Purchaser shall promptly, but in no event later than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91" w:name="page92"/>
    <w:bookmarkEnd w:id="91"/>
    <w:p>
      <w:pPr>
        <w:spacing w:after="0" w:line="271" w:lineRule="auto"/>
        <w:rPr>
          <w:sz w:val="20"/>
          <w:szCs w:val="20"/>
          <w:color w:val="auto"/>
        </w:rPr>
      </w:pPr>
      <w:r>
        <w:rPr>
          <w:rFonts w:ascii="Times New Roman" w:cs="Times New Roman" w:eastAsia="Times New Roman" w:hAnsi="Times New Roman"/>
          <w:sz w:val="22"/>
          <w:szCs w:val="22"/>
          <w:color w:val="auto"/>
        </w:rPr>
        <w:t>Second Installment Payment, pay an amount equal to such difference to Seller and the Purchase Price shall be deemed increased accordingly.</w:t>
      </w:r>
    </w:p>
    <w:p>
      <w:pPr>
        <w:spacing w:after="0" w:line="158" w:lineRule="exact"/>
        <w:rPr>
          <w:sz w:val="20"/>
          <w:szCs w:val="20"/>
          <w:color w:val="auto"/>
        </w:rPr>
      </w:pPr>
    </w:p>
    <w:p>
      <w:pPr>
        <w:ind w:firstLine="1952"/>
        <w:spacing w:after="0" w:line="284" w:lineRule="auto"/>
        <w:tabs>
          <w:tab w:leader="none" w:pos="258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if and to the extent that an item could be taken into account in one or more of the adjustments under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an adjustment will only be made once for that item.</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to the extent any payments to be made between the Parties pursuant to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are due at the same time, they shall be netted so that only one payment of the aggregate adjustments described herein will be payable by the relevant Party(ies).</w:t>
      </w:r>
    </w:p>
    <w:p>
      <w:pPr>
        <w:spacing w:after="0" w:line="172"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Purchaser and Seller acknowledges and agrees that the Purchase Price adjustment provisions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shall be the sole and exclusive remedy of Purchaser and Seller with respect to (i) determining whether or not any adjustment would be made to the Purchase Price pursuant to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(whether or not any such adjustment was, in fact, made), (ii) determining the amount of any such adjustment and/or (iii) any other claims relating to any of the components of the Purchase Price.</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Completion Accounts</w:t>
      </w:r>
    </w:p>
    <w:p>
      <w:pPr>
        <w:spacing w:after="0" w:line="220" w:lineRule="exact"/>
        <w:rPr>
          <w:sz w:val="20"/>
          <w:szCs w:val="20"/>
          <w:color w:val="auto"/>
        </w:rPr>
      </w:pPr>
    </w:p>
    <w:p>
      <w:pPr>
        <w:jc w:val="both"/>
        <w:ind w:firstLine="1952"/>
        <w:spacing w:after="0" w:line="250" w:lineRule="auto"/>
        <w:tabs>
          <w:tab w:leader="none" w:pos="258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shall engage the Independent Accountant to initiate the review of the Estimated Net Debt Amount, the Estimated Working Capital Amount and the Estimated Working Capital Adjustment Amount and the resulting calculation of the Estimated Closing Payment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within ten (10) calendar days after the Closing Date, and procure the Independent Accountant to issue the draft Completion Accounts within sixty (60) days after the Closing, together with a description of the methodology used in preparation of the Completion Accounts. The Parties shall procure the Company to fully cooperate with the Independent Accountant in preparing the Completion Accounts, in particular, by fully providing all information necessary for the preparation of the Completion Accounts to the Independent Accountant during normal working hours. For purpose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1863"/>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Completion Accounts</w:t>
      </w:r>
      <w:r>
        <w:rPr>
          <w:rFonts w:ascii="Times New Roman" w:cs="Times New Roman" w:eastAsia="Times New Roman" w:hAnsi="Times New Roman"/>
          <w:sz w:val="22"/>
          <w:szCs w:val="22"/>
          <w:color w:val="auto"/>
        </w:rPr>
        <w:t>” means the closing report with respect to the balance sheet of the Company as of 12:01 a.m. Beijing time on the Closing Date, together with Independent Accountant’s calculations of the Actual Net Debt Amount, the Actual Working Capital Amount and the Actual Working Capital Adjustment Amount, in each case, which shall be prepared and calculated in accordance with the Accounting Principles.</w:t>
      </w:r>
    </w:p>
    <w:p>
      <w:pPr>
        <w:spacing w:after="0" w:line="176" w:lineRule="exact"/>
        <w:rPr>
          <w:sz w:val="20"/>
          <w:szCs w:val="20"/>
          <w:color w:val="auto"/>
        </w:rPr>
      </w:pPr>
    </w:p>
    <w:p>
      <w:pPr>
        <w:jc w:val="both"/>
        <w:ind w:firstLine="1863"/>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Accountant</w:t>
      </w:r>
      <w:r>
        <w:rPr>
          <w:rFonts w:ascii="Times New Roman" w:cs="Times New Roman" w:eastAsia="Times New Roman" w:hAnsi="Times New Roman"/>
          <w:sz w:val="22"/>
          <w:szCs w:val="22"/>
          <w:color w:val="auto"/>
        </w:rPr>
        <w:t>” shall be Ernst &amp; Young’s Affiliate in the PRC or, if Ernst &amp; Young or such Affiliate declines to accept its appointment hereunder, such other accounting firm, qualified to practice in China and of international repute and standing mutually agreed upon by Seller and Purchaser.</w:t>
      </w:r>
    </w:p>
    <w:p>
      <w:pPr>
        <w:spacing w:after="0" w:line="173" w:lineRule="exact"/>
        <w:rPr>
          <w:sz w:val="20"/>
          <w:szCs w:val="20"/>
          <w:color w:val="auto"/>
        </w:rPr>
      </w:pPr>
    </w:p>
    <w:p>
      <w:pPr>
        <w:jc w:val="both"/>
        <w:ind w:firstLine="1952"/>
        <w:spacing w:after="0" w:line="263" w:lineRule="auto"/>
        <w:tabs>
          <w:tab w:leader="none" w:pos="258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of the draft Completion Accounts, Purchaser shall ensure that all information and assistance reasonably requested by Seller is given to Seller, its Affiliates and Representatives to review Independent Accountant’s draft Completion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and shall permit Representatives of Seller to have reasonable access to the books, records and other materials of the Company and the facilities and personnel of the Company, and take extracts from, or make copies of, the records, for the sole purposes of reviewing the Independent Accountant’s draft Completion Accounts. If Purchaser breaches its obligations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2.5(b)</w:t>
      </w:r>
      <w:r>
        <w:rPr>
          <w:rFonts w:ascii="Times New Roman" w:cs="Times New Roman" w:eastAsia="Times New Roman" w:hAnsi="Times New Roman"/>
          <w:sz w:val="22"/>
          <w:szCs w:val="22"/>
          <w:color w:val="auto"/>
        </w:rPr>
        <w:t xml:space="preserve">, the dispute period set forth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shall automatically be extended until such breach is cured by the breaching Party.</w:t>
      </w:r>
    </w:p>
    <w:p>
      <w:pPr>
        <w:spacing w:after="0" w:line="179" w:lineRule="exact"/>
        <w:rPr>
          <w:sz w:val="20"/>
          <w:szCs w:val="20"/>
          <w:color w:val="auto"/>
        </w:rPr>
      </w:pPr>
    </w:p>
    <w:p>
      <w:pPr>
        <w:jc w:val="both"/>
        <w:ind w:firstLine="1952"/>
        <w:spacing w:after="0" w:line="253" w:lineRule="auto"/>
        <w:tabs>
          <w:tab w:leader="none" w:pos="258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neither Seller nor Purchaser disputes the draft Completion Accounts within twenty (20) calendar days upon receipt of the draft Completion Accounts pursuant to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Final Objection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w:t>
      </w:r>
      <w:r>
        <w:rPr>
          <w:rFonts w:ascii="Times New Roman" w:cs="Times New Roman" w:eastAsia="Times New Roman" w:hAnsi="Times New Roman"/>
          <w:sz w:val="22"/>
          <w:szCs w:val="22"/>
          <w:color w:val="auto"/>
        </w:rPr>
        <w:t>he Independent Accountant’s draft Completion Accounts will be deemed to be the final Completion Accounts and the Actual Net Debt Amount, the Actual Working Capital Amount and the Actual Working Capital Adjustment Amount set forth therein will be final and binding on the Parties.</w:t>
      </w:r>
    </w:p>
    <w:p>
      <w:pPr>
        <w:spacing w:after="0" w:line="178" w:lineRule="exact"/>
        <w:rPr>
          <w:rFonts w:ascii="Times New Roman" w:cs="Times New Roman" w:eastAsia="Times New Roman" w:hAnsi="Times New Roman"/>
          <w:sz w:val="22"/>
          <w:szCs w:val="22"/>
          <w:color w:val="auto"/>
        </w:rPr>
      </w:pPr>
    </w:p>
    <w:p>
      <w:pPr>
        <w:jc w:val="both"/>
        <w:ind w:firstLine="1952"/>
        <w:spacing w:after="0" w:line="262" w:lineRule="auto"/>
        <w:tabs>
          <w:tab w:leader="none" w:pos="258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Seller or Purchaser identifies any manifest error in the daft Completion Accounts, such Party shall provide the other Party and the Independent Accountant with written notice of dispute with respect to any aspect of the draft Completion Accounts prior to the Final Objection Date (a “</w:t>
      </w:r>
      <w:r>
        <w:rPr>
          <w:rFonts w:ascii="Times New Roman" w:cs="Times New Roman" w:eastAsia="Times New Roman" w:hAnsi="Times New Roman"/>
          <w:sz w:val="21"/>
          <w:szCs w:val="21"/>
          <w:u w:val="single" w:color="auto"/>
          <w:color w:val="auto"/>
        </w:rPr>
        <w:t>Dispute Notice</w:t>
      </w:r>
      <w:r>
        <w:rPr>
          <w:rFonts w:ascii="Times New Roman" w:cs="Times New Roman" w:eastAsia="Times New Roman" w:hAnsi="Times New Roman"/>
          <w:sz w:val="21"/>
          <w:szCs w:val="21"/>
          <w:color w:val="auto"/>
        </w:rPr>
        <w:t>”), setting forth in reasonable detail each item so disputed (all such items with manifest errors, the “</w:t>
      </w:r>
      <w:r>
        <w:rPr>
          <w:rFonts w:ascii="Times New Roman" w:cs="Times New Roman" w:eastAsia="Times New Roman" w:hAnsi="Times New Roman"/>
          <w:sz w:val="21"/>
          <w:szCs w:val="21"/>
          <w:u w:val="single" w:color="auto"/>
          <w:color w:val="auto"/>
        </w:rPr>
        <w:t>Disputed Matters</w:t>
      </w:r>
      <w:r>
        <w:rPr>
          <w:rFonts w:ascii="Times New Roman" w:cs="Times New Roman" w:eastAsia="Times New Roman" w:hAnsi="Times New Roman"/>
          <w:sz w:val="21"/>
          <w:szCs w:val="21"/>
          <w:color w:val="auto"/>
        </w:rPr>
        <w:t xml:space="preserve">”), then the Parties shall work together in good faith with the Independent Accountant to resolve the Disputed Matters as soon as reasonably possible. To the extent such Disputed Matters are not resolved within fifteen (15) Business Days following the Dispute Notice, the Disputed Matters shall be resolved pursuant to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below. For the avoidance doubt, “manifest error” shall not include, and no Party shall challenge the determination of the Independent Accountant on the basis of, any application by the Independent Accountant of the Accounting Principles or any methodology permissive thereunder or the exercise of judgment or discretion by the Independent Accountant in connection with the preparation of the Completion Accounts which, in each case, is not unreasonable on its face.</w:t>
      </w:r>
    </w:p>
    <w:p>
      <w:pPr>
        <w:spacing w:after="0" w:line="171"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8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item or matter that is not a Disputed Matter shall become final and binding, unless the resolution of any item or matter objected to in the Dispute Notice affects any such aspect, or presupposes the inaccuracy of any such aspect, in which case such aspect shall, notwithstanding the failure to specifically dispute such aspect in the Dispute Notice, be considered disputed in the Dispute Notice.</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and expenses of the Independent Accountant shall be borne equally by Purchaser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w:t>
      </w:r>
    </w:p>
    <w:p>
      <w:pPr>
        <w:spacing w:after="0" w:line="192"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Intentionally left blank</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Deferred Payments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As additional consideration for the Purchased Interest, Purchaser shall pay to Seller an amount equal to US$187,200,000, in the aggregate, in the form of five (5) equal deferred payments each in the sum of US$37,440,000 (each such payment, a “</w:t>
      </w:r>
      <w:r>
        <w:rPr>
          <w:rFonts w:ascii="Times New Roman" w:cs="Times New Roman" w:eastAsia="Times New Roman" w:hAnsi="Times New Roman"/>
          <w:sz w:val="22"/>
          <w:szCs w:val="22"/>
          <w:u w:val="single" w:color="auto"/>
          <w:color w:val="auto"/>
        </w:rPr>
        <w:t>Deferred Payment</w:t>
      </w:r>
      <w:r>
        <w:rPr>
          <w:rFonts w:ascii="Times New Roman" w:cs="Times New Roman" w:eastAsia="Times New Roman" w:hAnsi="Times New Roman"/>
          <w:sz w:val="22"/>
          <w:szCs w:val="22"/>
          <w:color w:val="auto"/>
        </w:rPr>
        <w: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93" w:name="page94"/>
    <w:bookmarkEnd w:id="93"/>
    <w:p>
      <w:pPr>
        <w:ind w:right="20"/>
        <w:spacing w:after="0" w:line="271" w:lineRule="auto"/>
        <w:rPr>
          <w:sz w:val="20"/>
          <w:szCs w:val="20"/>
          <w:color w:val="auto"/>
        </w:rPr>
      </w:pPr>
      <w:r>
        <w:rPr>
          <w:rFonts w:ascii="Times New Roman" w:cs="Times New Roman" w:eastAsia="Times New Roman" w:hAnsi="Times New Roman"/>
          <w:sz w:val="22"/>
          <w:szCs w:val="22"/>
          <w:color w:val="auto"/>
        </w:rPr>
        <w:t>paid upon each twelve (12) month anniversary of the Closing Date (each, a “</w:t>
      </w:r>
      <w:r>
        <w:rPr>
          <w:rFonts w:ascii="Times New Roman" w:cs="Times New Roman" w:eastAsia="Times New Roman" w:hAnsi="Times New Roman"/>
          <w:sz w:val="22"/>
          <w:szCs w:val="22"/>
          <w:u w:val="single" w:color="auto"/>
          <w:color w:val="auto"/>
        </w:rPr>
        <w:t>Deferred Payment Date</w:t>
      </w:r>
      <w:r>
        <w:rPr>
          <w:rFonts w:ascii="Times New Roman" w:cs="Times New Roman" w:eastAsia="Times New Roman" w:hAnsi="Times New Roman"/>
          <w:sz w:val="22"/>
          <w:szCs w:val="22"/>
          <w:color w:val="auto"/>
        </w:rPr>
        <w:t>”) for the five (5) annual periods immediately following the Closing.</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u w:val="single" w:color="auto"/>
          <w:color w:val="auto"/>
        </w:rPr>
        <w:t>Closing</w:t>
      </w:r>
    </w:p>
    <w:p>
      <w:pPr>
        <w:spacing w:after="0" w:line="233" w:lineRule="exact"/>
        <w:rPr>
          <w:sz w:val="20"/>
          <w:szCs w:val="20"/>
          <w:color w:val="auto"/>
        </w:rPr>
      </w:pPr>
    </w:p>
    <w:p>
      <w:pPr>
        <w:ind w:left="2600" w:hanging="648"/>
        <w:spacing w:after="0"/>
        <w:tabs>
          <w:tab w:leader="none" w:pos="26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purchase and sale of the Purchased Interest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w:t>
      </w:r>
    </w:p>
    <w:p>
      <w:pPr>
        <w:spacing w:after="0" w:line="27" w:lineRule="exact"/>
        <w:rPr>
          <w:rFonts w:ascii="Times New Roman" w:cs="Times New Roman" w:eastAsia="Times New Roman" w:hAnsi="Times New Roman"/>
          <w:sz w:val="22"/>
          <w:szCs w:val="22"/>
          <w:color w:val="auto"/>
        </w:rPr>
      </w:pPr>
    </w:p>
    <w:p>
      <w:pPr>
        <w:jc w:val="both"/>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place: (i) at the offices of O’Melveny &amp; Myers LLP, JC Plaza, 12th Floor, 1225 Nanjing Road West, Shanghai 200040, the People’s Republic of China at 8:01 a.m. Beijing time, on the later of (A) September 28, 2024 and (B)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Business Day following the date on which the last of the conditions required to be satisfied or waived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is either satisfied or waived (other than those conditions that by their nature are to be satisfied at the Closing); or (ii) at such other place, time or date as Purchaser and Seller may agree upon in writing. The date on which the Closing occurs is referred to herein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u w:val="single" w:color="auto"/>
          <w:color w:val="auto"/>
        </w:rPr>
        <w:t>Deliveries by Seller</w:t>
      </w:r>
    </w:p>
    <w:p>
      <w:pPr>
        <w:spacing w:after="0" w:line="220" w:lineRule="exact"/>
        <w:rPr>
          <w:sz w:val="20"/>
          <w:szCs w:val="20"/>
          <w:color w:val="auto"/>
        </w:rPr>
      </w:pPr>
    </w:p>
    <w:p>
      <w:pPr>
        <w:jc w:val="both"/>
        <w:ind w:firstLine="1952"/>
        <w:spacing w:after="0" w:line="257" w:lineRule="auto"/>
        <w:tabs>
          <w:tab w:leader="none" w:pos="258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Deliveries by Seller</w:t>
      </w:r>
      <w:r>
        <w:rPr>
          <w:rFonts w:ascii="Times New Roman" w:cs="Times New Roman" w:eastAsia="Times New Roman" w:hAnsi="Times New Roman"/>
          <w:sz w:val="22"/>
          <w:szCs w:val="22"/>
          <w:color w:val="auto"/>
        </w:rPr>
        <w:t>. No later than one (1) Business Day prior to the date on which the Company submits the application for the AMR Approval, Seller shall deliver or cause to be delivered to Purchaser each of the following:</w:t>
      </w:r>
    </w:p>
    <w:p>
      <w:pPr>
        <w:spacing w:after="0" w:line="18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counterpart to each of the Ancillary Agreements, duly executed by an authorized signatory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Seller and/or its Affiliates;</w:t>
      </w:r>
    </w:p>
    <w:p>
      <w:pPr>
        <w:spacing w:after="0" w:line="195" w:lineRule="exact"/>
        <w:rPr>
          <w:rFonts w:ascii="Times New Roman" w:cs="Times New Roman" w:eastAsia="Times New Roman" w:hAnsi="Times New Roman"/>
          <w:sz w:val="21"/>
          <w:szCs w:val="21"/>
          <w:color w:val="auto"/>
        </w:rPr>
      </w:pPr>
    </w:p>
    <w:p>
      <w:pPr>
        <w:ind w:right="20" w:firstLine="2600"/>
        <w:spacing w:after="0" w:line="271" w:lineRule="auto"/>
        <w:tabs>
          <w:tab w:leader="none" w:pos="323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Seller has been authorized to execute this Agreement and each Ancillary Agreement to which it is a party and to enter into the transactions contemplated hereunder and thereunder; and</w:t>
      </w:r>
    </w:p>
    <w:p>
      <w:pPr>
        <w:spacing w:after="0" w:line="157" w:lineRule="exact"/>
        <w:rPr>
          <w:rFonts w:ascii="Times New Roman" w:cs="Times New Roman" w:eastAsia="Times New Roman" w:hAnsi="Times New Roman"/>
          <w:sz w:val="22"/>
          <w:szCs w:val="22"/>
          <w:color w:val="auto"/>
        </w:rPr>
      </w:pPr>
    </w:p>
    <w:p>
      <w:pPr>
        <w:jc w:val="both"/>
        <w:ind w:firstLine="2600"/>
        <w:spacing w:after="0" w:line="253" w:lineRule="auto"/>
        <w:tabs>
          <w:tab w:leader="none" w:pos="32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signed letters of resignation of the following Persons from the applicable position(s) of the Company, effective as of the AMR Approval: (i) Bock Kim Lee as Director, Chairman and Legal Representative, (ii) Terry (Hairong) Yao as Director, and (iii) Lucy (Yinye) Shu as Director and duly signed letters of nomination of Persons to be nominated by Seller to the application position(s) of the Company pursuant to the Shareholders Agreement and the Amended and Restated Articles of Association.</w:t>
      </w:r>
    </w:p>
    <w:p>
      <w:pPr>
        <w:spacing w:after="0" w:line="17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 by Seller</w:t>
      </w:r>
      <w:r>
        <w:rPr>
          <w:rFonts w:ascii="Times New Roman" w:cs="Times New Roman" w:eastAsia="Times New Roman" w:hAnsi="Times New Roman"/>
          <w:sz w:val="22"/>
          <w:szCs w:val="22"/>
          <w:color w:val="auto"/>
        </w:rPr>
        <w:t>. At the Closing, Seller shall deliver or cause to be delivered to</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w:t>
      </w:r>
    </w:p>
    <w:p>
      <w:pPr>
        <w:spacing w:after="0" w:line="20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updated register of shareholders of the Company, certified true, accurate and complete by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 officer of the Company, reflecting Purchaser as the owner of an 80% equity interest in the Company;</w:t>
      </w:r>
    </w:p>
    <w:p>
      <w:pPr>
        <w:spacing w:after="0" w:line="195"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revised business license of the Company issued by SAMR, and the company chop of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94" w:name="page95"/>
    <w:bookmarkEnd w:id="94"/>
    <w:p>
      <w:pPr>
        <w:ind w:firstLine="2600"/>
        <w:spacing w:after="0" w:line="271" w:lineRule="auto"/>
        <w:tabs>
          <w:tab w:leader="none" w:pos="3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records, all accounting books and records, copies Tax returns filed and related correspondence (if any), and cryptographic keys of all bank accounts of the Company;</w:t>
      </w:r>
    </w:p>
    <w:p>
      <w:pPr>
        <w:spacing w:after="0" w:line="15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roster listing all employees of the Company as of the Closing Date, specifying their name,</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employee ID and position; and</w:t>
      </w:r>
    </w:p>
    <w:p>
      <w:pPr>
        <w:spacing w:after="0" w:line="207"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electronic copy (USB) of the VDR as provided to Purchaser on the date of the Original</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Deliveries by Purchaser</w:t>
      </w:r>
    </w:p>
    <w:p>
      <w:pPr>
        <w:spacing w:after="0" w:line="220" w:lineRule="exact"/>
        <w:rPr>
          <w:sz w:val="20"/>
          <w:szCs w:val="20"/>
          <w:color w:val="auto"/>
        </w:rPr>
      </w:pPr>
    </w:p>
    <w:p>
      <w:pPr>
        <w:jc w:val="both"/>
        <w:ind w:firstLine="1952"/>
        <w:spacing w:after="0" w:line="263" w:lineRule="auto"/>
        <w:tabs>
          <w:tab w:leader="none" w:pos="258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Deliveries by Purchaser</w:t>
      </w:r>
      <w:r>
        <w:rPr>
          <w:rFonts w:ascii="Times New Roman" w:cs="Times New Roman" w:eastAsia="Times New Roman" w:hAnsi="Times New Roman"/>
          <w:sz w:val="22"/>
          <w:szCs w:val="22"/>
          <w:color w:val="auto"/>
        </w:rPr>
        <w:t>. No later than one (1) Business Day prior to the date on which the Company submits the application for the AMR Approval, Purchaser shall deliver or cause to be delivered to Seller each of the following:</w:t>
      </w:r>
    </w:p>
    <w:p>
      <w:pPr>
        <w:spacing w:after="0" w:line="16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counterpart to each of the Ancillary Agreements, duly executed by an authorized signatory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Purchaser and/or its Affiliates;</w:t>
      </w:r>
    </w:p>
    <w:p>
      <w:pPr>
        <w:spacing w:after="0" w:line="195"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Guarantee, duly issued by the Purchaser Guarantor in favor of Seller;</w:t>
      </w:r>
    </w:p>
    <w:p>
      <w:pPr>
        <w:spacing w:after="0" w:line="219" w:lineRule="exact"/>
        <w:rPr>
          <w:rFonts w:ascii="Times New Roman" w:cs="Times New Roman" w:eastAsia="Times New Roman" w:hAnsi="Times New Roman"/>
          <w:sz w:val="22"/>
          <w:szCs w:val="22"/>
          <w:color w:val="auto"/>
        </w:rPr>
      </w:pPr>
    </w:p>
    <w:p>
      <w:pPr>
        <w:ind w:firstLine="2600"/>
        <w:spacing w:after="0" w:line="309" w:lineRule="auto"/>
        <w:tabs>
          <w:tab w:leader="none" w:pos="324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signed letters of nomination of Persons to be nominated by Purchaser to the application position(s) of the Company pursuant to the Shareholders Agreement and the Amended and Restated Articles of Association; and</w:t>
      </w:r>
    </w:p>
    <w:p>
      <w:pPr>
        <w:spacing w:after="0" w:line="120"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Purchaser has been authorized to execute this Agreement and each Ancillary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to which it is a party and to enter into the transactions contemplated hereunder and thereunder.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-29210</wp:posOffset>
            </wp:positionV>
            <wp:extent cx="34245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18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Except as qualified or supplemented by the Seller Disclosure Letter and the general disclosure as contemplated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Seller represents and warrants to Purchaser as follows:</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20" w:lineRule="exact"/>
        <w:rPr>
          <w:sz w:val="20"/>
          <w:szCs w:val="20"/>
          <w:color w:val="auto"/>
        </w:rPr>
      </w:pPr>
    </w:p>
    <w:p>
      <w:pPr>
        <w:ind w:firstLine="1952"/>
        <w:spacing w:after="0" w:line="271" w:lineRule="auto"/>
        <w:tabs>
          <w:tab w:leader="none" w:pos="258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duly formed, validly existing and in good standing (to the extent the applicable jurisdiction recognizes such concept) under the Laws of the Republic of Ireland.</w:t>
      </w:r>
    </w:p>
    <w:p>
      <w:pPr>
        <w:spacing w:after="0" w:line="17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duly qualified to do business and is in good standing (to the extent the applicable jurisdiction recognizes such concept) under the Laws of each jurisdiction in which the conduct of its business, or the character of the properties owned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71" w:lineRule="auto"/>
        <w:rPr>
          <w:sz w:val="20"/>
          <w:szCs w:val="20"/>
          <w:color w:val="auto"/>
        </w:rPr>
      </w:pPr>
      <w:r>
        <w:rPr>
          <w:rFonts w:ascii="Times New Roman" w:cs="Times New Roman" w:eastAsia="Times New Roman" w:hAnsi="Times New Roman"/>
          <w:sz w:val="22"/>
          <w:szCs w:val="22"/>
          <w:color w:val="auto"/>
        </w:rPr>
        <w:t>leased by it, requires it to be so qualified, except where the failure to be so qualified or to be in good standing would not have a Seller Material Adverse Effect.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Authorization; Enforceability</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Seller has the requisite corporate or other similar power, as applicable, and has the authority to execute and deliver this Agreement and all agreements and documents contemplated hereby to be executed and delivered by it, and to consummate the transactions contemplated hereby and thereby. The execution and delivery of this Agreement and such other agreements and documents and the consummation of the transactions contemplated herein and therein have been duly and validly authorized by all requisite corporate, partnership or limited liability company or other similar action, as applicable on the part of Seller. This Agreement has been, and all agreements and documents contemplated hereby to be executed and delivered by it shall be, duly and validly executed and delivered by Seller and, assuming the due authorization, execution and delivery by the parties hereto and thereto, shall upon such execution and delivery hereof and thereof be the legal, valid and binding obligations of Seller hereunder and thereunder, as applicable, enforceable against Seller in accordance with its terms, except as limited by the General Enforceability Exceptions.</w:t>
      </w:r>
    </w:p>
    <w:p>
      <w:pPr>
        <w:spacing w:after="0" w:line="19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p>
    <w:p>
      <w:pPr>
        <w:spacing w:after="0" w:line="233" w:lineRule="exact"/>
        <w:rPr>
          <w:sz w:val="20"/>
          <w:szCs w:val="20"/>
          <w:color w:val="auto"/>
        </w:rPr>
      </w:pPr>
    </w:p>
    <w:p>
      <w:pPr>
        <w:jc w:val="both"/>
        <w:ind w:firstLine="1952"/>
        <w:spacing w:after="0" w:line="247" w:lineRule="auto"/>
        <w:tabs>
          <w:tab w:leader="none" w:pos="258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execution and delivery of this Agreement by Seller, or the other agreements and documents contemplated hereby to be executed and delivered by Seller, nor the consummation by Seller of the transactions contemplated herein or therein, nor compliance by Seller with any of the provisions hereof or thereof, shall: (i) conflict with or result in a breach of any provisions of the Organizational Documents of Seller and the Company; (ii) constitute or result in any material breach of any term, condition or provision of, or constitute a default under, or give rise to any right of termination, cancellation or acceleration with respect to any Company Contract; (iii) result in the creation or imposition of a Lien (other than any Permitted Lien) upon any property or assets of the Company pursuant to any Company Contract; or (iv) subject to receipt by Seller of the requisite Consents described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of the Seller Disclosure Letter and by Purchaser of the approvals contemplated in </w:t>
      </w:r>
      <w:r>
        <w:rPr>
          <w:rFonts w:ascii="Times New Roman" w:cs="Times New Roman" w:eastAsia="Times New Roman" w:hAnsi="Times New Roman"/>
          <w:sz w:val="22"/>
          <w:szCs w:val="22"/>
          <w:u w:val="single" w:color="auto"/>
          <w:color w:val="auto"/>
        </w:rPr>
        <w:t>Section 4.3(b)</w:t>
      </w:r>
      <w:r>
        <w:rPr>
          <w:rFonts w:ascii="Times New Roman" w:cs="Times New Roman" w:eastAsia="Times New Roman" w:hAnsi="Times New Roman"/>
          <w:sz w:val="22"/>
          <w:szCs w:val="22"/>
          <w:color w:val="auto"/>
        </w:rPr>
        <w:t xml:space="preserve"> below, violate any Law or Order applicable to the Company and/or Seller or its properties or assets in any material respect.</w:t>
      </w:r>
    </w:p>
    <w:p>
      <w:pPr>
        <w:spacing w:after="0" w:line="204"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Consent from any Governmental Authority material to the Company or its business is required to be obtained by Seller and/or the Company for the consummation by Seller of the transactions contemplated by this Agreement, except in connection, or in compliance, with the PRC Antitrust Clearance and other approvals from any Governmental Authorities required under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and as set forth in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of the Seller Disclosure Letter.</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Seller Litigation</w:t>
      </w:r>
    </w:p>
    <w:p>
      <w:pPr>
        <w:spacing w:after="0" w:line="220" w:lineRule="exact"/>
        <w:rPr>
          <w:sz w:val="20"/>
          <w:szCs w:val="20"/>
          <w:color w:val="auto"/>
        </w:rPr>
      </w:pPr>
    </w:p>
    <w:p>
      <w:pPr>
        <w:ind w:firstLine="1952"/>
        <w:spacing w:after="0" w:line="284" w:lineRule="auto"/>
        <w:tabs>
          <w:tab w:leader="none" w:pos="258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Action pending or, to the Knowledge of Seller, threatened, against Seller or any of its Affiliates by or before any Governmental Authority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determined in a manner adverse to Seller or any of its Affiliates, would have a Seller Material Adverse Effect.</w:t>
      </w:r>
    </w:p>
    <w:p>
      <w:pPr>
        <w:spacing w:after="0" w:line="220" w:lineRule="exact"/>
        <w:rPr>
          <w:sz w:val="20"/>
          <w:szCs w:val="20"/>
          <w:color w:val="auto"/>
        </w:rPr>
      </w:pPr>
    </w:p>
    <w:p>
      <w:pPr>
        <w:ind w:right="20" w:firstLine="1952"/>
        <w:spacing w:after="0" w:line="271" w:lineRule="auto"/>
        <w:tabs>
          <w:tab w:leader="none" w:pos="258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outstanding Order binding on or, to the Knowledge of Seller, threatened, against Seller or any of its Affiliates that would have a Seller Material Adverse Effect.</w:t>
      </w:r>
    </w:p>
    <w:p>
      <w:pPr>
        <w:spacing w:after="0" w:line="17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u w:val="single" w:color="auto"/>
          <w:color w:val="auto"/>
        </w:rPr>
        <w:t>Ownership of Purchased Interest</w:t>
      </w:r>
    </w:p>
    <w:p>
      <w:pPr>
        <w:spacing w:after="0" w:line="220" w:lineRule="exact"/>
        <w:rPr>
          <w:sz w:val="20"/>
          <w:szCs w:val="20"/>
          <w:color w:val="auto"/>
        </w:rPr>
      </w:pPr>
    </w:p>
    <w:p>
      <w:pPr>
        <w:ind w:firstLine="1952"/>
        <w:spacing w:after="0" w:line="271" w:lineRule="auto"/>
        <w:tabs>
          <w:tab w:leader="none" w:pos="258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owns as of record and beneficially owns all of the Purchased Interest free and clear of all Liens, except for any restriction on transfer pursuant to applicable Laws.</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applicable Laws or the Organizational Documents of the Company, each of Seller and the Company is not party to any option, warrant, purchase right or subscription right, convertible security or other right Contract (other than this Agreement) that could (i) require Seller to sell, transfer or otherwise dispose of or acquire any equity interests of the Company; or (ii) require the Company to issue or distribute to holders of any equity interest of the Company, or authorize any third party to subscribe for any equity interest of the Company.</w:t>
      </w:r>
    </w:p>
    <w:p>
      <w:pPr>
        <w:spacing w:after="0" w:line="178" w:lineRule="exact"/>
        <w:rPr>
          <w:rFonts w:ascii="Times New Roman" w:cs="Times New Roman" w:eastAsia="Times New Roman" w:hAnsi="Times New Roman"/>
          <w:sz w:val="22"/>
          <w:szCs w:val="22"/>
          <w:color w:val="auto"/>
        </w:rPr>
      </w:pPr>
    </w:p>
    <w:p>
      <w:pPr>
        <w:ind w:firstLine="1952"/>
        <w:spacing w:after="0" w:line="271" w:lineRule="auto"/>
        <w:tabs>
          <w:tab w:leader="none" w:pos="258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voting trusts, proxies or another agreements or understandings with respect to the voting of equity interest of the Company, other than the Shareholders Agreement.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33" w:lineRule="exact"/>
        <w:rPr>
          <w:sz w:val="20"/>
          <w:szCs w:val="20"/>
          <w:color w:val="auto"/>
        </w:rPr>
      </w:pPr>
    </w:p>
    <w:p>
      <w:pPr>
        <w:ind w:left="2600" w:hanging="648"/>
        <w:spacing w:after="0"/>
        <w:tabs>
          <w:tab w:leader="none" w:pos="26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limited liability company duly organized, validly existing and in good standing</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Laws of the PRC.</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duly qualified to do business and is in good standing (to the extent the applicable jurisdiction recognizes such concept) under the Laws of each jurisdiction in which the conduct of its business, or the character of the properties owned or leased by it, requires it to be so qualified.</w:t>
      </w:r>
    </w:p>
    <w:p>
      <w:pPr>
        <w:spacing w:after="0" w:line="18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Capitalization and Corporate Structure</w:t>
      </w:r>
    </w:p>
    <w:p>
      <w:pPr>
        <w:spacing w:after="0" w:line="220" w:lineRule="exact"/>
        <w:rPr>
          <w:sz w:val="20"/>
          <w:szCs w:val="20"/>
          <w:color w:val="auto"/>
        </w:rPr>
      </w:pPr>
    </w:p>
    <w:p>
      <w:pPr>
        <w:ind w:firstLine="1952"/>
        <w:spacing w:after="0" w:line="271" w:lineRule="auto"/>
        <w:tabs>
          <w:tab w:leader="none" w:pos="258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capital of the Company as of the date of the Original Agreement is US$272,000,000, all of which has been (or will be) contributed and paid up by Seller prior to the Closing.</w:t>
      </w:r>
    </w:p>
    <w:p>
      <w:pPr>
        <w:spacing w:after="0" w:line="157"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own or Control, directly or indirectly, any equity interests in any joint venture, partnership or similar arrangement. The Company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97" w:name="page98"/>
    <w:bookmarkEnd w:id="97"/>
    <w:p>
      <w:pPr>
        <w:spacing w:after="0" w:line="271" w:lineRule="auto"/>
        <w:rPr>
          <w:sz w:val="20"/>
          <w:szCs w:val="20"/>
          <w:color w:val="auto"/>
        </w:rPr>
      </w:pPr>
      <w:r>
        <w:rPr>
          <w:rFonts w:ascii="Times New Roman" w:cs="Times New Roman" w:eastAsia="Times New Roman" w:hAnsi="Times New Roman"/>
          <w:sz w:val="22"/>
          <w:szCs w:val="22"/>
          <w:color w:val="auto"/>
        </w:rPr>
        <w:t>and will not be obligated to make any investment in or capital contribution to or on behalf of any other Person. The Company does not have any registered or unregistered branch company.</w:t>
      </w:r>
    </w:p>
    <w:p>
      <w:pPr>
        <w:spacing w:after="0" w:line="158" w:lineRule="exact"/>
        <w:rPr>
          <w:sz w:val="20"/>
          <w:szCs w:val="20"/>
          <w:color w:val="auto"/>
        </w:rPr>
      </w:pPr>
    </w:p>
    <w:p>
      <w:pPr>
        <w:jc w:val="both"/>
        <w:ind w:firstLine="1952"/>
        <w:spacing w:after="0" w:line="266" w:lineRule="auto"/>
        <w:tabs>
          <w:tab w:leader="none" w:pos="258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the registered capital and shareholding changes and other historical entity changes of the Company from its establishment are valid and all requisite filings and other formalities in relation to such registered capital changes, shareholding changes and other historical entity changes required by PRC Laws and any other applicable Laws have been duly submitted, delivered, approved and registered, except for such other historical entity changes of the Company, where the failure to be valid or submitted, delivered, approved and registered would not have a Company Material Adverse Effect. Except as set forth in </w:t>
      </w:r>
      <w:r>
        <w:rPr>
          <w:rFonts w:ascii="Times New Roman" w:cs="Times New Roman" w:eastAsia="Times New Roman" w:hAnsi="Times New Roman"/>
          <w:sz w:val="21"/>
          <w:szCs w:val="21"/>
          <w:u w:val="single" w:color="auto"/>
          <w:color w:val="auto"/>
        </w:rPr>
        <w:t>Section 3.7(c)</w:t>
      </w:r>
      <w:r>
        <w:rPr>
          <w:rFonts w:ascii="Times New Roman" w:cs="Times New Roman" w:eastAsia="Times New Roman" w:hAnsi="Times New Roman"/>
          <w:sz w:val="21"/>
          <w:szCs w:val="21"/>
          <w:color w:val="auto"/>
        </w:rPr>
        <w:t xml:space="preserve"> of the Seller Disclosure Letter, any payments required for the above registered capital changes and shareholding changes of the Company have been fully made and settled without any potential or unsolved disputes.</w:t>
      </w:r>
    </w:p>
    <w:p>
      <w:pPr>
        <w:spacing w:after="0" w:line="165"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3.8</w:t>
      </w:r>
      <w:r>
        <w:rPr>
          <w:sz w:val="20"/>
          <w:szCs w:val="20"/>
          <w:color w:val="auto"/>
        </w:rPr>
        <w:tab/>
      </w:r>
      <w:r>
        <w:rPr>
          <w:rFonts w:ascii="Times New Roman" w:cs="Times New Roman" w:eastAsia="Times New Roman" w:hAnsi="Times New Roman"/>
          <w:sz w:val="21"/>
          <w:szCs w:val="21"/>
          <w:u w:val="single" w:color="auto"/>
          <w:color w:val="auto"/>
        </w:rPr>
        <w:t>Financial Statements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of the Seller Disclosure Letter includes true and complete copies of the Company’s (a) audited balance sheets as of December 31, 2021, December 31, 2022 and unaudited balance sheet as of June 30, 2023 (the last balance sheet, the “</w:t>
      </w:r>
      <w:r>
        <w:rPr>
          <w:rFonts w:ascii="Times New Roman" w:cs="Times New Roman" w:eastAsia="Times New Roman" w:hAnsi="Times New Roman"/>
          <w:sz w:val="21"/>
          <w:szCs w:val="21"/>
          <w:u w:val="single" w:color="auto"/>
          <w:color w:val="auto"/>
        </w:rPr>
        <w:t>2023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Balance Sheet</w:t>
      </w:r>
      <w:r>
        <w:rPr>
          <w:rFonts w:ascii="Times New Roman" w:cs="Times New Roman" w:eastAsia="Times New Roman" w:hAnsi="Times New Roman"/>
          <w:sz w:val="21"/>
          <w:szCs w:val="21"/>
          <w:color w:val="auto"/>
        </w:rPr>
        <w:t>”, and the date thereof, the “</w:t>
      </w:r>
      <w:r>
        <w:rPr>
          <w:rFonts w:ascii="Times New Roman" w:cs="Times New Roman" w:eastAsia="Times New Roman" w:hAnsi="Times New Roman"/>
          <w:sz w:val="21"/>
          <w:szCs w:val="21"/>
          <w:u w:val="single" w:color="auto"/>
          <w:color w:val="auto"/>
        </w:rPr>
        <w:t>Statement Date</w:t>
      </w:r>
      <w:r>
        <w:rPr>
          <w:rFonts w:ascii="Times New Roman" w:cs="Times New Roman" w:eastAsia="Times New Roman" w:hAnsi="Times New Roman"/>
          <w:sz w:val="21"/>
          <w:szCs w:val="21"/>
          <w:color w:val="auto"/>
        </w:rPr>
        <w:t>”) and (b) audited income statements and statements of cash flows as of and for the fiscal years ended 2021 and 2022 and unaudited income statement and statement of cash flows as of and for the six</w:t>
      </w:r>
    </w:p>
    <w:p>
      <w:pPr>
        <w:spacing w:after="0" w:line="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(6)-month period ended June 30, 2023 ((a) and (b) collectively,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Financial Statements (i) were prepared in accordance with the Accounting Principles consistently applied for the periods indicated (except as otherwise noted therein) and (ii) the balance sheets present fairly, in all material respects, the financial position of the Company, as of their respective dates, and the income statements and statements of cash flows present fairly, in all material respects, the results of the Company’s operations and its cash flows for the periods presented therein, all in accordance with the Accounting Principles.</w:t>
      </w:r>
    </w:p>
    <w:p>
      <w:pPr>
        <w:spacing w:after="0" w:line="18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Conduct of Business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Except for actions taken in connection with the process of selling the Purchased Interest (including the preparation and implementation of the transactions contemplated hereunder) and except as set forth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of the Seller Disclosure Letter, since the Statement Date until the date of the Original Agreement:</w:t>
      </w:r>
    </w:p>
    <w:p>
      <w:pPr>
        <w:spacing w:after="0" w:line="173" w:lineRule="exact"/>
        <w:rPr>
          <w:sz w:val="20"/>
          <w:szCs w:val="20"/>
          <w:color w:val="auto"/>
        </w:rPr>
      </w:pPr>
    </w:p>
    <w:p>
      <w:pPr>
        <w:ind w:firstLine="1952"/>
        <w:spacing w:after="0" w:line="284" w:lineRule="auto"/>
        <w:tabs>
          <w:tab w:leader="none" w:pos="258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conducted its businesses and operations in the ordinary course of business, consistent with past practice, in all material respects; and</w:t>
      </w:r>
    </w:p>
    <w:p>
      <w:pPr>
        <w:spacing w:after="0" w:line="14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been any Company Material Adverse Effect.</w:t>
      </w:r>
    </w:p>
    <w:p>
      <w:pPr>
        <w:spacing w:after="0" w:line="22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Company Litigation</w:t>
      </w:r>
    </w:p>
    <w:p>
      <w:pPr>
        <w:spacing w:after="0" w:line="220" w:lineRule="exact"/>
        <w:rPr>
          <w:sz w:val="20"/>
          <w:szCs w:val="20"/>
          <w:color w:val="auto"/>
        </w:rPr>
      </w:pPr>
    </w:p>
    <w:p>
      <w:pPr>
        <w:ind w:firstLine="1952"/>
        <w:spacing w:after="0" w:line="271" w:lineRule="auto"/>
        <w:tabs>
          <w:tab w:leader="none" w:pos="258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pending or, to the Knowledge of Seller, threatened, against the Company or any Person (in his/her capacity as a director, supervisor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98" w:name="page99"/>
    <w:bookmarkEnd w:id="98"/>
    <w:p>
      <w:pPr>
        <w:spacing w:after="0" w:line="271" w:lineRule="auto"/>
        <w:rPr>
          <w:sz w:val="20"/>
          <w:szCs w:val="20"/>
          <w:color w:val="auto"/>
        </w:rPr>
      </w:pPr>
      <w:r>
        <w:rPr>
          <w:rFonts w:ascii="Times New Roman" w:cs="Times New Roman" w:eastAsia="Times New Roman" w:hAnsi="Times New Roman"/>
          <w:sz w:val="22"/>
          <w:szCs w:val="22"/>
          <w:color w:val="auto"/>
        </w:rPr>
        <w:t>officer of the Company) by or before any Governmental Authority that, if determined in a manner adverse to the Company, either alone or in combination, would have a Company Material Adverse Effect.</w:t>
      </w:r>
    </w:p>
    <w:p>
      <w:pPr>
        <w:spacing w:after="0" w:line="158" w:lineRule="exact"/>
        <w:rPr>
          <w:sz w:val="20"/>
          <w:szCs w:val="20"/>
          <w:color w:val="auto"/>
        </w:rPr>
      </w:pPr>
    </w:p>
    <w:p>
      <w:pPr>
        <w:ind w:left="2600" w:hanging="648"/>
        <w:spacing w:after="0"/>
        <w:tabs>
          <w:tab w:leader="none" w:pos="26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Orders binding on the Company that would have a Company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Adverse Effect.</w:t>
      </w:r>
    </w:p>
    <w:p>
      <w:pPr>
        <w:spacing w:after="0" w:line="207" w:lineRule="exact"/>
        <w:rPr>
          <w:sz w:val="20"/>
          <w:szCs w:val="20"/>
          <w:color w:val="auto"/>
        </w:rPr>
      </w:pPr>
    </w:p>
    <w:p>
      <w:pPr>
        <w:jc w:val="both"/>
        <w:ind w:firstLine="1952"/>
        <w:spacing w:after="0" w:line="257" w:lineRule="auto"/>
        <w:tabs>
          <w:tab w:leader="none" w:pos="258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in material default with respect to any court, administrative or arbitration order, judgment, injunction, decree or other award made by any Governmental Authority, and to the Knowledge of Seller, no circumstance or fact exists which is likely to give rise to a material default of any of the aforementioned.</w:t>
      </w:r>
    </w:p>
    <w:p>
      <w:pPr>
        <w:spacing w:after="0" w:line="17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33" w:lineRule="exact"/>
        <w:rPr>
          <w:sz w:val="20"/>
          <w:szCs w:val="20"/>
          <w:color w:val="auto"/>
        </w:rPr>
      </w:pPr>
    </w:p>
    <w:p>
      <w:pPr>
        <w:jc w:val="both"/>
        <w:ind w:firstLine="1952"/>
        <w:spacing w:after="0" w:line="250" w:lineRule="auto"/>
        <w:tabs>
          <w:tab w:leader="none" w:pos="258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failures that would not have a Company Material Adverse Effect, since the Statement Date the Company has timely: (i) filed (taking into account any extension of time within which to file) with the appropriate Taxing Authority all Tax Returns required to have been filed by the Company, the failure of which to file would be material to the businesses of the Company, and all such Tax Returns are true, correct and complete in all material respects; and (ii) paid all Taxes shown as due on such Tax Returns, other than Taxes being contested in good faith.</w:t>
      </w:r>
    </w:p>
    <w:p>
      <w:pPr>
        <w:spacing w:after="0" w:line="180"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Statement Date the Company is not the subject of any currently pending Tax audit with respect to Taxes the liability for which would be material to the businesses of the Company. As of the date of the Original Agreement, there are no pending written requests for waivers of the time to assess any such Taxes. Since the Statement Date, the Company has not waived any statute of limitations with respect to any such Taxes, or agreed to any extension of time with respect to an assessment or deficiency with respect to any such Taxes, which waiver or extension has not since expired. Except for Permitted Liens, there are no Liens for Taxes on any of the assets of the Company. Since the Statement Date, no claim has been made in writing by a Taxing Authority of a jurisdiction where the Company has not filed Tax Returns claiming that the Company is subject to taxation by that jurisdiction, the liability for which would be material to the Company. Since the Statement Date, the Company has not received any written notification of any investigation or proceeding currently pending or being conducted against the Company with respect to Taxes, or any proposed adjustment, deficiency or underpayment of material Taxes.</w:t>
      </w:r>
    </w:p>
    <w:p>
      <w:pPr>
        <w:spacing w:after="0" w:line="202"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not a party to, or bound by, any written material Tax allocation, indemnification or sharing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agreement entered into in the ordinary course of business, including, for example, any Tax gross-up provision in an employee secondment or relocation agreement, a credit arrangement or similar Tax provision in any agreement entered into with third Persons in the ordinary course of business, shall not be considered material.</w:t>
      </w:r>
    </w:p>
    <w:p>
      <w:pPr>
        <w:spacing w:after="0" w:line="179"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Seller is not making, and shall not be construed to have made, any representation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warranty as to (i) the amount or utilization of any Tax attribute of the Company or (ii) any position that the Purchaser or its Affiliates (including the Company) may take in a Tax period or portion thereof beginning after the Closing Date. 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constitute the sole representations and warranties made by Seller in this Agreement with respect to Tax matters.</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Employee Benefit Plans</w:t>
      </w:r>
    </w:p>
    <w:p>
      <w:pPr>
        <w:spacing w:after="0" w:line="220" w:lineRule="exact"/>
        <w:rPr>
          <w:sz w:val="20"/>
          <w:szCs w:val="20"/>
          <w:color w:val="auto"/>
        </w:rPr>
      </w:pPr>
    </w:p>
    <w:p>
      <w:pPr>
        <w:jc w:val="both"/>
        <w:ind w:firstLine="1952"/>
        <w:spacing w:after="0" w:line="248" w:lineRule="auto"/>
        <w:tabs>
          <w:tab w:leader="none" w:pos="258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Seller Disclosure Letter sets forth a complete and accurate list, as of the date of the Original Agreement, of each Employee Benefit Plan that would be expected to have a material impact on the Company involving payments by the Company in excess of US$500,000, individually or in the aggregate, for any calendar year after the Closing. Seller has provided to Purchaser as of the date of the Original Agreement a true, correct and materially complete copy (in each case, if applicable) of: (i) each such Employee Benefit Plan and any amendment thereto, including the name list of the employees and Persons entitled to such Employee Benefit Plan, and the amount of the WDC RSUs granted to each applicable Company Employee as of the date of the Original Agreement; (ii) each funding document, including each trust, insurance, annuity or other funding Contract related thereto; and (iii) the most recent financial statements and actuarial or other valuation reports prepared with respect thereto.</w:t>
      </w:r>
    </w:p>
    <w:p>
      <w:pPr>
        <w:spacing w:after="0" w:line="19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would not have a Company Material Adverse Effect, each Employee Benefit Plan listed on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Seller Disclosure Letter has been established, administered, and operated in compliance with its terms and all applicable Laws.</w:t>
      </w:r>
    </w:p>
    <w:p>
      <w:pPr>
        <w:spacing w:after="0" w:line="17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Employee Benefit Plans listed on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Seller Disclosure Letter promises or provides post-employment medical or other welfare benefits to any Company Employee, except as required by applicable Law.</w:t>
      </w:r>
    </w:p>
    <w:p>
      <w:pPr>
        <w:spacing w:after="0" w:line="16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would not have a Company Material Adverse Effect, there are no pending or, to the Knowledge of Seller, threatened, Actions or disputes against or with respect to any Employee Benefit Plan listed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3.12(a)</w:t>
      </w:r>
      <w:r>
        <w:rPr>
          <w:rFonts w:ascii="Times New Roman" w:cs="Times New Roman" w:eastAsia="Times New Roman" w:hAnsi="Times New Roman"/>
          <w:sz w:val="22"/>
          <w:szCs w:val="22"/>
          <w:color w:val="auto"/>
        </w:rPr>
        <w:t xml:space="preserve"> of the Seller Disclosure Letter by any employee or beneficiary covered under any such Employee Benefit Plan or otherwise involving any such Employee Benefit Plan (other than routine claims for benefits).</w:t>
      </w:r>
    </w:p>
    <w:p>
      <w:pPr>
        <w:spacing w:after="0" w:line="192"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execution and delivery of this Agreement, or the consummation of the transactions contemplated hereby shall, either alone or in combination with another event or events: (i) entitle any Company Employee to severance pay, unemployment compensation, a change of control payment or any other payment or benefit from the Company or Purchaser under any Employee Benefit Plan or (ii) accelerate the time of payment or vesting, or increase the amount of compensation (including funding of compensation or benefits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00" w:name="page101"/>
    <w:bookmarkEnd w:id="100"/>
    <w:p>
      <w:pPr>
        <w:spacing w:after="0" w:line="271" w:lineRule="auto"/>
        <w:rPr>
          <w:sz w:val="20"/>
          <w:szCs w:val="20"/>
          <w:color w:val="auto"/>
        </w:rPr>
      </w:pPr>
      <w:r>
        <w:rPr>
          <w:rFonts w:ascii="Times New Roman" w:cs="Times New Roman" w:eastAsia="Times New Roman" w:hAnsi="Times New Roman"/>
          <w:sz w:val="22"/>
          <w:szCs w:val="22"/>
          <w:color w:val="auto"/>
        </w:rPr>
        <w:t>a trust or otherwise) due any Company Employee from the Company, Seller or any of Seller’s Affiliates under any Employee Benefit Plan.</w:t>
      </w:r>
    </w:p>
    <w:p>
      <w:pPr>
        <w:spacing w:after="0" w:line="158" w:lineRule="exact"/>
        <w:rPr>
          <w:sz w:val="20"/>
          <w:szCs w:val="20"/>
          <w:color w:val="auto"/>
        </w:rPr>
      </w:pPr>
    </w:p>
    <w:p>
      <w:pPr>
        <w:jc w:val="both"/>
        <w:ind w:firstLine="1952"/>
        <w:spacing w:after="0" w:line="263" w:lineRule="auto"/>
        <w:tabs>
          <w:tab w:leader="none" w:pos="259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constitute the sole representations and warranties made by Seller in this Agreement with respect to employee benefit matters.</w:t>
      </w:r>
    </w:p>
    <w:p>
      <w:pPr>
        <w:spacing w:after="0" w:line="16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Labor Matters</w:t>
      </w:r>
    </w:p>
    <w:p>
      <w:pPr>
        <w:spacing w:after="0" w:line="220" w:lineRule="exact"/>
        <w:rPr>
          <w:sz w:val="20"/>
          <w:szCs w:val="20"/>
          <w:color w:val="auto"/>
        </w:rPr>
      </w:pPr>
    </w:p>
    <w:p>
      <w:pPr>
        <w:jc w:val="both"/>
        <w:ind w:firstLine="1952"/>
        <w:spacing w:after="0" w:line="251" w:lineRule="auto"/>
        <w:tabs>
          <w:tab w:leader="none" w:pos="258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(i) labor strikes, slowdowns or stoppages currently pending or, to the Knowledge of Seller, threatened, against or affecting the Company, nor have there been any such labor controversies within the past three (3) years; or (ii) pending or, to the Knowledge of Seller, threatened, representation claims, certification applications or petitions before any Governmental Authority or any organizing efforts or challenges concerning representation with respect to the employees of the Company. There are no collective bargaining agreements of the Company to which any Company Employee is subject.</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3.13(b)</w:t>
      </w:r>
      <w:r>
        <w:rPr>
          <w:rFonts w:ascii="Times New Roman" w:cs="Times New Roman" w:eastAsia="Times New Roman" w:hAnsi="Times New Roman"/>
          <w:sz w:val="22"/>
          <w:szCs w:val="22"/>
          <w:color w:val="auto"/>
        </w:rPr>
        <w:t xml:space="preserve"> of the Seller Disclosure Letter, the Company is in material compliance with all obligations imposed on employers pursuant to applicable Laws of the PRC, including, but not limited to, applicable Laws of the PRC regarding social insurance, housing funds, overtime, retirement fund, labor pension, tax withholding and payments (including severance pay, wages, bonuses, awards and remunerations) required to be made on behalf of or for the account of current or former directors, officers, employees and consultants in the nature of social benefits, except where failure to be in compliance would not have a Company Material Adverse Effect.</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3.13(c)</w:t>
      </w:r>
      <w:r>
        <w:rPr>
          <w:rFonts w:ascii="Times New Roman" w:cs="Times New Roman" w:eastAsia="Times New Roman" w:hAnsi="Times New Roman"/>
          <w:sz w:val="22"/>
          <w:szCs w:val="22"/>
          <w:color w:val="auto"/>
        </w:rPr>
        <w:t xml:space="preserve"> of the Seller Disclosure Letter, to the Knowledge of Seller, there are no pending disputes between the Company and any of its current or former directors, officers, employees and consultants.</w:t>
      </w:r>
    </w:p>
    <w:p>
      <w:pPr>
        <w:spacing w:after="0" w:line="16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Employees include all personnel necessary for the Company to carry out its primary manufacturing business in the ordinary course of business, consistent with past practice, including, without limitation, personnel necessary for product introductions currently contemplated by Seller and its Affiliates that will be subject to the Supply Agreement. As of the Closing, each Company Employee is engaged solely for the business of the Company, and is not related to other businesses of Seller or its Affiliates.</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constitute the sole representations and warranties made by Seller in this Agreement with respect to labor matters.</w:t>
      </w:r>
    </w:p>
    <w:p>
      <w:pPr>
        <w:spacing w:after="0" w:line="17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Property and Assets</w:t>
      </w:r>
    </w:p>
    <w:p>
      <w:pPr>
        <w:spacing w:after="0" w:line="233" w:lineRule="exact"/>
        <w:rPr>
          <w:sz w:val="20"/>
          <w:szCs w:val="20"/>
          <w:color w:val="auto"/>
        </w:rPr>
      </w:pPr>
    </w:p>
    <w:p>
      <w:pPr>
        <w:ind w:firstLine="1952"/>
        <w:spacing w:after="0" w:line="271" w:lineRule="auto"/>
        <w:tabs>
          <w:tab w:leader="none" w:pos="258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of the Seller Disclosure Letter, the Company has good and valid title, validly granted land use rights or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101" w:name="page102"/>
    <w:bookmarkEnd w:id="101"/>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ownership rights, as applicable, or, with respect to leased real property, a valid leasehold interest in, all of the Company Real Property (as defined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and all tangible personal property and other assets reflected in the 2023 Balance Sheet (except for properties and assets sold or disposed of since the Statement Date in the ordinary course of business, consistent with past practice). All Company Real Property, other than the real properties leased by the Company, and all such properties and assets are free and clear of all Liens, except for Permitted Liens.</w:t>
      </w:r>
    </w:p>
    <w:p>
      <w:pPr>
        <w:spacing w:after="0" w:line="179" w:lineRule="exact"/>
        <w:rPr>
          <w:sz w:val="20"/>
          <w:szCs w:val="20"/>
          <w:color w:val="auto"/>
        </w:rPr>
      </w:pPr>
    </w:p>
    <w:p>
      <w:pPr>
        <w:jc w:val="both"/>
        <w:ind w:firstLine="1952"/>
        <w:spacing w:after="0" w:line="251" w:lineRule="auto"/>
        <w:tabs>
          <w:tab w:leader="none" w:pos="258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xml:space="preserve"> of the Seller Disclosure Letter sets forth a list of all real property or interests in real property owned, leased or subleased by the Company, as of the date of the Original Agreement (the “</w:t>
      </w:r>
      <w:r>
        <w:rPr>
          <w:rFonts w:ascii="Times New Roman" w:cs="Times New Roman" w:eastAsia="Times New Roman" w:hAnsi="Times New Roman"/>
          <w:sz w:val="22"/>
          <w:szCs w:val="22"/>
          <w:u w:val="single" w:color="auto"/>
          <w:color w:val="auto"/>
        </w:rPr>
        <w:t>Company Real Property</w:t>
      </w:r>
      <w:r>
        <w:rPr>
          <w:rFonts w:ascii="Times New Roman" w:cs="Times New Roman" w:eastAsia="Times New Roman" w:hAnsi="Times New Roman"/>
          <w:sz w:val="22"/>
          <w:szCs w:val="22"/>
          <w:color w:val="auto"/>
        </w:rPr>
        <w:t xml:space="preserve">”), and the location of such premises. As of the date of the Original Agreement, Seller has made available to Purchaser true and complete copies of each Company Real Property Lease. Except as set forth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xml:space="preserve"> of the Seller Disclosure Letter, neither Seller, Seller’s Affiliates nor any third party is utilizing or occupying or has any right to occupy or utilize or holds any other interests in any of the Company Real Property.</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3.14(c)</w:t>
      </w:r>
      <w:r>
        <w:rPr>
          <w:rFonts w:ascii="Times New Roman" w:cs="Times New Roman" w:eastAsia="Times New Roman" w:hAnsi="Times New Roman"/>
          <w:sz w:val="22"/>
          <w:szCs w:val="22"/>
          <w:color w:val="auto"/>
        </w:rPr>
        <w:t xml:space="preserve"> of the Seller Disclosure Letter, each Company Real Property Lease is a valid and binding obligation of the Company and, the other party thereto, enforceable in accordance with its terms, except as may be limited by the General Enforceability Exceptions. To the Knowledge of Seller, none of the Company nor any other party under any Company Real Property Lease is in material default under any Company Real Property Lease, and no event has occurred that, with notice or lapse of time or both, would constitute a material default under any Company Real Property Lease.</w:t>
      </w:r>
    </w:p>
    <w:p>
      <w:pPr>
        <w:spacing w:after="0" w:line="18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3.14(d)</w:t>
      </w:r>
      <w:r>
        <w:rPr>
          <w:rFonts w:ascii="Times New Roman" w:cs="Times New Roman" w:eastAsia="Times New Roman" w:hAnsi="Times New Roman"/>
          <w:sz w:val="22"/>
          <w:szCs w:val="22"/>
          <w:color w:val="auto"/>
        </w:rPr>
        <w:t xml:space="preserve"> of the Seller Disclosure Letter, the Company has obtained all certificates and permits, filings or approvals required from any Governmental Authority with respect to the construction, fire safety, use and occupancy of the Company Real Property, except where a failure to obtain any such certificate or permit or approval would not materially and adversely affect, or materially disrupt, the ordinary course operation of the businesses of the Company. Except as set forth in </w:t>
      </w:r>
      <w:r>
        <w:rPr>
          <w:rFonts w:ascii="Times New Roman" w:cs="Times New Roman" w:eastAsia="Times New Roman" w:hAnsi="Times New Roman"/>
          <w:sz w:val="22"/>
          <w:szCs w:val="22"/>
          <w:u w:val="single" w:color="auto"/>
          <w:color w:val="auto"/>
        </w:rPr>
        <w:t>Section 3.14(d)</w:t>
      </w:r>
      <w:r>
        <w:rPr>
          <w:rFonts w:ascii="Times New Roman" w:cs="Times New Roman" w:eastAsia="Times New Roman" w:hAnsi="Times New Roman"/>
          <w:sz w:val="22"/>
          <w:szCs w:val="22"/>
          <w:color w:val="auto"/>
        </w:rPr>
        <w:t xml:space="preserve"> of the Seller Disclosure Letter, the Company has not received any written notice of any: (i) material violations of fire safety or construction related Laws; (ii) existing, pending or threatened claims, investigations or legal proceedings for the Company’s failure to comply with the Laws related to fire safety, construction, occupation and operation of the Company Real Property.</w:t>
      </w:r>
    </w:p>
    <w:p>
      <w:pPr>
        <w:spacing w:after="0" w:line="186" w:lineRule="exact"/>
        <w:rPr>
          <w:rFonts w:ascii="Times New Roman" w:cs="Times New Roman" w:eastAsia="Times New Roman" w:hAnsi="Times New Roman"/>
          <w:sz w:val="22"/>
          <w:szCs w:val="22"/>
          <w:color w:val="auto"/>
        </w:rPr>
      </w:pPr>
    </w:p>
    <w:p>
      <w:pPr>
        <w:jc w:val="both"/>
        <w:ind w:firstLine="1952"/>
        <w:spacing w:after="0" w:line="265" w:lineRule="auto"/>
        <w:tabs>
          <w:tab w:leader="none" w:pos="258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3.14(e)</w:t>
      </w:r>
      <w:r>
        <w:rPr>
          <w:rFonts w:ascii="Times New Roman" w:cs="Times New Roman" w:eastAsia="Times New Roman" w:hAnsi="Times New Roman"/>
          <w:sz w:val="21"/>
          <w:szCs w:val="21"/>
          <w:color w:val="auto"/>
        </w:rPr>
        <w:t xml:space="preserve"> of the Seller Disclosure Letter, the Company Real Property and all plants, buildings and improvements located thereon conform in all material respects to all applicable building codes and zoning ordinances or other Laws, and the Company has not received any written notice of any: (i) material violations of building codes and/or zoning ordinances or other Laws affecting the Company Real Property; (ii) existing, pending or threatened-in-writing condemnation proceedings affecting the Company Real Property; or (iii) existing, pending or threatened-in-writing zoning, building code or other moratorium proceedings, or similar matters which would materially and adversely affect,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102" w:name="page103"/>
    <w:bookmarkEnd w:id="102"/>
    <w:p>
      <w:pPr>
        <w:ind w:right="20"/>
        <w:spacing w:after="0" w:line="271" w:lineRule="auto"/>
        <w:rPr>
          <w:sz w:val="20"/>
          <w:szCs w:val="20"/>
          <w:color w:val="auto"/>
        </w:rPr>
      </w:pPr>
      <w:r>
        <w:rPr>
          <w:rFonts w:ascii="Times New Roman" w:cs="Times New Roman" w:eastAsia="Times New Roman" w:hAnsi="Times New Roman"/>
          <w:sz w:val="22"/>
          <w:szCs w:val="22"/>
          <w:color w:val="auto"/>
        </w:rPr>
        <w:t>materially disrupt, the Company’s use of the Company Real Property or the ordinary course operation of the businesses of the Company.</w:t>
      </w:r>
    </w:p>
    <w:p>
      <w:pPr>
        <w:spacing w:after="0" w:line="158" w:lineRule="exact"/>
        <w:rPr>
          <w:sz w:val="20"/>
          <w:szCs w:val="20"/>
          <w:color w:val="auto"/>
        </w:rPr>
      </w:pPr>
    </w:p>
    <w:p>
      <w:pPr>
        <w:jc w:val="both"/>
        <w:ind w:firstLine="1952"/>
        <w:spacing w:after="0" w:line="256" w:lineRule="auto"/>
        <w:tabs>
          <w:tab w:leader="none" w:pos="259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violated any covenant, condition, restriction, easement, agreement or Order affecting any portion of the Company Real Property, except where any such violation, individually or in the aggregate, would not materially and adversely affect, or materially disrupt, the Company’s use of the Company Real Property or the ordinary course operation of the businesses of the Company.</w:t>
      </w:r>
    </w:p>
    <w:p>
      <w:pPr>
        <w:spacing w:after="0" w:line="176"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3.14(g)</w:t>
      </w:r>
      <w:r>
        <w:rPr>
          <w:rFonts w:ascii="Times New Roman" w:cs="Times New Roman" w:eastAsia="Times New Roman" w:hAnsi="Times New Roman"/>
          <w:sz w:val="22"/>
          <w:szCs w:val="22"/>
          <w:color w:val="auto"/>
        </w:rPr>
        <w:t xml:space="preserve"> of the Seller Disclosure Letter sets forth a list of the material equipment and other movables leased by the Company, with a value exceeding US$1,000,000 individually. Except as set forth in </w:t>
      </w:r>
      <w:r>
        <w:rPr>
          <w:rFonts w:ascii="Times New Roman" w:cs="Times New Roman" w:eastAsia="Times New Roman" w:hAnsi="Times New Roman"/>
          <w:sz w:val="22"/>
          <w:szCs w:val="22"/>
          <w:u w:val="single" w:color="auto"/>
          <w:color w:val="auto"/>
        </w:rPr>
        <w:t>Section 3.14(g)</w:t>
      </w:r>
      <w:r>
        <w:rPr>
          <w:rFonts w:ascii="Times New Roman" w:cs="Times New Roman" w:eastAsia="Times New Roman" w:hAnsi="Times New Roman"/>
          <w:sz w:val="22"/>
          <w:szCs w:val="22"/>
          <w:color w:val="auto"/>
        </w:rPr>
        <w:t xml:space="preserve"> of the Seller Disclosure Letter, the Company solely owns all material equipment and other movables necessary to conduct its business and operations as presently conducted, and has good and valid title to such equipment and movables without any Lien, other than Permitted Liens. With respect to leased equipment and movables, the Company is in compliance in all material respects with all applicable leases.</w:t>
      </w:r>
    </w:p>
    <w:p>
      <w:pPr>
        <w:spacing w:after="0" w:line="18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u w:val="single" w:color="auto"/>
          <w:color w:val="auto"/>
        </w:rPr>
        <w:t>Environmental Matters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 xml:space="preserve"> of the Seller Disclosure Letter:</w:t>
      </w:r>
    </w:p>
    <w:p>
      <w:pPr>
        <w:spacing w:after="0" w:line="233" w:lineRule="exact"/>
        <w:rPr>
          <w:sz w:val="20"/>
          <w:szCs w:val="20"/>
          <w:color w:val="auto"/>
        </w:rPr>
      </w:pPr>
    </w:p>
    <w:p>
      <w:pPr>
        <w:jc w:val="both"/>
        <w:ind w:firstLine="1952"/>
        <w:spacing w:after="0" w:line="252" w:lineRule="auto"/>
        <w:tabs>
          <w:tab w:leader="none" w:pos="258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with all applicable Environmental Laws (which compliance includes the possession by the Company of all Permits or governmental authorizations required under applicable Environmental Laws, and compliance with the terms and conditions thereof), except where failure to be in compliance would not have a Company Material Adverse Effect; and</w:t>
      </w:r>
    </w:p>
    <w:p>
      <w:pPr>
        <w:spacing w:after="0" w:line="17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pending or, to the Knowledge of Seller, threatened, against the Company arising out of, based on, resulting from or relating to: (i) the release of, or exposure to, any Hazardous Materials; or (ii) any circumstances that form the basis of any violation of any Environmental Law, except for such Actions that would not have a Company Material Adverse Effect.</w:t>
      </w:r>
    </w:p>
    <w:p>
      <w:pPr>
        <w:spacing w:after="0" w:line="17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 xml:space="preserve"> constitute the sole representations and warranties made by Seller in this Agreement with respect to environmental matters.</w:t>
      </w:r>
    </w:p>
    <w:p>
      <w:pPr>
        <w:spacing w:after="0" w:line="16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No Undisclosed Liabilities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reflected in the 2023 Balance Sheet, the Company does not have any liabilities (absolute, accrued, contingent or otherwise) that would be required to be reflected in a balance sheet prepared in accordance with the Accounting Principles, other than any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103" w:name="page104"/>
    <w:bookmarkEnd w:id="103"/>
    <w:p>
      <w:pPr>
        <w:ind w:firstLine="8"/>
        <w:spacing w:after="0" w:line="271" w:lineRule="auto"/>
        <w:tabs>
          <w:tab w:leader="none" w:pos="33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incurred since the Statement Date in the ordinary course of business, consistent with past practice; and (b) incurred in connection with the transactions contemplated by this Agreement.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3.17</w:t>
      </w:r>
      <w:r>
        <w:rPr>
          <w:sz w:val="20"/>
          <w:szCs w:val="20"/>
          <w:color w:val="auto"/>
        </w:rPr>
        <w:tab/>
      </w:r>
      <w:r>
        <w:rPr>
          <w:rFonts w:ascii="Times New Roman" w:cs="Times New Roman" w:eastAsia="Times New Roman" w:hAnsi="Times New Roman"/>
          <w:sz w:val="21"/>
          <w:szCs w:val="21"/>
          <w:u w:val="single" w:color="auto"/>
          <w:color w:val="auto"/>
        </w:rPr>
        <w:t>Intellectual Property</w:t>
      </w:r>
    </w:p>
    <w:p>
      <w:pPr>
        <w:spacing w:after="0" w:line="233" w:lineRule="exact"/>
        <w:rPr>
          <w:sz w:val="20"/>
          <w:szCs w:val="20"/>
          <w:color w:val="auto"/>
        </w:rPr>
      </w:pPr>
    </w:p>
    <w:p>
      <w:pPr>
        <w:jc w:val="both"/>
        <w:ind w:firstLine="1952"/>
        <w:spacing w:after="0" w:line="250" w:lineRule="auto"/>
        <w:tabs>
          <w:tab w:leader="none" w:pos="258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 xml:space="preserve"> of the Seller Disclosure Letter sets forth a true and complete list of patents and patent applications, registered copyrights, registered trademarks (including applications) and Internet domain names, in each case, owned by the Company as of the date of the Original Agreement. The Intellectual Property listed in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 xml:space="preserve"> of the Seller Disclosure Letter has not been deemed by any Governmental Authority to be invalid or unenforceable and such has not been cancelled or abandoned.</w:t>
      </w:r>
    </w:p>
    <w:p>
      <w:pPr>
        <w:spacing w:after="0" w:line="194"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the Original Agreement and as of the Closing Date:</w:t>
      </w:r>
    </w:p>
    <w:p>
      <w:pPr>
        <w:spacing w:after="0" w:line="219"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2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owns or has a valid and enforceable license or otherwise possesses legally enforceable rights to use all Intellectual Property that is currently used in its business as currently conducted and that is material to the business of the Company;</w:t>
      </w:r>
    </w:p>
    <w:p>
      <w:pPr>
        <w:spacing w:after="0" w:line="172"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3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(A) the conduct of the businesses of the Company as currently conducted does not infringe in any material respect any Intellectual Property of any third Person; and (B) the Company has not received any written notice since the Statement Date from any third Person alleging, and there are no pending Actions asserting, the infringement of any Intellectual Property by the Company; and</w:t>
      </w:r>
    </w:p>
    <w:p>
      <w:pPr>
        <w:spacing w:after="0" w:line="176" w:lineRule="exact"/>
        <w:rPr>
          <w:rFonts w:ascii="Times New Roman" w:cs="Times New Roman" w:eastAsia="Times New Roman" w:hAnsi="Times New Roman"/>
          <w:sz w:val="22"/>
          <w:szCs w:val="22"/>
          <w:color w:val="auto"/>
        </w:rPr>
      </w:pPr>
    </w:p>
    <w:p>
      <w:pPr>
        <w:ind w:firstLine="2600"/>
        <w:spacing w:after="0" w:line="271" w:lineRule="auto"/>
        <w:tabs>
          <w:tab w:leader="none" w:pos="32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third Person is infringing any Intellectual Property that is owned by the Company and that is material to the businesses of the Company.</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xml:space="preserve"> constitute the sole representations and warranties made by Seller in this Agreement with respect to Intellectual Property matters.</w:t>
      </w:r>
    </w:p>
    <w:p>
      <w:pPr>
        <w:spacing w:after="0" w:line="16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3.18</w:t>
      </w:r>
      <w:r>
        <w:rPr>
          <w:sz w:val="20"/>
          <w:szCs w:val="20"/>
          <w:color w:val="auto"/>
        </w:rPr>
        <w:tab/>
      </w:r>
      <w:r>
        <w:rPr>
          <w:rFonts w:ascii="Times New Roman" w:cs="Times New Roman" w:eastAsia="Times New Roman" w:hAnsi="Times New Roman"/>
          <w:sz w:val="21"/>
          <w:szCs w:val="21"/>
          <w:u w:val="single" w:color="auto"/>
          <w:color w:val="auto"/>
        </w:rPr>
        <w:t>Compliance with Laws and Orders</w:t>
      </w:r>
    </w:p>
    <w:p>
      <w:pPr>
        <w:spacing w:after="0" w:line="2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xml:space="preserve"> of the Seller Disclosure Letter, since the Statement Date, (i) the Company has been in compliance, in all material respects, with all Laws and Orders applicable to the businesses, properties or assets thereof; and</w:t>
      </w:r>
    </w:p>
    <w:p>
      <w:pPr>
        <w:spacing w:after="0" w:line="1" w:lineRule="exact"/>
        <w:rPr>
          <w:sz w:val="20"/>
          <w:szCs w:val="20"/>
          <w:color w:val="auto"/>
        </w:rPr>
      </w:pPr>
    </w:p>
    <w:p>
      <w:pPr>
        <w:jc w:val="both"/>
        <w:ind w:firstLine="8"/>
        <w:spacing w:after="0" w:line="251" w:lineRule="auto"/>
        <w:tabs>
          <w:tab w:leader="none" w:pos="32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from any Governmental Authority any written citation, fine or written notification that asserts that the Company has violated or is not in compliance with any such Law or Order in any material manner, and to the Knowledge of Seller, no citation, fine or written notice is threatened.</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u w:val="single" w:color="auto"/>
          <w:color w:val="auto"/>
        </w:rPr>
        <w:t>Company Contracts</w:t>
      </w:r>
    </w:p>
    <w:p>
      <w:pPr>
        <w:spacing w:after="0" w:line="220" w:lineRule="exact"/>
        <w:rPr>
          <w:sz w:val="20"/>
          <w:szCs w:val="20"/>
          <w:color w:val="auto"/>
        </w:rPr>
      </w:pPr>
    </w:p>
    <w:p>
      <w:pPr>
        <w:ind w:firstLine="1952"/>
        <w:spacing w:after="0" w:line="271" w:lineRule="auto"/>
        <w:tabs>
          <w:tab w:leader="none" w:pos="258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the Original Agreement, except for the Original Agreement, this Agreement and the Ancillary Agreements, real property leases and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04" w:name="page105"/>
    <w:bookmarkEnd w:id="104"/>
    <w:p>
      <w:pPr>
        <w:spacing w:after="0" w:line="271" w:lineRule="auto"/>
        <w:rPr>
          <w:sz w:val="20"/>
          <w:szCs w:val="20"/>
          <w:color w:val="auto"/>
        </w:rPr>
      </w:pPr>
      <w:r>
        <w:rPr>
          <w:rFonts w:ascii="Times New Roman" w:cs="Times New Roman" w:eastAsia="Times New Roman" w:hAnsi="Times New Roman"/>
          <w:sz w:val="22"/>
          <w:szCs w:val="22"/>
          <w:color w:val="auto"/>
        </w:rPr>
        <w:t xml:space="preserve">Benefit Plans, </w:t>
      </w:r>
      <w:r>
        <w:rPr>
          <w:rFonts w:ascii="Times New Roman" w:cs="Times New Roman" w:eastAsia="Times New Roman" w:hAnsi="Times New Roman"/>
          <w:sz w:val="22"/>
          <w:szCs w:val="22"/>
          <w:u w:val="single" w:color="auto"/>
          <w:color w:val="auto"/>
        </w:rPr>
        <w:t>Section 3.19(a)</w:t>
      </w:r>
      <w:r>
        <w:rPr>
          <w:rFonts w:ascii="Times New Roman" w:cs="Times New Roman" w:eastAsia="Times New Roman" w:hAnsi="Times New Roman"/>
          <w:sz w:val="22"/>
          <w:szCs w:val="22"/>
          <w:color w:val="auto"/>
        </w:rPr>
        <w:t xml:space="preserve"> of the Seller Disclosure Letter lists each of the following Contracts, which the Company is a party to or bound by, in each case, as of the date of the Original Agreement:</w:t>
      </w:r>
    </w:p>
    <w:p>
      <w:pPr>
        <w:spacing w:after="0" w:line="158" w:lineRule="exact"/>
        <w:rPr>
          <w:sz w:val="20"/>
          <w:szCs w:val="20"/>
          <w:color w:val="auto"/>
        </w:rPr>
      </w:pPr>
    </w:p>
    <w:p>
      <w:pPr>
        <w:ind w:firstLine="2600"/>
        <w:spacing w:after="0" w:line="284" w:lineRule="auto"/>
        <w:tabs>
          <w:tab w:leader="none" w:pos="322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third Person that purchases goods or services from the Company for future consideration reasonably expected to be paid to the Company of US$1,000,000 or more in any fiscal year;</w:t>
      </w:r>
    </w:p>
    <w:p>
      <w:pPr>
        <w:spacing w:after="0" w:line="14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purchase, sale, lease or disposal of any real property;</w:t>
      </w:r>
    </w:p>
    <w:p>
      <w:pPr>
        <w:spacing w:after="0" w:line="219" w:lineRule="exact"/>
        <w:rPr>
          <w:rFonts w:ascii="Times New Roman" w:cs="Times New Roman" w:eastAsia="Times New Roman" w:hAnsi="Times New Roman"/>
          <w:sz w:val="22"/>
          <w:szCs w:val="22"/>
          <w:color w:val="auto"/>
        </w:rPr>
      </w:pPr>
    </w:p>
    <w:p>
      <w:pPr>
        <w:ind w:firstLine="2600"/>
        <w:spacing w:after="0" w:line="271" w:lineRule="auto"/>
        <w:tabs>
          <w:tab w:leader="none" w:pos="32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capital expenditures or the acquisition or construction of fixed assets involving future payments in excess of US$1,000,000, in the aggregate;</w:t>
      </w:r>
    </w:p>
    <w:p>
      <w:pPr>
        <w:spacing w:after="0" w:line="157"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2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the purchase or lease of goods or services (including equipment, materials, software, hardware, supplies, merchandise, parts or other property, assets or services), other than supplier or vendor Contracts entered into in the ordinary course of business, requiring aggregate future payments in excess of US$1,000,000 during any twenty (24)-month period following the date of the Original Agreement;</w:t>
      </w:r>
    </w:p>
    <w:p>
      <w:pPr>
        <w:spacing w:after="0" w:line="176"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agreement, credit agreement, Contract, note, debenture, bond, indenture, mortgage, security agreement, pledge or other similar agreement under which any Indebtedness material to the Company is outstanding or may be incurred;</w:t>
      </w:r>
    </w:p>
    <w:p>
      <w:pPr>
        <w:spacing w:after="0" w:line="186" w:lineRule="exact"/>
        <w:rPr>
          <w:rFonts w:ascii="Times New Roman" w:cs="Times New Roman" w:eastAsia="Times New Roman" w:hAnsi="Times New Roman"/>
          <w:sz w:val="22"/>
          <w:szCs w:val="22"/>
          <w:color w:val="auto"/>
        </w:rPr>
      </w:pPr>
    </w:p>
    <w:p>
      <w:pPr>
        <w:ind w:firstLine="2600"/>
        <w:spacing w:after="0" w:line="271" w:lineRule="auto"/>
        <w:tabs>
          <w:tab w:leader="none" w:pos="322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granting a first refusal, first offer or similar preferential right to purchase or acquire any of the capital stock, equity interests or assets of the Company;</w:t>
      </w:r>
    </w:p>
    <w:p>
      <w:pPr>
        <w:spacing w:after="0" w:line="15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contains express covenants that materially restrict the Company from competing in any line of business or geographic area or with any third Person or including any provisions providing for exclusivity, and most favored nations, or any material Contract that contains change of control restrictions;</w:t>
      </w:r>
    </w:p>
    <w:p>
      <w:pPr>
        <w:spacing w:after="0" w:line="186" w:lineRule="exact"/>
        <w:rPr>
          <w:rFonts w:ascii="Times New Roman" w:cs="Times New Roman" w:eastAsia="Times New Roman" w:hAnsi="Times New Roman"/>
          <w:sz w:val="22"/>
          <w:szCs w:val="22"/>
          <w:color w:val="auto"/>
        </w:rPr>
      </w:pPr>
    </w:p>
    <w:p>
      <w:pPr>
        <w:ind w:right="20" w:firstLine="2600"/>
        <w:spacing w:after="0" w:line="271" w:lineRule="auto"/>
        <w:tabs>
          <w:tab w:leader="none" w:pos="32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creating or relating to any partnership, joint venture or joint development agreement involving future payments or capital commitments;</w:t>
      </w:r>
    </w:p>
    <w:p>
      <w:pPr>
        <w:spacing w:after="0" w:line="157"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2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other than customer Contracts entered into in the ordinary course of business or warranties thereunder issued by the Company, containing a covenant or covenants of the Company to expressly indemnify or hold harmless another third Person unless such obligation to indemnify or hold harmless is less than US$1,000,000, in the aggregate;</w:t>
      </w:r>
    </w:p>
    <w:p>
      <w:pPr>
        <w:spacing w:after="0" w:line="176"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the disposition or acquisition by the Company, with obligations remaining to be performed or liabilities continuing after the date of the Original Agreement, of any business or any amount of material assets other than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ordinary course of business, including any “deferred” or other contingent payments or obligations;</w:t>
      </w:r>
    </w:p>
    <w:p>
      <w:pPr>
        <w:spacing w:after="0" w:line="220" w:lineRule="exact"/>
        <w:rPr>
          <w:sz w:val="20"/>
          <w:szCs w:val="20"/>
          <w:color w:val="auto"/>
        </w:rPr>
      </w:pPr>
    </w:p>
    <w:p>
      <w:pPr>
        <w:jc w:val="both"/>
        <w:ind w:firstLine="2600"/>
        <w:spacing w:after="0" w:line="263" w:lineRule="auto"/>
        <w:tabs>
          <w:tab w:leader="none" w:pos="322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the acquisition by the Company of any operating business or the capital stock or equity interests of any Person (including Contracts under which the Company has an obligation to make an investment in or loan to any such Person); and</w:t>
      </w:r>
    </w:p>
    <w:p>
      <w:pPr>
        <w:spacing w:after="0" w:line="167"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3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licenses granted by or to the Company and material to the business of the Company, but excluding (A) licenses or services Contracts for commercially available software or services (including software as a service) available on standard terms, (B) licenses for open source software, (C) Contracts with current and former employees, contractors, and consultants of the Company, (D) non-exclusive licenses granted in the ordinary course of business, and (E) any Contract entered into by the Company in the ordinary course of business in which the only license to, or right to exploit, Intellectual Property granted in such Contract is incidental to the transaction contemplated in such Contract, the commercial purpose of which is something other than such license or right to exploit.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All Contracts of the type described in this </w:t>
      </w:r>
      <w:r>
        <w:rPr>
          <w:rFonts w:ascii="Times New Roman" w:cs="Times New Roman" w:eastAsia="Times New Roman" w:hAnsi="Times New Roman"/>
          <w:sz w:val="22"/>
          <w:szCs w:val="22"/>
          <w:u w:val="single" w:color="auto"/>
          <w:color w:val="auto"/>
        </w:rPr>
        <w:t>Section 3.19(a)</w:t>
      </w:r>
      <w:r>
        <w:rPr>
          <w:rFonts w:ascii="Times New Roman" w:cs="Times New Roman" w:eastAsia="Times New Roman" w:hAnsi="Times New Roman"/>
          <w:sz w:val="22"/>
          <w:szCs w:val="22"/>
          <w:color w:val="auto"/>
        </w:rPr>
        <w:t xml:space="preserve"> are hereinafter referred to as “</w:t>
      </w:r>
      <w:r>
        <w:rPr>
          <w:rFonts w:ascii="Times New Roman" w:cs="Times New Roman" w:eastAsia="Times New Roman" w:hAnsi="Times New Roman"/>
          <w:sz w:val="22"/>
          <w:szCs w:val="22"/>
          <w:u w:val="single" w:color="auto"/>
          <w:color w:val="auto"/>
        </w:rPr>
        <w:t>Company Contracts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50" w:lineRule="auto"/>
        <w:tabs>
          <w:tab w:leader="none" w:pos="258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Purchaser, in all material respects, copies of all Company Contracts as in effect on the date of the Original Agreement and: (i) each of the Company Contracts is in full force and effect and, assuming the due execution by the other parties thereto, is a legal, valid and binding agreement of the Company, as applicable, except to the extent any such Company Contract has expired or has been terminated in accordance with its terms, subject to General Enforceability Exceptions; and (ii) there is no default or breach by the Company or, to the Knowledge of Seller, by any other party thereto, in the timely performance of any obligation to be performed thereunder or any other material provision thereof, except any such breach or default that would not materially and adversely affect the business of the Company.</w:t>
      </w:r>
    </w:p>
    <w:p>
      <w:pPr>
        <w:spacing w:after="0" w:line="194"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3.20</w:t>
      </w:r>
      <w:r>
        <w:rPr>
          <w:sz w:val="20"/>
          <w:szCs w:val="20"/>
          <w:color w:val="auto"/>
        </w:rPr>
        <w:tab/>
      </w:r>
      <w:r>
        <w:rPr>
          <w:rFonts w:ascii="Times New Roman" w:cs="Times New Roman" w:eastAsia="Times New Roman" w:hAnsi="Times New Roman"/>
          <w:sz w:val="21"/>
          <w:szCs w:val="21"/>
          <w:u w:val="single" w:color="auto"/>
          <w:color w:val="auto"/>
        </w:rPr>
        <w:t>Suppliers</w:t>
      </w:r>
    </w:p>
    <w:p>
      <w:pPr>
        <w:spacing w:after="0" w:line="220" w:lineRule="exact"/>
        <w:rPr>
          <w:sz w:val="20"/>
          <w:szCs w:val="20"/>
          <w:color w:val="auto"/>
        </w:rPr>
      </w:pPr>
    </w:p>
    <w:p>
      <w:pPr>
        <w:jc w:val="both"/>
        <w:ind w:firstLine="1952"/>
        <w:spacing w:after="0" w:line="250" w:lineRule="auto"/>
        <w:tabs>
          <w:tab w:leader="none" w:pos="258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 xml:space="preserve"> of the Seller Disclosure Letter sets forth a complete and accurate list of the names of the twenty (20) suppliers to whom the Company paid the highest aggregate amounts for supplies, merchandise and other goods during the twelve-month period ended December 31, 2023 (the “</w:t>
      </w:r>
      <w:r>
        <w:rPr>
          <w:rFonts w:ascii="Times New Roman" w:cs="Times New Roman" w:eastAsia="Times New Roman" w:hAnsi="Times New Roman"/>
          <w:sz w:val="22"/>
          <w:szCs w:val="22"/>
          <w:u w:val="single" w:color="auto"/>
          <w:color w:val="auto"/>
        </w:rPr>
        <w:t>Major Suppliers</w:t>
      </w:r>
      <w:r>
        <w:rPr>
          <w:rFonts w:ascii="Times New Roman" w:cs="Times New Roman" w:eastAsia="Times New Roman" w:hAnsi="Times New Roman"/>
          <w:sz w:val="22"/>
          <w:szCs w:val="22"/>
          <w:color w:val="auto"/>
        </w:rPr>
        <w:t>”). Since the Statement Date, to the Knowledge of Seller, there has been no significant adverse change in the business relationship of the Company, on the one hand, and any supplier named in Seller Disclosure Letter, on the other hand. None of the Company or its Affiliates has received any written communication from any supplier named in the Seller Disclosure Letter of any intention to terminate or materially reduce supplies to or its relationship with the Company.</w:t>
      </w:r>
    </w:p>
    <w:p>
      <w:pPr>
        <w:spacing w:after="0" w:line="180"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are any written supply agreements (including purchase orders) between the Company and any of the Major Suppliers (the “</w:t>
      </w:r>
      <w:r>
        <w:rPr>
          <w:rFonts w:ascii="Times New Roman" w:cs="Times New Roman" w:eastAsia="Times New Roman" w:hAnsi="Times New Roman"/>
          <w:sz w:val="22"/>
          <w:szCs w:val="22"/>
          <w:u w:val="single" w:color="auto"/>
          <w:color w:val="auto"/>
        </w:rPr>
        <w:t>Major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such Major Supply Agreements are valid, effective and enforceable, except as may be limited by the General Enforceability Exceptions, and the Company is not in material breach of any such Major Supply Agreement, nor to the Knowledge of Seller, is any Major Supplier in material breach of any such Major Supply Agreement.</w:t>
      </w:r>
    </w:p>
    <w:p>
      <w:pPr>
        <w:spacing w:after="0" w:line="186" w:lineRule="exact"/>
        <w:rPr>
          <w:sz w:val="20"/>
          <w:szCs w:val="20"/>
          <w:color w:val="auto"/>
        </w:rPr>
      </w:pPr>
    </w:p>
    <w:p>
      <w:pPr>
        <w:jc w:val="both"/>
        <w:ind w:firstLine="1952"/>
        <w:spacing w:after="0" w:line="252" w:lineRule="auto"/>
        <w:tabs>
          <w:tab w:leader="none" w:pos="258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3.20(c)</w:t>
      </w:r>
      <w:r>
        <w:rPr>
          <w:rFonts w:ascii="Times New Roman" w:cs="Times New Roman" w:eastAsia="Times New Roman" w:hAnsi="Times New Roman"/>
          <w:sz w:val="22"/>
          <w:szCs w:val="22"/>
          <w:color w:val="auto"/>
        </w:rPr>
        <w:t xml:space="preserve"> of the Seller Disclosure Letter, the execution and the performance of this Agreement and the Ancillary Agreements do not entitle any Major Suppliers to unilaterally terminate the Material Supply Agreement or entitle any Major Suppliers to revise the terms and conditions of Material Supply Agreements in a way substantially unfavorable to the Company.</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3.21</w:t>
      </w:r>
      <w:r>
        <w:rPr>
          <w:sz w:val="20"/>
          <w:szCs w:val="20"/>
          <w:color w:val="auto"/>
        </w:rPr>
        <w:tab/>
      </w:r>
      <w:r>
        <w:rPr>
          <w:rFonts w:ascii="Times New Roman" w:cs="Times New Roman" w:eastAsia="Times New Roman" w:hAnsi="Times New Roman"/>
          <w:sz w:val="21"/>
          <w:szCs w:val="21"/>
          <w:u w:val="single" w:color="auto"/>
          <w:color w:val="auto"/>
        </w:rPr>
        <w:t>Permits</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Company is in possession of all Consents from any Governmental Authorities that are material to the businesses of the Company as currently conducted (collectively, the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The Company is: (a) in compliance in all material respects with all such Permits, all of which are in full force and effect; (b) to the Knowledge of Seller, no event has occurred or circumstance exists that would reasonably be expected to: (i) constitute or result in a material violation of, or a failure to comply in any material respect with, any term or requirement thereof; or (ii) result in the revocation, withdrawal, suspension, cancellation or termination thereof; and (c) the Company has not received any written notice, and to the Knowledge of Seller, no notice is threatened, from any Governmental Authority regarding: (i) any actual, alleged, possible or potential violation or failure to comply in any material respect with any term or requirement thereof; or (ii) any revocation, withdrawal, suspension, cancellation or termination thereof.</w:t>
      </w:r>
    </w:p>
    <w:p>
      <w:pPr>
        <w:spacing w:after="0" w:line="185"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3.22</w:t>
      </w:r>
      <w:r>
        <w:rPr>
          <w:sz w:val="20"/>
          <w:szCs w:val="20"/>
          <w:color w:val="auto"/>
        </w:rPr>
        <w:tab/>
      </w:r>
      <w:r>
        <w:rPr>
          <w:rFonts w:ascii="Times New Roman" w:cs="Times New Roman" w:eastAsia="Times New Roman" w:hAnsi="Times New Roman"/>
          <w:sz w:val="21"/>
          <w:szCs w:val="21"/>
          <w:u w:val="single" w:color="auto"/>
          <w:color w:val="auto"/>
        </w:rPr>
        <w:t>Insurance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3.22</w:t>
      </w:r>
      <w:r>
        <w:rPr>
          <w:rFonts w:ascii="Times New Roman" w:cs="Times New Roman" w:eastAsia="Times New Roman" w:hAnsi="Times New Roman"/>
          <w:sz w:val="22"/>
          <w:szCs w:val="22"/>
          <w:color w:val="auto"/>
        </w:rPr>
        <w:t xml:space="preserve"> of the Seller Disclosure Letter sets forth, as of the date of the Original Agreement, all material insurance policies maintained by the Company covering the Company and its businesses. All such policies of insurance are in full force and effect in all material respects. The Company has not received any written notice of cancellation or any other indication that any such policy of insurance is no longer in full force or effect or that the issuer of any such policy of insurance is not willing or able to perform its obligations thereunder, and, to the Knowledge of Seller, no event has occurred that will result in the cancellation of coverage under any such policy of insurance. All premiums due on all such policies have been paid and the Company is not in default in any material respect with its obligations under such policies.</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3.23</w:t>
      </w:r>
      <w:r>
        <w:rPr>
          <w:sz w:val="20"/>
          <w:szCs w:val="20"/>
          <w:color w:val="auto"/>
        </w:rPr>
        <w:tab/>
      </w:r>
      <w:r>
        <w:rPr>
          <w:rFonts w:ascii="Times New Roman" w:cs="Times New Roman" w:eastAsia="Times New Roman" w:hAnsi="Times New Roman"/>
          <w:sz w:val="21"/>
          <w:szCs w:val="21"/>
          <w:u w:val="single" w:color="auto"/>
          <w:color w:val="auto"/>
        </w:rPr>
        <w:t>Transactions with Affiliates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of the Seller Disclosure Letter sets forth, as of the date of the Original Agreement, all Contracts between the Company, on the one hand, and Seller or any of its Affiliates, or any officer, director, employee, stockholder or immediate family member of the foregoing on the other hand, with respect to the business, operation or assets of the Company or pursuant to which any such Affiliate or any officer, director, employee, stockholder or immediate family member of the foregoing has any interest in the property of the Company, excluding (a) any Employee Benefit Plan, (b) agreements explicitly contemplated to be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107" w:name="page108"/>
    <w:bookmarkEnd w:id="107"/>
    <w:p>
      <w:pPr>
        <w:jc w:val="both"/>
        <w:spacing w:after="0" w:line="257" w:lineRule="auto"/>
        <w:rPr>
          <w:sz w:val="20"/>
          <w:szCs w:val="20"/>
          <w:color w:val="auto"/>
        </w:rPr>
      </w:pPr>
      <w:r>
        <w:rPr>
          <w:rFonts w:ascii="Times New Roman" w:cs="Times New Roman" w:eastAsia="Times New Roman" w:hAnsi="Times New Roman"/>
          <w:sz w:val="22"/>
          <w:szCs w:val="22"/>
          <w:color w:val="auto"/>
        </w:rPr>
        <w:t>pursuant to this Agreement, (c) agreements with respect to employment relationships and compensation in the ordinary course of business consistent with past practice, and (d) agreements with respect to transactions conducted on an arm’s length basis in the ordinary course of business (collectively,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3.24</w:t>
      </w:r>
      <w:r>
        <w:rPr>
          <w:sz w:val="20"/>
          <w:szCs w:val="20"/>
          <w:color w:val="auto"/>
        </w:rPr>
        <w:tab/>
      </w:r>
      <w:r>
        <w:rPr>
          <w:rFonts w:ascii="Times New Roman" w:cs="Times New Roman" w:eastAsia="Times New Roman" w:hAnsi="Times New Roman"/>
          <w:sz w:val="21"/>
          <w:szCs w:val="21"/>
          <w:u w:val="single" w:color="auto"/>
          <w:color w:val="auto"/>
        </w:rPr>
        <w:t>Data Protection</w:t>
      </w:r>
    </w:p>
    <w:p>
      <w:pPr>
        <w:spacing w:after="0" w:line="220" w:lineRule="exact"/>
        <w:rPr>
          <w:sz w:val="20"/>
          <w:szCs w:val="20"/>
          <w:color w:val="auto"/>
        </w:rPr>
      </w:pPr>
    </w:p>
    <w:p>
      <w:pPr>
        <w:jc w:val="both"/>
        <w:ind w:firstLine="1952"/>
        <w:spacing w:after="0" w:line="252" w:lineRule="auto"/>
        <w:tabs>
          <w:tab w:leader="none" w:pos="258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with all applicable Laws regarding personal information, data protection or cyber security (“</w:t>
      </w:r>
      <w:r>
        <w:rPr>
          <w:rFonts w:ascii="Times New Roman" w:cs="Times New Roman" w:eastAsia="Times New Roman" w:hAnsi="Times New Roman"/>
          <w:sz w:val="22"/>
          <w:szCs w:val="22"/>
          <w:u w:val="single" w:color="auto"/>
          <w:color w:val="auto"/>
        </w:rPr>
        <w:t>Data Protection Laws</w:t>
      </w:r>
      <w:r>
        <w:rPr>
          <w:rFonts w:ascii="Times New Roman" w:cs="Times New Roman" w:eastAsia="Times New Roman" w:hAnsi="Times New Roman"/>
          <w:sz w:val="22"/>
          <w:szCs w:val="22"/>
          <w:color w:val="auto"/>
        </w:rPr>
        <w:t>”) in all material respects (which compliance includes the possession by the Company of all Permits or governmental authorizations required under applicable Data Protection Laws, and compliance with the terms and conditions thereof).</w:t>
      </w:r>
    </w:p>
    <w:p>
      <w:pPr>
        <w:spacing w:after="0" w:line="19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any written notices, claims or any other communications from any Governmental Authority or other Person, that asserts the Company has violated or is not in compliance with any Data Protection Law, and to the Knowledge of Seller, no citation, fine or written notice is threatened.</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58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during the past three (3) years, the Company has not suffered any data leakage, cybersecurity incidents. The Company is not in material breach of its obligations related to data protection.</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3.25</w:t>
      </w:r>
      <w:r>
        <w:rPr>
          <w:sz w:val="20"/>
          <w:szCs w:val="20"/>
          <w:color w:val="auto"/>
        </w:rPr>
        <w:tab/>
      </w:r>
      <w:r>
        <w:rPr>
          <w:rFonts w:ascii="Times New Roman" w:cs="Times New Roman" w:eastAsia="Times New Roman" w:hAnsi="Times New Roman"/>
          <w:sz w:val="21"/>
          <w:szCs w:val="21"/>
          <w:u w:val="single" w:color="auto"/>
          <w:color w:val="auto"/>
        </w:rPr>
        <w:t>Due Diligence Materials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materials provided in the VDR are authentic copies of those materials.</w:t>
      </w:r>
    </w:p>
    <w:p>
      <w:pPr>
        <w:spacing w:after="0" w:line="22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3.26</w:t>
      </w:r>
      <w:r>
        <w:rPr>
          <w:sz w:val="20"/>
          <w:szCs w:val="20"/>
          <w:color w:val="auto"/>
        </w:rPr>
        <w:tab/>
      </w:r>
      <w:r>
        <w:rPr>
          <w:rFonts w:ascii="Times New Roman" w:cs="Times New Roman" w:eastAsia="Times New Roman" w:hAnsi="Times New Roman"/>
          <w:sz w:val="21"/>
          <w:szCs w:val="21"/>
          <w:u w:val="single" w:color="auto"/>
          <w:color w:val="auto"/>
        </w:rPr>
        <w:t>Solvency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At any time during the date of the Original Agreement and the Closing Date, the Company shall (a) be Solvent, (b) have adequate capital with which to engage in its business as currently conducted consistent with past practices. The Company has neither been declared bankrupt nor found unable to pay any of its debts which are due. There are no pending or to the Knowledge of Seller, threatened, proceedings in relation to any compromise or arrangement with creditors or any winding up, bankruptcy or other insolvency proceedings concerning the Company.</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3.27</w:t>
      </w:r>
      <w:r>
        <w:rPr>
          <w:sz w:val="20"/>
          <w:szCs w:val="20"/>
          <w:color w:val="auto"/>
        </w:rPr>
        <w:tab/>
      </w:r>
      <w:r>
        <w:rPr>
          <w:rFonts w:ascii="Times New Roman" w:cs="Times New Roman" w:eastAsia="Times New Roman" w:hAnsi="Times New Roman"/>
          <w:sz w:val="21"/>
          <w:szCs w:val="21"/>
          <w:u w:val="single" w:color="auto"/>
          <w:color w:val="auto"/>
        </w:rPr>
        <w:t>Product Liability</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To the Knowledge of Seller: (a) the Company has not in the past five (5) years manufactured or sold any product, which does not comply with applicable Laws in force at the time of the manufacturing or sale of the product, and (b) no material product liability or similar claims under any applicable Laws or any agreement executed by the Company exist with respect to products tested, assessed or produced by the Company prior to the Closing Date nor do any facts or circumstances exist as of the date of the Original Agreement that would reasonably be expected to give rise to such a claim after the date of the Original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108" w:name="page109"/>
    <w:bookmarkEnd w:id="108"/>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3.28</w:t>
      </w:r>
      <w:r>
        <w:rPr>
          <w:sz w:val="20"/>
          <w:szCs w:val="20"/>
          <w:color w:val="auto"/>
        </w:rPr>
        <w:tab/>
      </w:r>
      <w:r>
        <w:rPr>
          <w:rFonts w:ascii="Times New Roman" w:cs="Times New Roman" w:eastAsia="Times New Roman" w:hAnsi="Times New Roman"/>
          <w:sz w:val="21"/>
          <w:szCs w:val="21"/>
          <w:u w:val="single" w:color="auto"/>
          <w:color w:val="auto"/>
        </w:rPr>
        <w:t>Anti-Corruption Laws and Sanctions</w:t>
      </w:r>
    </w:p>
    <w:p>
      <w:pPr>
        <w:spacing w:after="0" w:line="220" w:lineRule="exact"/>
        <w:rPr>
          <w:sz w:val="20"/>
          <w:szCs w:val="20"/>
          <w:color w:val="auto"/>
        </w:rPr>
      </w:pPr>
    </w:p>
    <w:p>
      <w:pPr>
        <w:ind w:left="2600" w:hanging="648"/>
        <w:spacing w:after="0"/>
        <w:tabs>
          <w:tab w:leader="none" w:pos="26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and to the Knowledge of Seller, agents or other Persons acting for or 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behalf of the Company:</w:t>
      </w:r>
    </w:p>
    <w:p>
      <w:pPr>
        <w:spacing w:after="0" w:line="209" w:lineRule="exact"/>
        <w:rPr>
          <w:rFonts w:ascii="Times New Roman" w:cs="Times New Roman" w:eastAsia="Times New Roman" w:hAnsi="Times New Roman"/>
          <w:sz w:val="22"/>
          <w:szCs w:val="22"/>
          <w:color w:val="auto"/>
        </w:rPr>
      </w:pPr>
    </w:p>
    <w:p>
      <w:pPr>
        <w:ind w:firstLine="2600"/>
        <w:spacing w:after="0" w:line="271" w:lineRule="auto"/>
        <w:tabs>
          <w:tab w:leader="none" w:pos="322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currently or has been in the past three (3) years, (A) a Sanctioned Person, or (B) engaging in any dealings or transactions in violation of applicable Sanctions Laws.</w:t>
      </w:r>
    </w:p>
    <w:p>
      <w:pPr>
        <w:spacing w:after="0" w:line="157"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3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at any time in the past three (3) years made or received any unlawful payment or given, offered, promised, or authorized or agreed to give or receive, any money or thing of value, directly or indirectly, to or from any individual acting for or on behalf of any such Governmental Authority (any such individual, a “</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or any other Person in violation of any applicable Anti-Corruption Laws.</w:t>
      </w:r>
    </w:p>
    <w:p>
      <w:pPr>
        <w:spacing w:after="0" w:line="176"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in the past three (3) years directly or indirectly offered, in violation of applicable Law, made or promised to make any unlawful contribution, gift, bribe, rebate, payoff, influence payment, kickback, or other payment or thing of value to any Government Official or other Person regardless of form, whether in money, property, or services, (i) to obtain favorable treatment or any other improper advantage in securing or retaining business, (ii) to pay for favorable treatment for business secured or retained, (iii) to obtain special concessions or for special concessions already obtained for or in respect of the Company or (iv) to unlawfully influence any act or decision of any Person in their official capacity or induce such Person to violate their lawful duties.</w:t>
      </w:r>
    </w:p>
    <w:p>
      <w:pPr>
        <w:spacing w:after="0" w:line="180" w:lineRule="exact"/>
        <w:rPr>
          <w:rFonts w:ascii="Times New Roman" w:cs="Times New Roman" w:eastAsia="Times New Roman" w:hAnsi="Times New Roman"/>
          <w:sz w:val="22"/>
          <w:szCs w:val="22"/>
          <w:color w:val="auto"/>
        </w:rPr>
      </w:pPr>
    </w:p>
    <w:p>
      <w:pPr>
        <w:jc w:val="both"/>
        <w:ind w:firstLine="1952"/>
        <w:spacing w:after="0" w:line="275" w:lineRule="auto"/>
        <w:tabs>
          <w:tab w:leader="none" w:pos="258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at the date of the Original Agreement, no Action is pending or, to the Knowledge of Seller, has been threatened by or before any Governmental Authority in relation to the Company in the past three (3) years, with respect to any applicable Anti-Corruption Laws and/or Laws on anti-money laundering and terror financing, or Sanctions Laws.</w:t>
      </w:r>
    </w:p>
    <w:p>
      <w:pPr>
        <w:spacing w:after="0" w:line="16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3.29</w:t>
      </w:r>
      <w:r>
        <w:rPr>
          <w:sz w:val="20"/>
          <w:szCs w:val="20"/>
          <w:color w:val="auto"/>
        </w:rPr>
        <w:tab/>
      </w:r>
      <w:r>
        <w:rPr>
          <w:rFonts w:ascii="Times New Roman" w:cs="Times New Roman" w:eastAsia="Times New Roman" w:hAnsi="Times New Roman"/>
          <w:sz w:val="21"/>
          <w:szCs w:val="21"/>
          <w:u w:val="single" w:color="auto"/>
          <w:color w:val="auto"/>
        </w:rPr>
        <w:t>Brokers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 broker, finder or similar agent has been employed by, or on behalf of, Seller, and no Person with which Seller has had any dealings or communications, is entitled to any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commission or finder’s fee in connection with this Agreement or the transactions contemplated hereby.</w:t>
      </w: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-29210</wp:posOffset>
            </wp:positionV>
            <wp:extent cx="37369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736975" cy="8255"/>
                    </a:xfrm>
                    <a:prstGeom prst="rect">
                      <a:avLst/>
                    </a:prstGeom>
                    <a:noFill/>
                  </pic:spPr>
                </pic:pic>
              </a:graphicData>
            </a:graphic>
          </wp:anchor>
        </w:drawing>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Purchaser represents and warrants to Seller as follows:</w:t>
      </w:r>
    </w:p>
    <w:p>
      <w:pPr>
        <w:spacing w:after="0" w:line="22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20" w:lineRule="exact"/>
        <w:rPr>
          <w:sz w:val="20"/>
          <w:szCs w:val="20"/>
          <w:color w:val="auto"/>
        </w:rPr>
      </w:pPr>
    </w:p>
    <w:p>
      <w:pPr>
        <w:ind w:left="2600" w:hanging="648"/>
        <w:spacing w:after="0"/>
        <w:tabs>
          <w:tab w:leader="none" w:pos="260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is a limited liability company duly organized, validly existing and in good standing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Laws of the PRC.</w:t>
      </w:r>
    </w:p>
    <w:p>
      <w:pPr>
        <w:spacing w:after="0" w:line="196" w:lineRule="exact"/>
        <w:rPr>
          <w:sz w:val="20"/>
          <w:szCs w:val="20"/>
          <w:color w:val="auto"/>
        </w:rPr>
      </w:pPr>
    </w:p>
    <w:p>
      <w:pPr>
        <w:jc w:val="both"/>
        <w:ind w:firstLine="1952"/>
        <w:spacing w:after="0" w:line="256" w:lineRule="auto"/>
        <w:tabs>
          <w:tab w:leader="none" w:pos="258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duly qualified to do business and is in good standing (to the extent the applicable jurisdiction recognizes such concept) under the Laws of each jurisdiction in which the conduct of its business, or the character of the properties owned or leased by it, requires it to be so qualified, except where the failure to be so qualified or to be in good standing would not have a Purchaser Material Adverse Effect.</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Authorization; Enforceability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Purchaser has the requisite corporate or other similar power and authority to execute and deliver this Agreement and all agreements and documents contemplated hereby to be executed and delivered by it, and to consummate the transactions contemplated hereby and thereby. The execution and delivery of this Agreement and such other agreements and documents and the consummation of the transactions contemplated herein and therein have been duly and validly authorized by all requisite corporate or other similar action on the part of Purchaser. This Agreement has been, and all agreements and documents contemplated hereby to be executed and delivered by it shall be, duly and validly executed and delivered by Purchaser and, assuming the due authorization, execution and delivery by the parties hereto and thereto, shall, upon such execution and delivery hereof and thereof, be the legal, valid and binding obligations of Purchaser hereunder and thereunder, as applicable, enforceable against Purchaser in accordance with its terms, except as limited by the General Enforceability Exceptions.</w:t>
      </w:r>
    </w:p>
    <w:p>
      <w:pPr>
        <w:spacing w:after="0" w:line="18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p>
    <w:p>
      <w:pPr>
        <w:spacing w:after="0" w:line="220" w:lineRule="exact"/>
        <w:rPr>
          <w:sz w:val="20"/>
          <w:szCs w:val="20"/>
          <w:color w:val="auto"/>
        </w:rPr>
      </w:pPr>
    </w:p>
    <w:p>
      <w:pPr>
        <w:jc w:val="both"/>
        <w:ind w:firstLine="1952"/>
        <w:spacing w:after="0" w:line="250" w:lineRule="auto"/>
        <w:tabs>
          <w:tab w:leader="none" w:pos="258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by Purchaser, nor the other agreements and documents contemplated hereby to be executed and delivered by Purchaser, nor the consummation by Purchaser of the transactions contemplated herein or therein, nor compliance by Purchaser with any of the provisions hereof or thereof, shall: (i) conflict with or result in a breach of any provisions of the Organizational Documents of Purchaser; or (ii) constitute or result in the breach of any term, condition or provision of, or constitute a default under, or give rise to any right of termination, cancellation or acceleration with respect to, or result in the creation or imposition of a Lien upon any property or assets of Purchaser, excluding any Lien created in connection with the Letter of Guarantee, violate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271" w:lineRule="auto"/>
        <w:rPr>
          <w:sz w:val="20"/>
          <w:szCs w:val="20"/>
          <w:color w:val="auto"/>
        </w:rPr>
      </w:pPr>
      <w:r>
        <w:rPr>
          <w:rFonts w:ascii="Times New Roman" w:cs="Times New Roman" w:eastAsia="Times New Roman" w:hAnsi="Times New Roman"/>
          <w:sz w:val="22"/>
          <w:szCs w:val="22"/>
          <w:color w:val="auto"/>
        </w:rPr>
        <w:t>Law or Order applicable to Purchaser or any of its properties or assets, except as would not result in a Purchaser Material Adverse Effect.</w:t>
      </w:r>
    </w:p>
    <w:p>
      <w:pPr>
        <w:spacing w:after="0" w:line="158" w:lineRule="exact"/>
        <w:rPr>
          <w:sz w:val="20"/>
          <w:szCs w:val="20"/>
          <w:color w:val="auto"/>
        </w:rPr>
      </w:pPr>
    </w:p>
    <w:p>
      <w:pPr>
        <w:jc w:val="both"/>
        <w:ind w:firstLine="1952"/>
        <w:spacing w:after="0" w:line="256" w:lineRule="auto"/>
        <w:tabs>
          <w:tab w:leader="none" w:pos="258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Consent by any Governmental Authority is required to be obtained by Purchaser for the consummation by Purchaser of the transactions contemplated by this Agreement that if not obtained would have a Purchaser Material Adverse Effect, except in connection, or in compliance, with the PRC Antitrust Clearance and the other approvals from any Governmental Authorities required under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220" w:lineRule="exact"/>
        <w:rPr>
          <w:sz w:val="20"/>
          <w:szCs w:val="20"/>
          <w:color w:val="auto"/>
        </w:rPr>
      </w:pPr>
    </w:p>
    <w:p>
      <w:pPr>
        <w:jc w:val="both"/>
        <w:ind w:firstLine="1952"/>
        <w:spacing w:after="0" w:line="263" w:lineRule="auto"/>
        <w:tabs>
          <w:tab w:leader="none" w:pos="258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Action pending or, to the Knowledge of Purchaser, threatened, against Purchaser or any of its Affiliates by or before any Governmental Authority that, if determined in a manner adverse to Purchaser or any of its Affiliates, would have a Purchaser Material Adverse Effect.</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outstanding Order binding on or, to the Knowledge of Purchaser, threatened, against Purchaser or any of its Affiliates that would have a Purchaser Material Adverse Effect.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Solvency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Assuming (a) the representations and warranties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are true and correct, (b) compliance in all material respects by Seller with its obligations hereunder, (c) the satisfaction of the conditions to Purchaser’s obligations to consummate the transactions contemplated by this Agreement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(d) immediately prior to the Closing, the Company is Solvent, then immediately after giving effect to all of the transactions contemplated by this Agreement, Purchaser and its Subsidiaries shall be Solvent.</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u w:val="single" w:color="auto"/>
          <w:color w:val="auto"/>
        </w:rPr>
        <w:t>Independent Investigation; No Reliance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In connection with its investment decision, Purchaser expressly acknowledges that it and its Representatives have inspected the business, operations, technology, assets, liabilities, results of operations, financial condition and prospects of the Company and have conducted such independent review, investigation and analysis (financial and otherwise) of the Company as desired by Purchaser. Purchaser hereby expressly acknowledges that Seller has provided Purchaser with access to the personnel, properties, premises and books and records of the Company for this purpose. Purchaser hereby expressly acknowledges that its purchase of the Purchased Interest and the consummation of the transactions contemplated hereby are not done in reliance upon any representation or warranty or omission by, or information from, Seller or any of its Affiliates or Representatives, whether oral or written, express or implied, including any implied warranty of merchantability or of fitness for a particular purpose, except for the representations and warranties specifically and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(as modified by the Seller Disclosure Letter), and Purchaser hereby expressly acknowledges that Seller expressly disclaims any other representations and warranties. Such purchase and consummation are instead done entirely on the basis of Purchaser’s own investigation, analysis, judgment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assessment of the present and potential value and earning power of the Company, as well as those representations and warranties by Seller, as specifically and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(as modified by the Seller Disclosure Letter). Purchaser expressly acknowledges that neither Seller nor any of its Affiliates has made any representation or warranty to Purchaser regarding the probable success or profitability of the Company or its business. Purchaser further expressly acknowledges that neither Seller nor any of its Affiliates nor any other Person has made any representation or warranty, express or implied, as to the accuracy or completeness of any information regarding the Company, its businesses or the transactions contemplated by this Agreement, except for the information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(as modified by the Seller Disclosure Letter), and neither Seller nor any of its Affiliates nor any other Person shall have or be subject to any liability to, Purchaser, its Affiliates, their respective Subsidiaries, shareholders, Controlling persons or Representatives or any other Person resulting from the distribution to Purchaser or its Representatives or Purchaser’s use of any such information, including the any confidential information memoranda or management presentations distributed by, or on behalf of, the Company relating to its businesses, any such information contained in the VDR or any other data room (including any electronic or “virtual” data room), or any information contained in any publication, document or other form provided or made available, or any omission thereof or therein, to Purchaser or any of its Representatives in connection with the purchase and sale of the Purchased Interest and the transactions contemplated hereby.</w:t>
      </w:r>
    </w:p>
    <w:p>
      <w:pPr>
        <w:spacing w:after="0" w:line="185"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u w:val="single" w:color="auto"/>
          <w:color w:val="auto"/>
        </w:rPr>
        <w:t>Available Funds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Purchaser has, and will have at the Closing, cash on hand necessary to consummate the transactions contemplated by this Agreement, including (a) making payment of the Purchase Price to Seller when due and (b) paying all related fees and expenses arising from the transactions contemplated by this Agreement.</w:t>
      </w:r>
    </w:p>
    <w:p>
      <w:pPr>
        <w:spacing w:after="0" w:line="17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u w:val="single" w:color="auto"/>
          <w:color w:val="auto"/>
        </w:rPr>
        <w:t>Letter of Guarantee</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of the AMR Submission Date and during the period from the AMR Submission Date through the Closing, the Letter of Guarantee shall have been and remained duly issued by the Purchaser Guarantor in favor of Seller, shall be and remain in full force and effect, shall constitute the legal, valid and binding obligation of the Purchaser Guarantor, enforceable in accordance with its terms, and shall not have been amended, withdrawn or rescinded in any respect. As of the AMR Submission Date and during the period from the AMR Submission Date through the Closing, no event shall have occurred which, with or without notice, lapse of time or both, would constitute a default on the part of the Purchaser Guarantor under the Letter of Guarantee. Purchaser has not received any written notice of cancellation or any other indication that the Letter of Guarantee is no longer in full force or effect or that the Purchaser Guarantor is not willing or able to perform its obligations thereunder, and, no event has occurred that will result in the cancellation or termination of the Letter of Guarantee.</w:t>
      </w:r>
    </w:p>
    <w:p>
      <w:pPr>
        <w:spacing w:after="0" w:line="185"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4.9</w:t>
      </w:r>
      <w:r>
        <w:rPr>
          <w:sz w:val="20"/>
          <w:szCs w:val="20"/>
          <w:color w:val="auto"/>
        </w:rPr>
        <w:tab/>
      </w:r>
      <w:r>
        <w:rPr>
          <w:rFonts w:ascii="Times New Roman" w:cs="Times New Roman" w:eastAsia="Times New Roman" w:hAnsi="Times New Roman"/>
          <w:sz w:val="21"/>
          <w:szCs w:val="21"/>
          <w:u w:val="single" w:color="auto"/>
          <w:color w:val="auto"/>
        </w:rPr>
        <w:t>Brokers</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No broker, finder or similar agent has been employed by, or on behalf of, Purchaser, and no Person with which Purchaser has had any dealings or communications is entitled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brokerage commission or finder’s fee in connection with this Agreement or the transactions contemplated hereby.</w:t>
      </w: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COVENANTS</w:t>
      </w:r>
    </w:p>
    <w:p>
      <w:pPr>
        <w:spacing w:after="0" w:line="20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Conduct of Business Prior to the Closing</w:t>
      </w:r>
    </w:p>
    <w:p>
      <w:pPr>
        <w:spacing w:after="0" w:line="220" w:lineRule="exact"/>
        <w:rPr>
          <w:sz w:val="20"/>
          <w:szCs w:val="20"/>
          <w:color w:val="auto"/>
        </w:rPr>
      </w:pPr>
    </w:p>
    <w:p>
      <w:pPr>
        <w:jc w:val="both"/>
        <w:ind w:firstLine="1952"/>
        <w:spacing w:after="0" w:line="253" w:lineRule="auto"/>
        <w:tabs>
          <w:tab w:leader="none" w:pos="258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 for the matters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of the Seller Disclosure Letter; (x) as required by the terms of any Contract set forth in the Seller Disclosure Letter or contained in the VDR or under applicable Law; (y) as otherwise contemplated by this Agreement; or (z) with the prior written consent of Purchaser (which consent shall not be unreasonably withheld, delayed or conditioned), during the Interim Period, Seller shall and shall cause the Company to:</w:t>
      </w:r>
    </w:p>
    <w:p>
      <w:pPr>
        <w:spacing w:after="0" w:line="178" w:lineRule="exact"/>
        <w:rPr>
          <w:rFonts w:ascii="Times New Roman" w:cs="Times New Roman" w:eastAsia="Times New Roman" w:hAnsi="Times New Roman"/>
          <w:sz w:val="22"/>
          <w:szCs w:val="22"/>
          <w:color w:val="auto"/>
        </w:rPr>
      </w:pPr>
    </w:p>
    <w:p>
      <w:pPr>
        <w:ind w:firstLine="2600"/>
        <w:spacing w:after="0" w:line="271" w:lineRule="auto"/>
        <w:tabs>
          <w:tab w:leader="none" w:pos="3228"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the businesses of the Company in the ordinary course of business and in accordance with past practice in all material respects;</w:t>
      </w:r>
    </w:p>
    <w:p>
      <w:pPr>
        <w:spacing w:after="0" w:line="157" w:lineRule="exact"/>
        <w:rPr>
          <w:rFonts w:ascii="Times New Roman" w:cs="Times New Roman" w:eastAsia="Times New Roman" w:hAnsi="Times New Roman"/>
          <w:sz w:val="22"/>
          <w:szCs w:val="22"/>
          <w:color w:val="auto"/>
        </w:rPr>
      </w:pPr>
    </w:p>
    <w:p>
      <w:pPr>
        <w:jc w:val="both"/>
        <w:ind w:right="20" w:firstLine="2600"/>
        <w:spacing w:after="0" w:line="257" w:lineRule="auto"/>
        <w:tabs>
          <w:tab w:leader="none" w:pos="323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premises, facilities and assets owned, operated or used by the Company in substantially the same state of repair, order and conditions as they are on date of the Original Agreement, reasonable wear and tear excepted;</w:t>
      </w:r>
    </w:p>
    <w:p>
      <w:pPr>
        <w:spacing w:after="0" w:line="18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sufficient Cash as required for the business operation of the Company; and</w:t>
      </w:r>
    </w:p>
    <w:p>
      <w:pPr>
        <w:spacing w:after="0" w:line="219" w:lineRule="exact"/>
        <w:rPr>
          <w:rFonts w:ascii="Times New Roman" w:cs="Times New Roman" w:eastAsia="Times New Roman" w:hAnsi="Times New Roman"/>
          <w:sz w:val="22"/>
          <w:szCs w:val="22"/>
          <w:color w:val="auto"/>
        </w:rPr>
      </w:pPr>
    </w:p>
    <w:p>
      <w:pPr>
        <w:ind w:firstLine="2600"/>
        <w:spacing w:after="0" w:line="271" w:lineRule="auto"/>
        <w:tabs>
          <w:tab w:leader="none" w:pos="3228"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maintain its relationship with its employees (other than the Excluded Employees) and suppliers in the ordinary course of business in accordance with past practice.</w:t>
      </w:r>
    </w:p>
    <w:p>
      <w:pPr>
        <w:spacing w:after="0" w:line="157"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provisions of the foregoing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except (w) for the matters set forth in </w:t>
      </w:r>
      <w:r>
        <w:rPr>
          <w:rFonts w:ascii="Times New Roman" w:cs="Times New Roman" w:eastAsia="Times New Roman" w:hAnsi="Times New Roman"/>
          <w:sz w:val="21"/>
          <w:szCs w:val="21"/>
          <w:u w:val="single" w:color="auto"/>
          <w:color w:val="auto"/>
        </w:rPr>
        <w:t>Section 5.1(a)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 xml:space="preserve"> of the Seller Disclosure Letter, (x) as required by the terms of any Contract in existence as of the date of the Original Agreement or under applicable Law, (y) as otherwise contemplated by this Agreement, or (z) with the prior written consent of Purchaser (which consent shall not be unreasonably withheld, delayed or conditioned), during the Interim Period, the Company shall not, and Seller shall cause the Company not to, other than in the ordinary course of business:</w:t>
      </w:r>
    </w:p>
    <w:p>
      <w:pPr>
        <w:spacing w:after="0" w:line="163"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or amend the Organizational Documents of the Company;</w:t>
      </w:r>
    </w:p>
    <w:p>
      <w:pPr>
        <w:spacing w:after="0" w:line="219"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3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reduce registered capital, or allot or issue any securities or loan capital convertible into equity interest of the Company, purchase, redeem, dispose of, retire or acquire any such securities, or agree to do so, or sell or give any option, right to purchase or create any Lien over any such securities;</w:t>
      </w:r>
    </w:p>
    <w:p>
      <w:pPr>
        <w:spacing w:after="0" w:line="167" w:lineRule="exact"/>
        <w:rPr>
          <w:rFonts w:ascii="Times New Roman" w:cs="Times New Roman" w:eastAsia="Times New Roman" w:hAnsi="Times New Roman"/>
          <w:sz w:val="22"/>
          <w:szCs w:val="22"/>
          <w:color w:val="auto"/>
        </w:rPr>
      </w:pPr>
    </w:p>
    <w:p>
      <w:pPr>
        <w:ind w:firstLine="2600"/>
        <w:spacing w:after="0" w:line="271" w:lineRule="auto"/>
        <w:tabs>
          <w:tab w:leader="none" w:pos="32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 plan of complete or partial liquidation, dissolution, merger, consolidation, restructuring, recapitalization or other reorganization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113" w:name="page114"/>
    <w:bookmarkEnd w:id="113"/>
    <w:p>
      <w:pPr>
        <w:ind w:right="20"/>
        <w:spacing w:after="0" w:line="271" w:lineRule="auto"/>
        <w:rPr>
          <w:sz w:val="20"/>
          <w:szCs w:val="20"/>
          <w:color w:val="auto"/>
        </w:rPr>
      </w:pPr>
      <w:r>
        <w:rPr>
          <w:rFonts w:ascii="Times New Roman" w:cs="Times New Roman" w:eastAsia="Times New Roman" w:hAnsi="Times New Roman"/>
          <w:sz w:val="22"/>
          <w:szCs w:val="22"/>
          <w:color w:val="auto"/>
        </w:rPr>
        <w:t>authorize or undertake a dissolution, consolidation, recapitalization, merger, liquidation, or other reorganization or restructuring of the corporate structure of the Company;</w:t>
      </w:r>
    </w:p>
    <w:p>
      <w:pPr>
        <w:spacing w:after="0" w:line="158" w:lineRule="exact"/>
        <w:rPr>
          <w:sz w:val="20"/>
          <w:szCs w:val="20"/>
          <w:color w:val="auto"/>
        </w:rPr>
      </w:pPr>
    </w:p>
    <w:p>
      <w:pPr>
        <w:jc w:val="both"/>
        <w:ind w:firstLine="2600"/>
        <w:spacing w:after="0" w:line="251" w:lineRule="auto"/>
        <w:tabs>
          <w:tab w:leader="none" w:pos="32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establish, enter into, adopt, amend, renew, extend, or terminate any Employee Benefit Plan or any plan, program, policy, agreement, or arrangement that would be an Employee Benefit Plan except (1) as required by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 xml:space="preserve"> below, (2) in the ordinary course of business, (3) consistent with past practice, (4) as required pursuant to any plan, program or agreement existing on the date of the Original Agreement and as disclosed in the Seller Disclosure Letter or applicable PRC Laws or (5) as otherwise permitted pursuant to this </w:t>
      </w:r>
      <w:r>
        <w:rPr>
          <w:rFonts w:ascii="Times New Roman" w:cs="Times New Roman" w:eastAsia="Times New Roman" w:hAnsi="Times New Roman"/>
          <w:sz w:val="22"/>
          <w:szCs w:val="22"/>
          <w:u w:val="single" w:color="auto"/>
          <w:color w:val="auto"/>
        </w:rPr>
        <w:t>Section 5.1(b)(iv)</w:t>
      </w:r>
      <w:r>
        <w:rPr>
          <w:rFonts w:ascii="Times New Roman" w:cs="Times New Roman" w:eastAsia="Times New Roman" w:hAnsi="Times New Roman"/>
          <w:sz w:val="22"/>
          <w:szCs w:val="22"/>
          <w:color w:val="auto"/>
        </w:rPr>
        <w:t>; grant or announce to grant to any director, officer, employee or staff of the Company any increase in compensation and/or bonus of over 5%;</w:t>
      </w:r>
    </w:p>
    <w:p>
      <w:pPr>
        <w:spacing w:after="0" w:line="194"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financial accounting methods, principles or practices, except as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by a change in the Accounting Principles, the auditors of the Company or applicable Law;</w:t>
      </w:r>
    </w:p>
    <w:p>
      <w:pPr>
        <w:spacing w:after="0" w:line="195" w:lineRule="exact"/>
        <w:rPr>
          <w:rFonts w:ascii="Times New Roman" w:cs="Times New Roman" w:eastAsia="Times New Roman" w:hAnsi="Times New Roman"/>
          <w:sz w:val="22"/>
          <w:szCs w:val="22"/>
          <w:color w:val="auto"/>
        </w:rPr>
      </w:pPr>
    </w:p>
    <w:p>
      <w:pPr>
        <w:jc w:val="both"/>
        <w:ind w:firstLine="2600"/>
        <w:spacing w:after="0" w:line="253" w:lineRule="auto"/>
        <w:tabs>
          <w:tab w:leader="none" w:pos="32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any Subsidiary or directly or indirectly acquire or agree to acquire or invest in any transaction (by merger, consolidation, stock or asset purchase, investment, or otherwise) any equity interest in or business of any firm, corporation, partnership, company, limited liability company, trust, joint venture, association or other entity or division thereof, or enter into any agreement, arrangement or understanding with respect to any such acquisition or investment, including any confidentiality, exclusivity, standstill or similar agreements;</w:t>
      </w:r>
    </w:p>
    <w:p>
      <w:pPr>
        <w:spacing w:after="0" w:line="178" w:lineRule="exact"/>
        <w:rPr>
          <w:rFonts w:ascii="Times New Roman" w:cs="Times New Roman" w:eastAsia="Times New Roman" w:hAnsi="Times New Roman"/>
          <w:sz w:val="22"/>
          <w:szCs w:val="22"/>
          <w:color w:val="auto"/>
        </w:rPr>
      </w:pPr>
    </w:p>
    <w:p>
      <w:pPr>
        <w:jc w:val="both"/>
        <w:ind w:firstLine="2600"/>
        <w:spacing w:after="0" w:line="248" w:lineRule="auto"/>
        <w:tabs>
          <w:tab w:leader="none" w:pos="323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other than purchases and sales of products, inventory and supplies in the ordinary course of business, consistent with past practice, acquire or agree to acquire, sell, lease, license, assign, exchange, pledge, mortgage, encumber, abandon or otherwise transfer or dispose of any tangible or intangible assets (other than real property) in excess of US$1,000,000, in the aggregate (including by merger, consolidation, acquisition of stock or assets), except for (x) sales, dispositions or transfers of products, inventory or obsolete or worn-out equipment in the ordinary course of business consistent with past practice and (y) the sales, dispositions or transfers to an Affiliate of Seller of those certain assets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5.1(b)(vii)</w:t>
      </w:r>
      <w:r>
        <w:rPr>
          <w:rFonts w:ascii="Times New Roman" w:cs="Times New Roman" w:eastAsia="Times New Roman" w:hAnsi="Times New Roman"/>
          <w:sz w:val="22"/>
          <w:szCs w:val="22"/>
          <w:color w:val="auto"/>
        </w:rPr>
        <w:t xml:space="preserve"> of the Seller Disclosure Letter (collectively,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or (B) sell, lease, mortgage, pledge, encumber, abandon, sell and leaseback or otherwise transfer or dispose of any real properties of Company or any material rights or interests therein;</w:t>
      </w:r>
    </w:p>
    <w:p>
      <w:pPr>
        <w:spacing w:after="0" w:line="198" w:lineRule="exact"/>
        <w:rPr>
          <w:rFonts w:ascii="Times New Roman" w:cs="Times New Roman" w:eastAsia="Times New Roman" w:hAnsi="Times New Roman"/>
          <w:sz w:val="22"/>
          <w:szCs w:val="22"/>
          <w:color w:val="auto"/>
        </w:rPr>
      </w:pPr>
    </w:p>
    <w:p>
      <w:pPr>
        <w:jc w:val="both"/>
        <w:ind w:firstLine="2600"/>
        <w:spacing w:after="0" w:line="252" w:lineRule="auto"/>
        <w:tabs>
          <w:tab w:leader="none" w:pos="32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 purchases and sales of products, inventory and supplies in the ordinary course of business, consistent with past practice, (B) transactions contemplated under this Agreement and the Ancillary Agreements and (C) the sales, dispositions or transfers to an Affiliate of Seller of the Excluded Assets, enter into any new Affiliate Transaction or substantially revise the conditions of any Affiliate Transaction;</w:t>
      </w:r>
    </w:p>
    <w:p>
      <w:pPr>
        <w:spacing w:after="0" w:line="179" w:lineRule="exact"/>
        <w:rPr>
          <w:rFonts w:ascii="Times New Roman" w:cs="Times New Roman" w:eastAsia="Times New Roman" w:hAnsi="Times New Roman"/>
          <w:sz w:val="22"/>
          <w:szCs w:val="22"/>
          <w:color w:val="auto"/>
        </w:rPr>
      </w:pPr>
    </w:p>
    <w:p>
      <w:pPr>
        <w:jc w:val="both"/>
        <w:ind w:firstLine="2600"/>
        <w:spacing w:after="0" w:line="281" w:lineRule="auto"/>
        <w:tabs>
          <w:tab w:leader="none" w:pos="322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any material Tax election, change an annual Tax accounting period, adopt or change any material method of accounting for Tax purposes, file any material amended Tax Return, enter into any material closing agreement for Tax purposes, settle or compromise any material Tax liability, surrender any right to claim a material refund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22"/>
          <w:szCs w:val="22"/>
          <w:color w:val="auto"/>
        </w:rPr>
        <w:t>Taxes, or consent to any extension or waiver of the limitation period applicable to any material Tax claim or assessment relating to the Company if such action could reasonably be expected to materially increase taxes in any Taxable period beginning on or after the Closing Date;</w:t>
      </w:r>
    </w:p>
    <w:p>
      <w:pPr>
        <w:spacing w:after="0" w:line="186" w:lineRule="exact"/>
        <w:rPr>
          <w:sz w:val="20"/>
          <w:szCs w:val="20"/>
          <w:color w:val="auto"/>
        </w:rPr>
      </w:pPr>
    </w:p>
    <w:p>
      <w:pPr>
        <w:jc w:val="both"/>
        <w:ind w:firstLine="2600"/>
        <w:spacing w:after="0" w:line="257" w:lineRule="auto"/>
        <w:tabs>
          <w:tab w:leader="none" w:pos="323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ordinary course of business, consistent with past practice, grant or acquire, agree to grant to or acquire from any Person, or dispose of or permit to lapse any rights to any Intellectual Property material to the Company (to the extent currently used in the business);</w:t>
      </w:r>
    </w:p>
    <w:p>
      <w:pPr>
        <w:spacing w:after="0" w:line="172" w:lineRule="exact"/>
        <w:rPr>
          <w:rFonts w:ascii="Times New Roman" w:cs="Times New Roman" w:eastAsia="Times New Roman" w:hAnsi="Times New Roman"/>
          <w:sz w:val="22"/>
          <w:szCs w:val="22"/>
          <w:color w:val="auto"/>
        </w:rPr>
      </w:pPr>
    </w:p>
    <w:p>
      <w:pPr>
        <w:jc w:val="both"/>
        <w:ind w:firstLine="2600"/>
        <w:spacing w:after="0" w:line="281" w:lineRule="auto"/>
        <w:tabs>
          <w:tab w:leader="none" w:pos="322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assume, incur, or guarantee any Indebtedness, except for: (A) Indebtedness incurred in the ordinary course of business, consistent with past practice; and (B) Indebtedness incurred under letters of credit entered into in the ordinary course of business, consistent with past practice, and accelerate the repayment of any existing Indebtedness;</w:t>
      </w:r>
    </w:p>
    <w:p>
      <w:pPr>
        <w:spacing w:after="0" w:line="150" w:lineRule="exact"/>
        <w:rPr>
          <w:rFonts w:ascii="Times New Roman" w:cs="Times New Roman" w:eastAsia="Times New Roman" w:hAnsi="Times New Roman"/>
          <w:sz w:val="21"/>
          <w:szCs w:val="21"/>
          <w:color w:val="auto"/>
        </w:rPr>
      </w:pPr>
    </w:p>
    <w:p>
      <w:pPr>
        <w:jc w:val="both"/>
        <w:ind w:firstLine="2600"/>
        <w:spacing w:after="0" w:line="252" w:lineRule="auto"/>
        <w:tabs>
          <w:tab w:leader="none" w:pos="323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compromise, discharge, waive, release, assign or agree to settle or enter into any waiver, release, assignment, compromise or settlement of any pending or threatened litigation, investigation, arbitration or proceeding other than those that do not involve the payment by the Company of monetary damages in excess of US$100,000 in any individual instance, or US$300,000 in the aggregate;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surrender, allow to expire or fail to renew, any Permits material to the Company;</w:t>
      </w:r>
    </w:p>
    <w:p>
      <w:pPr>
        <w:spacing w:after="0" w:line="233"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2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any “mass layoff,” as defined in the applicable PRC Laws, but excluding any proposed termination, transition or transfer of certain Company employees according to such name list as shall be agreed between the Parties in writing after the date of the Original Agreement (collectively, the “</w:t>
      </w:r>
      <w:r>
        <w:rPr>
          <w:rFonts w:ascii="Times New Roman" w:cs="Times New Roman" w:eastAsia="Times New Roman" w:hAnsi="Times New Roman"/>
          <w:sz w:val="22"/>
          <w:szCs w:val="22"/>
          <w:u w:val="single" w:color="auto"/>
          <w:color w:val="auto"/>
        </w:rPr>
        <w:t>Excluded Employees</w:t>
      </w:r>
      <w:r>
        <w:rPr>
          <w:rFonts w:ascii="Times New Roman" w:cs="Times New Roman" w:eastAsia="Times New Roman" w:hAnsi="Times New Roman"/>
          <w:sz w:val="22"/>
          <w:szCs w:val="22"/>
          <w:color w:val="auto"/>
        </w:rPr>
        <w:t>”); or</w:t>
      </w:r>
    </w:p>
    <w:p>
      <w:pPr>
        <w:spacing w:after="0" w:line="17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to take any of the foregoing actions.</w:t>
      </w:r>
    </w:p>
    <w:p>
      <w:pPr>
        <w:spacing w:after="0" w:line="22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Access to Information; Confidentiality</w:t>
      </w:r>
    </w:p>
    <w:p>
      <w:pPr>
        <w:spacing w:after="0" w:line="233" w:lineRule="exact"/>
        <w:rPr>
          <w:sz w:val="20"/>
          <w:szCs w:val="20"/>
          <w:color w:val="auto"/>
        </w:rPr>
      </w:pPr>
    </w:p>
    <w:p>
      <w:pPr>
        <w:jc w:val="both"/>
        <w:ind w:firstLine="1952"/>
        <w:spacing w:after="0" w:line="259" w:lineRule="auto"/>
        <w:tabs>
          <w:tab w:leader="none" w:pos="2589"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Interim Period, and subject to compliance with applicable Law and this </w:t>
      </w:r>
      <w:r>
        <w:rPr>
          <w:rFonts w:ascii="Times New Roman" w:cs="Times New Roman" w:eastAsia="Times New Roman" w:hAnsi="Times New Roman"/>
          <w:sz w:val="21"/>
          <w:szCs w:val="21"/>
          <w:u w:val="single" w:color="auto"/>
          <w:color w:val="auto"/>
        </w:rPr>
        <w:t>Section 5.2(a)</w:t>
      </w:r>
      <w:r>
        <w:rPr>
          <w:rFonts w:ascii="Times New Roman" w:cs="Times New Roman" w:eastAsia="Times New Roman" w:hAnsi="Times New Roman"/>
          <w:sz w:val="21"/>
          <w:szCs w:val="21"/>
          <w:color w:val="auto"/>
        </w:rPr>
        <w:t xml:space="preserve">, Seller shall give Purchaser and its Representatives reasonable access during regular business hours to the properties, books and records of the Company at the request of Purchaser, with reasonable prior notice to Seller, in connection with the transactions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Purchaser and its Representatives shall conduct any such activities in such a manner as not to unreasonably interfere with the business or operations of Seller and the Company. All contacts with any employee of the Company must be requested in writing by Purchaser and must first be approved by and coordinated through the executive officers of Seller (or their designee(s)), which approval shall not be unreasonably withheld or delayed. In no event shall Seller be obligated to provide: (i) such access or information if Seller determines, in its reasonable judgment, that doing so may:</w:t>
      </w:r>
    </w:p>
    <w:p>
      <w:pPr>
        <w:spacing w:after="0" w:line="4" w:lineRule="exact"/>
        <w:rPr>
          <w:rFonts w:ascii="Times New Roman" w:cs="Times New Roman" w:eastAsia="Times New Roman" w:hAnsi="Times New Roman"/>
          <w:sz w:val="21"/>
          <w:szCs w:val="21"/>
          <w:color w:val="auto"/>
        </w:rPr>
      </w:pPr>
    </w:p>
    <w:p>
      <w:pPr>
        <w:ind w:firstLine="8"/>
        <w:spacing w:after="0" w:line="248" w:lineRule="auto"/>
        <w:tabs>
          <w:tab w:leader="none" w:pos="35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applicable Law, an Order, a Contract or any other obligation of confidentiality or any other obligation owing to a third Person (including those relating to sensitive and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50" w:lineRule="auto"/>
        <w:rPr>
          <w:sz w:val="20"/>
          <w:szCs w:val="20"/>
          <w:color w:val="auto"/>
        </w:rPr>
      </w:pPr>
      <w:r>
        <w:rPr>
          <w:rFonts w:ascii="Times New Roman" w:cs="Times New Roman" w:eastAsia="Times New Roman" w:hAnsi="Times New Roman"/>
          <w:sz w:val="22"/>
          <w:szCs w:val="22"/>
          <w:color w:val="auto"/>
        </w:rPr>
        <w:t>information); or (B) jeopardize the protection of the attorney-client privilege or any other privilege or immunity; or (ii) any portion of any Tax Return (or supporting work papers or documents related thereto) of, or with respect to, Seller or any of its Affiliates (other than any Tax Return solely and directly related to the Company). In addition, during the Interim Period, Seller may designate any competitively sensitive information provided to Purchaser or its Representatives pursuant to this Agreement as “outside counsel only” and such information shall be given only to the outside counsel of Purchaser and may not be shared, conveyed, summarized or otherwise disclosed in any manner with Purchaser or any of its Subsidiaries or any of their respective Representatives (other than such outside counsel), except as may be expressly agreed in writing by Seller in advance.</w:t>
      </w:r>
    </w:p>
    <w:p>
      <w:pPr>
        <w:spacing w:after="0" w:line="180" w:lineRule="exact"/>
        <w:rPr>
          <w:sz w:val="20"/>
          <w:szCs w:val="20"/>
          <w:color w:val="auto"/>
        </w:rPr>
      </w:pPr>
    </w:p>
    <w:p>
      <w:pPr>
        <w:jc w:val="both"/>
        <w:ind w:firstLine="1952"/>
        <w:spacing w:after="0" w:line="261" w:lineRule="exact"/>
        <w:tabs>
          <w:tab w:leader="none" w:pos="258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that certain Non-Disclosure Agreement, dated as of May 8, 2020, by and between Western Digital Technologies, Inc. and STATS ChipPAC Semiconductor (Jiangyin) Co., Ltd. (</w:t>
      </w:r>
      <w:r>
        <w:rPr>
          <w:rFonts w:ascii="SimSun" w:cs="SimSun" w:eastAsia="SimSun" w:hAnsi="SimSun"/>
          <w:sz w:val="21"/>
          <w:szCs w:val="21"/>
          <w:color w:val="auto"/>
        </w:rPr>
        <w:t>星科金朋半导体（江阴）有限公司</w:t>
      </w:r>
      <w:r>
        <w:rPr>
          <w:rFonts w:ascii="Times New Roman" w:cs="Times New Roman" w:eastAsia="Times New Roman" w:hAnsi="Times New Roman"/>
          <w:sz w:val="21"/>
          <w:szCs w:val="21"/>
          <w:color w:val="auto"/>
        </w:rPr>
        <w:t>), as may be amended, extended or modified from time to time, each Party shall, and shall cause their respective Affiliates to, and shall instruct their respective Representatives to, hold in confidence any and all confidential, proprietary and non-public information and materials, whether in written, verbal, graphic or other form, concerning each other Party, any of their respective Affiliates, the transactions contemplated herein, or any discussion, negotiation or correspondence by any Party or their Affiliates on, prior to or after the date hereof for, relating to or in connection with the transactions contemplated herein (collectively,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except as necessary to perform any of the Party’s obligations under this Agreement or under the Ancillary Documents and except that no Party shall have any obligation hereunder with respect to any Confidential Information that: (i) after the date hereof becomes generally available to the public other than through a breach by the applicable Party, any of its Affiliates or Representatives of their respective obligations hereunder; (ii) is provided to the Party or any of its Affiliates by a third party that was not known to the receiving Party to be bound by any duty of confidentiality to the other Party, (iii) is disclosed as a result of requirement by applicable Law (including stock exchange rules) or by any Governmental Authority or under any subpoena, civil investigative demand or other similar process by a court of competent jurisdiction having jurisdiction over such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legally permissible, the disclosing Party shall give advance written notice of such compelled disclosure to the other Party, and shall cooperate with such other Party in connection with any efforts to prevent or limit the scope of such disclosure;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such disclosing Party shall disclose only that portion of such Confidential Information which such disclosing Party is advised by its counsel is legally required to be disclosed; or (iv) is provided by Seller to certain suppliers, as reasonably agreed by Seller and Purchaser, to facilitate the arrangement of material procurement services for the Company. Notwithstanding the foregoing, a Party may disclose Confidential Information without notice to or consent of the other Party in connection with the enforcement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116" w:name="page117"/>
    <w:bookmarkEnd w:id="116"/>
    <w:p>
      <w:pPr>
        <w:spacing w:after="0" w:line="271" w:lineRule="auto"/>
        <w:rPr>
          <w:sz w:val="20"/>
          <w:szCs w:val="20"/>
          <w:color w:val="auto"/>
        </w:rPr>
      </w:pPr>
      <w:r>
        <w:rPr>
          <w:rFonts w:ascii="Times New Roman" w:cs="Times New Roman" w:eastAsia="Times New Roman" w:hAnsi="Times New Roman"/>
          <w:sz w:val="22"/>
          <w:szCs w:val="22"/>
          <w:color w:val="auto"/>
        </w:rPr>
        <w:t>this Agreement and/or the Ancillary Agreements or the defense of any Action brought by the other Party, any of its Affiliates or any of its Representatives.</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Regulatory Filings; Reasonable Best Efforts</w:t>
      </w:r>
    </w:p>
    <w:p>
      <w:pPr>
        <w:spacing w:after="0" w:line="233" w:lineRule="exact"/>
        <w:rPr>
          <w:sz w:val="20"/>
          <w:szCs w:val="20"/>
          <w:color w:val="auto"/>
        </w:rPr>
      </w:pPr>
    </w:p>
    <w:p>
      <w:pPr>
        <w:jc w:val="both"/>
        <w:ind w:firstLine="1952"/>
        <w:spacing w:after="0" w:line="246" w:lineRule="auto"/>
        <w:tabs>
          <w:tab w:leader="none" w:pos="258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terms and subject to the conditions set forth in this Agreement, each of the Parties shall (and to the extent applicable, shall cause their respective Affiliates and equityholders to) take, or cause to be taken, all actions, to do, or cause to be done, and to assist and cooperate with the other Parties in doing, all things necessary, proper or advisable to consummate and make effective, as promptly as practicable but, in any event, no later than the Longstop Date (as defined below), the transactions contemplated hereby in accordance with the terms of this Agreement, including, without limitation: (i) the obtaining of all necessary Consents under any applicable Laws required to give effect to the terms of this Agreement and consummate the transactions contemplated hereunder; (ii) the taking of all steps as may be necessary to avoid an Action by any Governmental Authority in respect of this Agreement and the consummation of the transactions contemplated hereunder; (iii) the obtaining of all necessary Consents from third parties required to consummate the transactions contemplated hereunder; and (iv) the execution and delivery of any additional instruments necessary to consummate the transactions contemplated hereunder in accordance with the terms of this Agreement and to fully carry out the purposes of this Agreement. Unless otherwise expressly agreed herein, neither Seller nor any of its Affiliates shall be obligated to grant any consideration, or pay any fee or other similar payment, to any third Person from whom Consent is required or requested from or by such third Person in connection with the consummation of the transactions contemplated under this Agreement in order to obtain any such Consent. For the avoidance of doubt, Purchaser shall agree or commit to any and all divestitures, licenses, behavioral remedies, hold separate or similar arrangements, or other remedies, restrictions, limitations or commitments, in each case as a condition to obtaining the PRC Antitrust Clearance in order to consummate and make effective, as promptly as practicable and in any event by the Longstop Date, the transactions contemplated hereby, so long as such remedies, restrictions, limitations or commitments required to be taken by Purchaser shall not materially and adversely impact the economic or business benefits to Purchaser of the transactions contemplated by this Agreement. In addition, upon the terms and subject to the conditions herein provided and subject to the Parties’ (and to the extent applicable, their respective Affiliates’) obligations under applicable Law, none of the Parties hereto shall (and such Parties shall cause, to the extent applicable, their respective Affiliates not to) knowingly take, or cause to be taken, any action that would reasonably be expected to materially delay or prevent the satisfaction by the Longstop Date of the conditions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PRC Antitrust Clearance has not been obtained as of the date hereof pursuant to the terms of the Original Agreement, Purchaser (as the filing obligor for the PRC Antitrust Clearance) undertakes and agrees (and to the extent applicable, shall cause its Affiliates and equity holders to undertake and agree) to prepare and file a set of appropriate filing materials pursuant to the PRC Anti-Monopoly Law with respect to the transactions contemplated by this Agreement as soon as reasonably practicable following the date of this Agreement and to supply as promptly as practicable any additional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57" w:lineRule="auto"/>
        <w:rPr>
          <w:sz w:val="20"/>
          <w:szCs w:val="20"/>
          <w:color w:val="auto"/>
        </w:rPr>
      </w:pPr>
      <w:r>
        <w:rPr>
          <w:rFonts w:ascii="Times New Roman" w:cs="Times New Roman" w:eastAsia="Times New Roman" w:hAnsi="Times New Roman"/>
          <w:sz w:val="22"/>
          <w:szCs w:val="22"/>
          <w:color w:val="auto"/>
        </w:rPr>
        <w:t>documentary material that may be requested pursuant to the PRC Anti-Monopoly Law. Purchaser shall have the responsibility for all costs and expenses associated with filings pursuant to the PRC Anti-Monopoly Law, if applicable. Seller shall exercise its best efforts to assist Purchaser in obtaining the PRC Antitrust Clearance.</w:t>
      </w:r>
    </w:p>
    <w:p>
      <w:pPr>
        <w:spacing w:after="0" w:line="186" w:lineRule="exact"/>
        <w:rPr>
          <w:sz w:val="20"/>
          <w:szCs w:val="20"/>
          <w:color w:val="auto"/>
        </w:rPr>
      </w:pPr>
    </w:p>
    <w:p>
      <w:pPr>
        <w:jc w:val="both"/>
        <w:ind w:firstLine="1952"/>
        <w:spacing w:after="0" w:line="251" w:lineRule="auto"/>
        <w:tabs>
          <w:tab w:leader="none" w:pos="258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Purchaser and Seller shall and, to the extent applicable, shall cause their respective Affiliates and equityholders to: (i) respond as promptly as practicable to any inquiries and requests received from SAMR or any other Governmental Authority, as applicable, in connection with the filing in respect of the PRC Antitrust Clearance; and (ii) not extend or cause to be extended any waiting period under the applicable Law or enter into any agreement with SAMR or any other Governmental Authority not to consummate the transactions contemplated by this Agreement, except, in each case, with the prior written consent of the other Party.</w:t>
      </w:r>
    </w:p>
    <w:p>
      <w:pPr>
        <w:spacing w:after="0" w:line="181"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8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and subject to applicable Law, each of Purchaser, on the one hand, and Seller, on the other hand, shall and, to the extent applicable, shall cause their respective Affiliates and equityholders to: (i) promptly notify the other Party of any communication from SAMR or any other Governmental Authority (except with respect to Taxes), as applicable, concerning this Agreement or the transactions contemplated hereby and permit the other Party to review in advance any proposed communication to any of the foregoing; (ii) consult with the other Party prior to participating in any meeting (in-person or virtual), telephonic or video call or discussion with SAMR or any Governmental Authority with respect to any filing, investigation or inquiry concerning this Agreement or the transactions contemplated hereby (except with respect to Taxes), as applicable, and provide the other Party the opportunity to attend and participate in any such meeting (in-person or virtual), telephonic or video call or discussion; (iii) furnish the other Party with copies of all correspondence, filings and written communications (or a reasonably detailed summary of any oral communications) between it and its Representatives, on the one hand, and SAMR or any Governmental Authority, on the other hand, as applicable, with respect to this Agreement or the transactions contemplated hereby (except with respect to Taxes); and (iv) provide a reasonable opportunity to the other Party to review and comment in advance on any filings, letters, presentations, whitepapers and other substantive communications with SAMR or the Governmental Authority in connection with this Agreement or the transactions contemplated hereby and consider, in good faith, any comments on such correspondences, filings and written communications.</w:t>
      </w:r>
    </w:p>
    <w:p>
      <w:pPr>
        <w:spacing w:after="0" w:line="19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after the date hereof and in any event prior to the AMR Submission Date, each of Purchaser and Seller shall furnish or cause to be furnished to the Company (for purposes of securing the AMR Approval) and Purchaser (for purposes of securing the SAFE Registration Voucher) all executed application forms and all supporting documents and such other documents as the relevant Governmental Authority may require for obtaining AMR Approval and the SAFE Registration Voucher.</w:t>
      </w:r>
    </w:p>
    <w:p>
      <w:pPr>
        <w:spacing w:after="0" w:line="180"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9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AMR Submission Date, (i) the Company (in the presence of Purchaser’s Representative (to the extent permitted by SAMR and/or the Company Capital Account Bank), either in person or virtually, shall submit to SAMR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60" w:lineRule="auto"/>
        <w:rPr>
          <w:sz w:val="20"/>
          <w:szCs w:val="20"/>
          <w:color w:val="auto"/>
        </w:rPr>
      </w:pPr>
      <w:r>
        <w:rPr>
          <w:rFonts w:ascii="Times New Roman" w:cs="Times New Roman" w:eastAsia="Times New Roman" w:hAnsi="Times New Roman"/>
          <w:sz w:val="21"/>
          <w:szCs w:val="21"/>
          <w:color w:val="auto"/>
        </w:rPr>
        <w:t>Capital Account Bank for pre-review of the Registration ETA and the relevant application documents (the “</w:t>
      </w:r>
      <w:r>
        <w:rPr>
          <w:rFonts w:ascii="Times New Roman" w:cs="Times New Roman" w:eastAsia="Times New Roman" w:hAnsi="Times New Roman"/>
          <w:sz w:val="21"/>
          <w:szCs w:val="21"/>
          <w:u w:val="single" w:color="auto"/>
          <w:color w:val="auto"/>
        </w:rPr>
        <w:t>Application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xml:space="preserve">”) required to apply for the AMR Approval and the SAFE Registration Voucher, respectively, and (ii) to the extent the Application Documents are amended consistent with this </w:t>
      </w:r>
      <w:r>
        <w:rPr>
          <w:rFonts w:ascii="Times New Roman" w:cs="Times New Roman" w:eastAsia="Times New Roman" w:hAnsi="Times New Roman"/>
          <w:sz w:val="21"/>
          <w:szCs w:val="21"/>
          <w:u w:val="single" w:color="auto"/>
          <w:color w:val="auto"/>
        </w:rPr>
        <w:t>Section 5.3(f)</w:t>
      </w:r>
      <w:r>
        <w:rPr>
          <w:rFonts w:ascii="Times New Roman" w:cs="Times New Roman" w:eastAsia="Times New Roman" w:hAnsi="Times New Roman"/>
          <w:sz w:val="21"/>
          <w:szCs w:val="21"/>
          <w:color w:val="auto"/>
        </w:rPr>
        <w:t xml:space="preserve">, the Company shall further consult with SAMR and the Company Capital Account Bank to confirm that such amendments are sufficient to satisfy the requirements of SAMR and/or the Company Capital Account Bank. If the relevant Governmental Authority and/or the Company Capital Account Bank requires any amendment (including, for purpose of this </w:t>
      </w:r>
      <w:r>
        <w:rPr>
          <w:rFonts w:ascii="Times New Roman" w:cs="Times New Roman" w:eastAsia="Times New Roman" w:hAnsi="Times New Roman"/>
          <w:sz w:val="21"/>
          <w:szCs w:val="21"/>
          <w:u w:val="single" w:color="auto"/>
          <w:color w:val="auto"/>
        </w:rPr>
        <w:t>Section 5.3(f)</w:t>
      </w:r>
      <w:r>
        <w:rPr>
          <w:rFonts w:ascii="Times New Roman" w:cs="Times New Roman" w:eastAsia="Times New Roman" w:hAnsi="Times New Roman"/>
          <w:sz w:val="21"/>
          <w:szCs w:val="21"/>
          <w:color w:val="auto"/>
        </w:rPr>
        <w:t>, any supplement) to the Registration ETA and the Application Documents and if, in the reasonable view of Purchaser or Seller, such amendment is materially inconsistent with, or represents substantive terms in addition to, the terms of this Agreement or the Ancillary Agreements, then the Parties shall immediately consult in good faith with each other to determine whether to make the requested amendment (for the avoidance of doubt, neither Party shall be obligated to agree to such amendment). If the Parties agree to make the requested amendment, the Parties shall, as soon as possible, take such steps as are reasonable to amend this Agreement, the Ancillary Agreements and any other documents necessary to give effect to the requested amendment. Otherwise, if the relevant Governmental Authority and/or the Company Capital Account Bank requires any amendment to the Registration ETA and the Application Documents and if, in the reasonable view of Purchaser and Seller, such amendment is not materially inconsistent with, nor represents substantive terms in addition to, the terms of this Agreement or the Ancillary Agreements, then the Parties shall, as soon as possible, take such steps as are reasonable in order to amend the Registration ETA and/or the Application Documents to incorporate the requested amendment</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both"/>
        <w:ind w:firstLine="1952"/>
        <w:spacing w:after="0" w:line="253" w:lineRule="auto"/>
        <w:tabs>
          <w:tab w:leader="none" w:pos="258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Purchaser’s compliance with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5.3(e)</w:t>
      </w:r>
      <w:r>
        <w:rPr>
          <w:rFonts w:ascii="Times New Roman" w:cs="Times New Roman" w:eastAsia="Times New Roman" w:hAnsi="Times New Roman"/>
          <w:sz w:val="22"/>
          <w:szCs w:val="22"/>
          <w:color w:val="auto"/>
        </w:rPr>
        <w:t xml:space="preserve">, within three (3) Business Days following the satisfaction or waiver of the conditions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Seller shall cause the Company to, and the Parties shall, exercise their respective best efforts to, submit to the competent SAMR no later than September 19, 2024, Beijing time all executed application forms and all supporting documents and such other documents as the relevant Governmental Authority may require for the purpose of obtaining the AMR Approval.</w:t>
      </w:r>
    </w:p>
    <w:p>
      <w:pPr>
        <w:spacing w:after="0" w:line="178"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(1) Business Day after the AMR Approval is obtained, the Parties shall cause the Company to, as soon as practicable, submit to the Company Capital Account Bank all executed application forms and all supporting documents and such other documents as the relevant Governmental Authority may require for the purpose of obtaining the SAFE Registration Voucher.</w:t>
      </w:r>
    </w:p>
    <w:p>
      <w:pPr>
        <w:spacing w:after="0" w:line="176" w:lineRule="exact"/>
        <w:rPr>
          <w:rFonts w:ascii="Times New Roman" w:cs="Times New Roman" w:eastAsia="Times New Roman" w:hAnsi="Times New Roman"/>
          <w:sz w:val="22"/>
          <w:szCs w:val="22"/>
          <w:color w:val="auto"/>
        </w:rPr>
      </w:pPr>
    </w:p>
    <w:p>
      <w:pPr>
        <w:jc w:val="both"/>
        <w:ind w:firstLine="1952"/>
        <w:spacing w:after="0" w:line="263" w:lineRule="exact"/>
        <w:tabs>
          <w:tab w:leader="none" w:pos="25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after the PRC Antitrust Clearance has been obtained, but in any event no later than five (5) Business Days after the AMR Approval is obtained, Purchaser shall make the tax filing with competent Taxing Authority for overseas payment for trade in services and other items (</w:t>
      </w:r>
      <w:r>
        <w:rPr>
          <w:rFonts w:ascii="SimSun" w:cs="SimSun" w:eastAsia="SimSun" w:hAnsi="SimSun"/>
          <w:sz w:val="22"/>
          <w:szCs w:val="22"/>
          <w:color w:val="auto"/>
        </w:rPr>
        <w:t>服务贸易等项目对外支付税务备案表</w:t>
      </w:r>
      <w:r>
        <w:rPr>
          <w:rFonts w:ascii="Times New Roman" w:cs="Times New Roman" w:eastAsia="Times New Roman" w:hAnsi="Times New Roman"/>
          <w:sz w:val="22"/>
          <w:szCs w:val="22"/>
          <w:color w:val="auto"/>
        </w:rPr>
        <w:t>) and, within five (5) Business Days after receipt of such form, provide Seller with a copy of the Tax filing form for overseas payment for trade in services and other items (</w:t>
      </w:r>
      <w:r>
        <w:rPr>
          <w:rFonts w:ascii="SimSun" w:cs="SimSun" w:eastAsia="SimSun" w:hAnsi="SimSun"/>
          <w:sz w:val="22"/>
          <w:szCs w:val="22"/>
          <w:color w:val="auto"/>
        </w:rPr>
        <w:t>服务贸易等项目对外支付税务备案表</w:t>
      </w:r>
      <w:r>
        <w:rPr>
          <w:rFonts w:ascii="Times New Roman" w:cs="Times New Roman" w:eastAsia="Times New Roman" w:hAnsi="Times New Roman"/>
          <w:sz w:val="22"/>
          <w:szCs w:val="22"/>
          <w:color w:val="auto"/>
        </w:rPr>
        <w:t>) affixed with the relevant Taxing Authority’s seal (or any equivalent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119" w:name="page120"/>
    <w:bookmarkEnd w:id="119"/>
    <w:p>
      <w:pPr>
        <w:spacing w:after="0" w:line="271" w:lineRule="auto"/>
        <w:rPr>
          <w:sz w:val="20"/>
          <w:szCs w:val="20"/>
          <w:color w:val="auto"/>
        </w:rPr>
      </w:pPr>
      <w:r>
        <w:rPr>
          <w:rFonts w:ascii="Times New Roman" w:cs="Times New Roman" w:eastAsia="Times New Roman" w:hAnsi="Times New Roman"/>
          <w:sz w:val="22"/>
          <w:szCs w:val="22"/>
          <w:color w:val="auto"/>
        </w:rPr>
        <w:t>including but not limited to an electronic copy of the Tax Return and settlement certificate generated by the online Tax filing system).</w:t>
      </w:r>
    </w:p>
    <w:p>
      <w:pPr>
        <w:spacing w:after="0" w:line="158" w:lineRule="exact"/>
        <w:rPr>
          <w:sz w:val="20"/>
          <w:szCs w:val="20"/>
          <w:color w:val="auto"/>
        </w:rPr>
      </w:pPr>
    </w:p>
    <w:p>
      <w:pPr>
        <w:jc w:val="both"/>
        <w:ind w:firstLine="1952"/>
        <w:spacing w:after="0" w:line="250" w:lineRule="auto"/>
        <w:tabs>
          <w:tab w:leader="none" w:pos="25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use their best efforts to take, or cause to be taken, all appropriate action, and to do, or cause to be done, and to assist and cooperate with the other Parties in doing, all things necessary, proper or advisable under applicable Laws or otherwise to consummate and make effective the transaction contemplated in this Section, including, without limitation, (i) employing such resources as are necessary or desirable to obtain the AMR Approval and the SAFE Registration Voucher and cause the Purchase Price to be converted into US$ by a third-party financial institution or Person and paid to the Seller’s Account, and (ii) taking any and all steps necessary or desirable to avoid or eliminate each and every impediment under applicable Laws that may be asserted by any Governmental Authority so as to enable the Parties to expeditiously consummate the transactions contemplated by this Agreement.</w:t>
      </w:r>
    </w:p>
    <w:p>
      <w:pPr>
        <w:spacing w:after="0" w:line="18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Closing Conditions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During the Interim Period, each Party hereto shall, and Seller shall cause the Company to, use commercially reasonable efforts to take such actions as are necessary to expeditiously satisfy the closing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hereof, including, without limitation, negotiating the Ancillary Agreements in good faith to the extent the form thereof has not been agreed as of the date hereof.</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No Amendment to Letter of Guarantee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Purchaser shall (a) maintain in full force and effect the Letter of Guarantee and (b) satisfy, or cause to be satisfied, on a timely basis all conditions to the funding under the Letter of Guarantee. Without limiting the generality of the foregoing, without the prior written consent of Seller, Purchaser shall not, and shall cause its Affiliates not to, (i) amend, modify, withdraw, waive or terminate the Letter of Guarantee, or (ii) enter into or modify any other Contract relating to the transactions contemplated hereby in a manner that (y) would be inconsistent with the terms of this Agreement and any other agreements relating to the transactions contemplated hereby, or (z) would or would reasonably be expected to prevent or impede, interfere with, hinder or delay (A) the consummation by Purchaser of the transactions contemplated hereby or (B) the compliance by Purchaser of its obligations under this Agreement. Purchaser will, and will cause each of its Affiliates to, deliver to Seller within one (1) Business Day upon receipt, any notification received by Purchaser from the Purchaser Guarantor regarding adjustment to guarantee amount, termination, withdrawal or other material amendments to the Letter of Guarantee.</w:t>
      </w:r>
    </w:p>
    <w:p>
      <w:pPr>
        <w:spacing w:after="0" w:line="18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Employee Benefits</w:t>
      </w:r>
    </w:p>
    <w:p>
      <w:pPr>
        <w:spacing w:after="0" w:line="220" w:lineRule="exact"/>
        <w:rPr>
          <w:sz w:val="20"/>
          <w:szCs w:val="20"/>
          <w:color w:val="auto"/>
        </w:rPr>
      </w:pPr>
    </w:p>
    <w:p>
      <w:pPr>
        <w:jc w:val="both"/>
        <w:ind w:right="20" w:firstLine="1952"/>
        <w:spacing w:after="0" w:line="266" w:lineRule="auto"/>
        <w:tabs>
          <w:tab w:leader="none" w:pos="2589"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five (5)-year period following the Closing, the Parties shall endeavor in good faith to cause the Company to provide each employee of the Company as of the Closing Date (collectively, the “</w:t>
      </w:r>
      <w:r>
        <w:rPr>
          <w:rFonts w:ascii="Times New Roman" w:cs="Times New Roman" w:eastAsia="Times New Roman" w:hAnsi="Times New Roman"/>
          <w:sz w:val="21"/>
          <w:szCs w:val="21"/>
          <w:u w:val="single" w:color="auto"/>
          <w:color w:val="auto"/>
        </w:rPr>
        <w:t>Company Employees</w:t>
      </w:r>
      <w:r>
        <w:rPr>
          <w:rFonts w:ascii="Times New Roman" w:cs="Times New Roman" w:eastAsia="Times New Roman" w:hAnsi="Times New Roman"/>
          <w:sz w:val="21"/>
          <w:szCs w:val="21"/>
          <w:color w:val="auto"/>
        </w:rPr>
        <w:t>”) with:</w:t>
      </w:r>
    </w:p>
    <w:p>
      <w:pPr>
        <w:spacing w:after="0" w:line="1" w:lineRule="exact"/>
        <w:rPr>
          <w:rFonts w:ascii="Times New Roman" w:cs="Times New Roman" w:eastAsia="Times New Roman" w:hAnsi="Times New Roman"/>
          <w:sz w:val="21"/>
          <w:szCs w:val="21"/>
          <w:color w:val="auto"/>
        </w:rPr>
      </w:pPr>
    </w:p>
    <w:p>
      <w:pPr>
        <w:ind w:right="20" w:firstLine="8"/>
        <w:spacing w:after="0" w:line="261" w:lineRule="auto"/>
        <w:tabs>
          <w:tab w:leader="none" w:pos="26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and target bonus opportunities that are substantially similar to or better than each such Company Employee’s base salary and target bonus opportunities prior to the Closing; and (ii) all other compensation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72" w:lineRule="auto"/>
        <w:rPr>
          <w:sz w:val="20"/>
          <w:szCs w:val="20"/>
          <w:color w:val="auto"/>
        </w:rPr>
      </w:pPr>
      <w:r>
        <w:rPr>
          <w:rFonts w:ascii="Times New Roman" w:cs="Times New Roman" w:eastAsia="Times New Roman" w:hAnsi="Times New Roman"/>
          <w:sz w:val="21"/>
          <w:szCs w:val="21"/>
          <w:color w:val="auto"/>
        </w:rPr>
        <w:t>benefits that are, in the aggregate, with respect to each Company Employee, substantially similar to or better than the compensation and benefits provided to such Company Employee under the Employee Benefit Plans immediately prior to the Closing, in each case subject to the satisfaction of the Company’s financial target as agreed between Purchaser and Seller, and the performance review of each such Company Employee in normal course in accordance with the written policies of the Company.</w:t>
      </w:r>
    </w:p>
    <w:p>
      <w:pPr>
        <w:spacing w:after="0" w:line="161" w:lineRule="exact"/>
        <w:rPr>
          <w:sz w:val="20"/>
          <w:szCs w:val="20"/>
          <w:color w:val="auto"/>
        </w:rPr>
      </w:pPr>
    </w:p>
    <w:p>
      <w:pPr>
        <w:ind w:left="2600" w:hanging="648"/>
        <w:spacing w:after="0"/>
        <w:tabs>
          <w:tab w:leader="none" w:pos="26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WDC RSUs (as defined below) held by the Company Employees shall be treated as follows:</w:t>
      </w:r>
    </w:p>
    <w:p>
      <w:pPr>
        <w:spacing w:after="0" w:line="219" w:lineRule="exact"/>
        <w:rPr>
          <w:rFonts w:ascii="Times New Roman" w:cs="Times New Roman" w:eastAsia="Times New Roman" w:hAnsi="Times New Roman"/>
          <w:sz w:val="22"/>
          <w:szCs w:val="22"/>
          <w:color w:val="auto"/>
        </w:rPr>
      </w:pPr>
    </w:p>
    <w:p>
      <w:pPr>
        <w:jc w:val="both"/>
        <w:ind w:firstLine="2600"/>
        <w:spacing w:after="0" w:line="281" w:lineRule="auto"/>
        <w:tabs>
          <w:tab w:leader="none" w:pos="3238"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At or immediately prior to the Closing, each award of Western Digital Corporation restricted stock units (each such unit, a “</w:t>
      </w:r>
      <w:r>
        <w:rPr>
          <w:rFonts w:ascii="Times New Roman" w:cs="Times New Roman" w:eastAsia="Times New Roman" w:hAnsi="Times New Roman"/>
          <w:sz w:val="21"/>
          <w:szCs w:val="21"/>
          <w:u w:val="single" w:color="auto"/>
          <w:color w:val="auto"/>
        </w:rPr>
        <w:t>WDC RSU</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WDC RSUs</w:t>
      </w:r>
      <w:r>
        <w:rPr>
          <w:rFonts w:ascii="Times New Roman" w:cs="Times New Roman" w:eastAsia="Times New Roman" w:hAnsi="Times New Roman"/>
          <w:sz w:val="21"/>
          <w:szCs w:val="21"/>
          <w:color w:val="auto"/>
        </w:rPr>
        <w:t>”) held by a Company Employee that is then outstanding and unvested shall automatically be canceled in accordance with the terms and conditions of such WDC RSUs.</w:t>
      </w:r>
    </w:p>
    <w:p>
      <w:pPr>
        <w:spacing w:after="0" w:line="150" w:lineRule="exact"/>
        <w:rPr>
          <w:rFonts w:ascii="Times New Roman" w:cs="Times New Roman" w:eastAsia="Times New Roman" w:hAnsi="Times New Roman"/>
          <w:sz w:val="19"/>
          <w:szCs w:val="19"/>
          <w:color w:val="auto"/>
        </w:rPr>
      </w:pPr>
    </w:p>
    <w:p>
      <w:pPr>
        <w:jc w:val="both"/>
        <w:ind w:firstLine="2600"/>
        <w:spacing w:after="0" w:line="257" w:lineRule="auto"/>
        <w:tabs>
          <w:tab w:leader="none" w:pos="323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the Company Employees who hold any WDC RSUs that are outstanding and vested (but not theretofore settled) as of the Closing (the “</w:t>
      </w:r>
      <w:r>
        <w:rPr>
          <w:rFonts w:ascii="Times New Roman" w:cs="Times New Roman" w:eastAsia="Times New Roman" w:hAnsi="Times New Roman"/>
          <w:sz w:val="22"/>
          <w:szCs w:val="22"/>
          <w:u w:val="single" w:color="auto"/>
          <w:color w:val="auto"/>
        </w:rPr>
        <w:t>Vested WDC RSUs</w:t>
      </w:r>
      <w:r>
        <w:rPr>
          <w:rFonts w:ascii="Times New Roman" w:cs="Times New Roman" w:eastAsia="Times New Roman" w:hAnsi="Times New Roman"/>
          <w:sz w:val="22"/>
          <w:szCs w:val="22"/>
          <w:color w:val="auto"/>
        </w:rPr>
        <w:t>”) shall be entitled to settlement thereof in accordance with their terms.</w:t>
      </w:r>
    </w:p>
    <w:p>
      <w:pPr>
        <w:spacing w:after="0" w:line="172" w:lineRule="exact"/>
        <w:rPr>
          <w:rFonts w:ascii="Times New Roman" w:cs="Times New Roman" w:eastAsia="Times New Roman" w:hAnsi="Times New Roman"/>
          <w:sz w:val="22"/>
          <w:szCs w:val="22"/>
          <w:color w:val="auto"/>
        </w:rPr>
      </w:pPr>
    </w:p>
    <w:p>
      <w:pPr>
        <w:jc w:val="both"/>
        <w:ind w:firstLine="2600"/>
        <w:spacing w:after="0" w:line="248" w:lineRule="auto"/>
        <w:tabs>
          <w:tab w:leader="none" w:pos="32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WDC RSU that is outstanding and not vested as of the Closing (an “</w:t>
      </w:r>
      <w:r>
        <w:rPr>
          <w:rFonts w:ascii="Times New Roman" w:cs="Times New Roman" w:eastAsia="Times New Roman" w:hAnsi="Times New Roman"/>
          <w:sz w:val="22"/>
          <w:szCs w:val="22"/>
          <w:u w:val="single" w:color="auto"/>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WDC RSU</w:t>
      </w:r>
      <w:r>
        <w:rPr>
          <w:rFonts w:ascii="Times New Roman" w:cs="Times New Roman" w:eastAsia="Times New Roman" w:hAnsi="Times New Roman"/>
          <w:sz w:val="22"/>
          <w:szCs w:val="22"/>
          <w:color w:val="auto"/>
        </w:rPr>
        <w:t>”), the Company shall issue new cash-settled awards to the Company Employee (excluding Excluded Employees) (collectively, the “</w:t>
      </w:r>
      <w:r>
        <w:rPr>
          <w:rFonts w:ascii="Times New Roman" w:cs="Times New Roman" w:eastAsia="Times New Roman" w:hAnsi="Times New Roman"/>
          <w:sz w:val="22"/>
          <w:szCs w:val="22"/>
          <w:u w:val="single" w:color="auto"/>
          <w:color w:val="auto"/>
        </w:rPr>
        <w:t>Replacement Cash Awards</w:t>
      </w:r>
      <w:r>
        <w:rPr>
          <w:rFonts w:ascii="Times New Roman" w:cs="Times New Roman" w:eastAsia="Times New Roman" w:hAnsi="Times New Roman"/>
          <w:sz w:val="22"/>
          <w:szCs w:val="22"/>
          <w:color w:val="auto"/>
        </w:rPr>
        <w:t>”) pursuant to a post-Closing cash bonus plan mutually acceptable to Seller and Purchaser (the “</w:t>
      </w:r>
      <w:r>
        <w:rPr>
          <w:rFonts w:ascii="Times New Roman" w:cs="Times New Roman" w:eastAsia="Times New Roman" w:hAnsi="Times New Roman"/>
          <w:sz w:val="22"/>
          <w:szCs w:val="22"/>
          <w:u w:val="single" w:color="auto"/>
          <w:color w:val="auto"/>
        </w:rPr>
        <w:t>Post-Closing Bonus Plan</w:t>
      </w:r>
      <w:r>
        <w:rPr>
          <w:rFonts w:ascii="Times New Roman" w:cs="Times New Roman" w:eastAsia="Times New Roman" w:hAnsi="Times New Roman"/>
          <w:sz w:val="22"/>
          <w:szCs w:val="22"/>
          <w:color w:val="auto"/>
        </w:rPr>
        <w:t>”) to replace such canceled Unvested WDC RSUs. The Replacement Cash Awards issuable to the relevant Company Employees shall (x) have the equivalent cash value of the Unvested WDC RSUs (as determined in accordance with the Post-Closing Bonus Plan), (y) be subject to the same vesting terms and conditions (whether time or performance based) that applied to the Unvested WDC RSUs immediately prior to the Closing Date (provided that there is no substantial change to the terms and conditions of the Unvested WDC RSU after execution of this Agreement unless otherwise agreed to by the Parties in writing), and (z) be payable by the Company to the Company Employee only if and to the extent such vesting conditions are fully satisfied. For avoidance of doubt, the Replacement Cash Awards issuable to Company Employees shall constitute Company Transaction Expenses.</w:t>
      </w:r>
    </w:p>
    <w:p>
      <w:pPr>
        <w:spacing w:after="0" w:line="202"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the Parties shall, or shall cause the Company to, honor all obligations to any Labor Organization and, notwithstanding anything in this Agreement to the contrary, the terms and conditions of employment upon and after the Closing for all employees of the Company represented by a Labor Organization shall be governed by any such obligations.</w:t>
      </w:r>
    </w:p>
    <w:p>
      <w:pPr>
        <w:spacing w:after="0" w:line="179"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58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Company, in its sole discretion, is permitted to: (i) prior to the Closing, pay out bonuses for any completed fiscal year to its employees in the ordinary course of business; and (ii) prior to the Closing, pay to each eligible Excluded Employee a pro rata bonus in respect of its then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121" w:name="page122"/>
    <w:bookmarkEnd w:id="121"/>
    <w:p>
      <w:pPr>
        <w:spacing w:after="0" w:line="271" w:lineRule="auto"/>
        <w:rPr>
          <w:sz w:val="20"/>
          <w:szCs w:val="20"/>
          <w:color w:val="auto"/>
        </w:rPr>
      </w:pPr>
      <w:r>
        <w:rPr>
          <w:rFonts w:ascii="Times New Roman" w:cs="Times New Roman" w:eastAsia="Times New Roman" w:hAnsi="Times New Roman"/>
          <w:sz w:val="22"/>
          <w:szCs w:val="22"/>
          <w:color w:val="auto"/>
        </w:rPr>
        <w:t>fiscal year through the Closing based on its determination, in good faith, of the amounts earned, based on actual performance through the Closing.</w:t>
      </w:r>
    </w:p>
    <w:p>
      <w:pPr>
        <w:spacing w:after="0" w:line="158" w:lineRule="exact"/>
        <w:rPr>
          <w:sz w:val="20"/>
          <w:szCs w:val="20"/>
          <w:color w:val="auto"/>
        </w:rPr>
      </w:pPr>
    </w:p>
    <w:p>
      <w:pPr>
        <w:jc w:val="both"/>
        <w:ind w:firstLine="1952"/>
        <w:spacing w:after="0" w:line="256" w:lineRule="auto"/>
        <w:tabs>
          <w:tab w:leader="none" w:pos="258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herein, expressed or implied, is intended to confer upon any Company Employee or any other Person any benefits under any benefit plans, programs, policies or other arrangements, and the provisions of this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 xml:space="preserve"> are solely for the benefit of the Parties to this Agreement. No provision of this Agreement shall guarantee any future employment of any Company Employee.</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Public Announcements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 Party shall make, or cause to be made, any press release or public announcement in respect of the negotiations of the Parties or the subject matter or provisions of this Agreement, the Ancillary Agreements or the transactions contemplated hereby or thereby or otherwise communicate with any news media without the prior written consent of the other Party (which consent shall not be unreasonably withheld, delayed or conditioned) unless otherwise required by Law or applicable stock exchange regulation (based upon the reasonable advice of counsel), and the Parties shall cooperate as to the timing and contents of any such press release, public announcement or communication.</w:t>
      </w:r>
    </w:p>
    <w:p>
      <w:pPr>
        <w:spacing w:after="0" w:line="18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u w:val="single" w:color="auto"/>
          <w:color w:val="auto"/>
        </w:rPr>
        <w:t>Further Assurances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At and after the Closing Date, each of Purchaser and Seller shall use its best efforts from time to time to execute and deliver at the reasonable request of the other Party or at the request of any Governmental Authority such additional documents and instruments, and to take, or refrain from taking, such other actions, as may be reasonably required to give effect to this Agreement and the transactions contemplated hereby, which shall include, without limitation, any documents, instruments or actions reasonably required to cause the Purchase Price to be converted into U.S. Dollar and paid to the Seller’s Account.</w:t>
      </w:r>
    </w:p>
    <w:p>
      <w:pPr>
        <w:spacing w:after="0" w:line="194"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Notification of Certain Matters</w:t>
      </w:r>
    </w:p>
    <w:p>
      <w:pPr>
        <w:spacing w:after="0" w:line="220" w:lineRule="exact"/>
        <w:rPr>
          <w:sz w:val="20"/>
          <w:szCs w:val="20"/>
          <w:color w:val="auto"/>
        </w:rPr>
      </w:pPr>
    </w:p>
    <w:p>
      <w:pPr>
        <w:ind w:left="2600" w:hanging="648"/>
        <w:spacing w:after="0"/>
        <w:tabs>
          <w:tab w:leader="none" w:pos="26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Interim Period, Seller shall give prompt notice to Purchaser in writing if:</w:t>
      </w:r>
    </w:p>
    <w:p>
      <w:pPr>
        <w:spacing w:after="0" w:line="219" w:lineRule="exact"/>
        <w:rPr>
          <w:rFonts w:ascii="Times New Roman" w:cs="Times New Roman" w:eastAsia="Times New Roman" w:hAnsi="Times New Roman"/>
          <w:sz w:val="22"/>
          <w:szCs w:val="22"/>
          <w:color w:val="auto"/>
        </w:rPr>
      </w:pPr>
    </w:p>
    <w:p>
      <w:pPr>
        <w:jc w:val="both"/>
        <w:ind w:firstLine="2600"/>
        <w:spacing w:after="0" w:line="266" w:lineRule="auto"/>
        <w:tabs>
          <w:tab w:leader="none" w:pos="3228" w:val="left"/>
        </w:tabs>
        <w:numPr>
          <w:ilvl w:val="2"/>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Seller becomes aware of any representation or warranty contained in this Agreement becoming untrue or inaccurate such that the conditions set forth in either </w:t>
      </w:r>
      <w:r>
        <w:rPr>
          <w:rFonts w:ascii="Times New Roman" w:cs="Times New Roman" w:eastAsia="Times New Roman" w:hAnsi="Times New Roman"/>
          <w:sz w:val="21"/>
          <w:szCs w:val="21"/>
          <w:u w:val="single" w:color="auto"/>
          <w:color w:val="auto"/>
        </w:rPr>
        <w:t>Section 6.5(a)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6.6(a)</w:t>
      </w:r>
      <w:r>
        <w:rPr>
          <w:rFonts w:ascii="Times New Roman" w:cs="Times New Roman" w:eastAsia="Times New Roman" w:hAnsi="Times New Roman"/>
          <w:sz w:val="21"/>
          <w:szCs w:val="21"/>
          <w:color w:val="auto"/>
        </w:rPr>
        <w:t xml:space="preserve"> would not be satisfied or</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Seller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122" w:name="page123"/>
    <w:bookmarkEnd w:id="122"/>
    <w:p>
      <w:pPr>
        <w:spacing w:after="0" w:line="271" w:lineRule="auto"/>
        <w:rPr>
          <w:sz w:val="20"/>
          <w:szCs w:val="20"/>
          <w:color w:val="auto"/>
        </w:rPr>
      </w:pPr>
      <w:r>
        <w:rPr>
          <w:rFonts w:ascii="Times New Roman" w:cs="Times New Roman" w:eastAsia="Times New Roman" w:hAnsi="Times New Roman"/>
          <w:sz w:val="22"/>
          <w:szCs w:val="22"/>
          <w:color w:val="auto"/>
        </w:rPr>
        <w:t xml:space="preserve">Company to comply with any covenant or agreement to be complied with by it under this Agreement such that the conditions set forth in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 xml:space="preserve"> would not be satisfied; or</w:t>
      </w:r>
    </w:p>
    <w:p>
      <w:pPr>
        <w:spacing w:after="0" w:line="158" w:lineRule="exact"/>
        <w:rPr>
          <w:sz w:val="20"/>
          <w:szCs w:val="20"/>
          <w:color w:val="auto"/>
        </w:rPr>
      </w:pPr>
    </w:p>
    <w:p>
      <w:pPr>
        <w:ind w:firstLine="2600"/>
        <w:spacing w:after="0" w:line="284" w:lineRule="auto"/>
        <w:tabs>
          <w:tab w:leader="none" w:pos="323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becomes aware of the occurrence or existence of any event, development or change that has had, or would have a Company Material Adverse Effect.</w:t>
      </w:r>
    </w:p>
    <w:p>
      <w:pPr>
        <w:spacing w:after="0" w:line="14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Interim Period, Purchaser shall give prompt notice to Seller in writing if:</w:t>
      </w:r>
    </w:p>
    <w:p>
      <w:pPr>
        <w:spacing w:after="0" w:line="219"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2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Purchaser becomes aware of any representation or warranty contained in this Agreement becoming untrue or inaccurate such that the conditions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would not be satisfied or (B) any failure of Purchaser to comply with any covenant or agreement to be complied with by it under this Agreement such that the conditions set forth in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would not be satisfied; or</w:t>
      </w:r>
    </w:p>
    <w:p>
      <w:pPr>
        <w:spacing w:after="0" w:line="176" w:lineRule="exact"/>
        <w:rPr>
          <w:sz w:val="20"/>
          <w:szCs w:val="20"/>
          <w:color w:val="auto"/>
        </w:rPr>
      </w:pPr>
    </w:p>
    <w:p>
      <w:pPr>
        <w:ind w:firstLine="2600"/>
        <w:spacing w:after="0" w:line="271" w:lineRule="auto"/>
        <w:tabs>
          <w:tab w:leader="none" w:pos="323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becomes aware of the occurrence or existence of any event, development or change that has had, or would have, a Purchaser Material Adverse Effect.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20" w:lineRule="exact"/>
        <w:rPr>
          <w:sz w:val="20"/>
          <w:szCs w:val="20"/>
          <w:color w:val="auto"/>
        </w:rPr>
      </w:pPr>
    </w:p>
    <w:p>
      <w:pPr>
        <w:jc w:val="both"/>
        <w:ind w:firstLine="1952"/>
        <w:spacing w:after="0" w:line="261" w:lineRule="auto"/>
        <w:tabs>
          <w:tab w:leader="none" w:pos="258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Taxes of the Company relating to any Taxable period beginning on or before, and ending after the Closing Date (a “</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shall, for purposes of this Agreement, be allocated to the portion of any Tax that is allocable to the Taxable period that is deemed to end on the Closing Date as follows: (i) in the case of property Taxes and other Taxes similarly imposed on a periodic basis, deemed to be the amount of such Taxes for the entire Straddle Period multiplied by a fraction, the numerator of which is the number of calendar days of such Straddle Period up to and including the Closing Date and the denominator of which is the number of calendar days in the entire Straddle Period, and (ii) in the case of all other Taxes (including income and similar Taxes), determined as though the Taxable year of the Company terminated on (and included) the Closing Date; provided that (A) any Taxes that are the result of or that are attributable to any transactions or actions that occur on the Closing Date but falls outside the ordinary course of business after the Closing shall not be allocated to the Taxable period that is deemed to end on the Closing Date; (B) exemptions, allowances or deductions generated by Transaction Expenses shall be treated as allocable to a Taxable period (or portion thereof) ending on or before the Closing Date.</w:t>
      </w:r>
    </w:p>
    <w:p>
      <w:pPr>
        <w:spacing w:after="0" w:line="175"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Cooperation</w:t>
      </w:r>
      <w:r>
        <w:rPr>
          <w:rFonts w:ascii="Times New Roman" w:cs="Times New Roman" w:eastAsia="Times New Roman" w:hAnsi="Times New Roman"/>
          <w:sz w:val="22"/>
          <w:szCs w:val="22"/>
          <w:color w:val="auto"/>
        </w:rPr>
        <w:t>. Purchaser and Seller shall cooperate fully, as and to the extent reasonably requested by the other Party, in connection with the filing of Tax Returns and any audit, examination, litigation or other proceeding with respect to Taxes. Each of Purchaser and Seller agrees to furnish or cause to be furnished to Purchaser or Seller, as applicable, upon request, as promptly as practicable, such information and assistance relating to the Company as is reasonably necessary for the filing of any Tax Return (including the furnishing or making available during normal business hours of records, personnel (as reasonably required), books of account, powers of attorney and other materials reasonably necessary or helpful for the preparation of such Tax Returns), for the preparation for any audit, and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57" w:lineRule="auto"/>
        <w:rPr>
          <w:sz w:val="20"/>
          <w:szCs w:val="20"/>
          <w:color w:val="auto"/>
        </w:rPr>
      </w:pPr>
      <w:r>
        <w:rPr>
          <w:rFonts w:ascii="Times New Roman" w:cs="Times New Roman" w:eastAsia="Times New Roman" w:hAnsi="Times New Roman"/>
          <w:sz w:val="22"/>
          <w:szCs w:val="22"/>
          <w:color w:val="auto"/>
        </w:rPr>
        <w:t>prosecution or defense of any Tax Claim relating to any proposed adjustment. Each of Purchaser, Seller and the Company shall retain all books and records with respect to Taxes of the Company for a period of at least seven (7) years following the Closing Date.</w:t>
      </w:r>
    </w:p>
    <w:p>
      <w:pPr>
        <w:spacing w:after="0" w:line="186" w:lineRule="exact"/>
        <w:rPr>
          <w:sz w:val="20"/>
          <w:szCs w:val="20"/>
          <w:color w:val="auto"/>
        </w:rPr>
      </w:pPr>
    </w:p>
    <w:p>
      <w:pPr>
        <w:jc w:val="both"/>
        <w:ind w:firstLine="1952"/>
        <w:spacing w:after="0" w:line="247" w:lineRule="auto"/>
        <w:tabs>
          <w:tab w:leader="none" w:pos="258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The Company shall, and the Parties shall procure the Company to, prepare or cause to be prepared and file or cause to be filed all Tax Returns for the Company for any taxable year or period that begins on or before the Closing Date that are due (including extensions) after the Closing Date. The Company shall, and the Parties shall procure the Company to, (A) submit such Tax Returns to Seller for review and comment at least thirty (30) days prior to their filing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such Tax Return is due less than sixty (60) days following the end of the taxable period to which such Tax Return relates, such Tax Return shall be submitted to Seller for its review and comment as many days prior to their due date as is reasonably practicable) and (B) make any timely comments reasonably requested by Seller. All Transaction Deductions shall be reported in a Pre-Closing Tax Period to the maximum extent permitted by applicable Law. Without the prior written consent of Seller (which shall not be unreasonably delayed or withheld), the Company shall not amend any Tax Return relating to a Pre-Closing Tax Period, unless so required by the Taxing Authority in connection with a Tax Claim that is conducted in accordance with the terms of this Agreement.</w:t>
      </w:r>
    </w:p>
    <w:p>
      <w:pPr>
        <w:spacing w:after="0" w:line="200"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Proceedings</w:t>
      </w:r>
      <w:r>
        <w:rPr>
          <w:rFonts w:ascii="Times New Roman" w:cs="Times New Roman" w:eastAsia="Times New Roman" w:hAnsi="Times New Roman"/>
          <w:sz w:val="22"/>
          <w:szCs w:val="22"/>
          <w:color w:val="auto"/>
        </w:rPr>
        <w:t>. After the Closing Date, Purchaser shall notify Seller within ten (10) days of the commencement of any notice of Tax deficiency, proposed Tax adjustment, Tax assessment, Tax audit, Tax examination or other administrative or court proceeding, suit, dispute or other claim with respect to Taxes of the Company for a Pre-Closing Tax Period (a “</w:t>
      </w:r>
      <w:r>
        <w:rPr>
          <w:rFonts w:ascii="Times New Roman" w:cs="Times New Roman" w:eastAsia="Times New Roman" w:hAnsi="Times New Roman"/>
          <w:sz w:val="22"/>
          <w:szCs w:val="22"/>
          <w:u w:val="single" w:color="auto"/>
          <w:color w:val="auto"/>
        </w:rPr>
        <w:t>Tax Claim</w:t>
      </w:r>
      <w:r>
        <w:rPr>
          <w:rFonts w:ascii="Times New Roman" w:cs="Times New Roman" w:eastAsia="Times New Roman" w:hAnsi="Times New Roman"/>
          <w:sz w:val="22"/>
          <w:szCs w:val="22"/>
          <w:color w:val="auto"/>
        </w:rPr>
        <w:t>”). Thereafter, Purchaser shall deliver to Seller, as promptly as possible but in no event later than ten (10) days after receipt thereof, copies of all relevant notices and documents (including court papers) received by Purchaser or any of its Affiliates (including the Company). In the case of any Tax Claim relating to any Tax period ending on or before the Closing Date that, if determined adversely to the Company would be grounds for a claim for indemnity pursuant to this Agreement, Seller shall have the right to control the conduct of such Tax Claim and shall have the right to settle such Tax Claim after consultation with Purchaser.</w:t>
      </w:r>
    </w:p>
    <w:p>
      <w:pPr>
        <w:spacing w:after="0" w:line="185"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Refunds</w:t>
      </w:r>
      <w:r>
        <w:rPr>
          <w:rFonts w:ascii="Times New Roman" w:cs="Times New Roman" w:eastAsia="Times New Roman" w:hAnsi="Times New Roman"/>
          <w:sz w:val="22"/>
          <w:szCs w:val="22"/>
          <w:color w:val="auto"/>
        </w:rPr>
        <w:t xml:space="preserve">. Purchaser shall pay, or cause its Affiliates (including, after the Closing, the Company) to pay, to Seller, as additional consideration for the Purchased Interest, all Tax refunds that are received by or with respect to the Company after the Closing that are attributable to a Pre-Closing Tax Period within five (5) Business Days of the receipt of such Tax refund other than to the extent such Tax refund was taken into account in the calculation of the Actual Working Capital Amount. Purchaser shall, and shall cause its Affiliates to, take all actions to receive refunds to which Seller is entitled pursuant to this </w:t>
      </w:r>
      <w:r>
        <w:rPr>
          <w:rFonts w:ascii="Times New Roman" w:cs="Times New Roman" w:eastAsia="Times New Roman" w:hAnsi="Times New Roman"/>
          <w:sz w:val="22"/>
          <w:szCs w:val="22"/>
          <w:u w:val="single" w:color="auto"/>
          <w:color w:val="auto"/>
        </w:rPr>
        <w:t>Section 5.10(e)</w:t>
      </w:r>
      <w:r>
        <w:rPr>
          <w:rFonts w:ascii="Times New Roman" w:cs="Times New Roman" w:eastAsia="Times New Roman" w:hAnsi="Times New Roman"/>
          <w:sz w:val="22"/>
          <w:szCs w:val="22"/>
          <w:color w:val="auto"/>
        </w:rPr>
        <w:t>, including actions (such as preparing and filing, or causing to be prepared and filed, Tax Returns) reasonably requested by Seller to obtain such refunds. Seller shall control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any preparation of, and any proceeding with respect to, any Tax Return or claim for refund pursuant to this Section 5.10(e).</w:t>
      </w:r>
    </w:p>
    <w:p>
      <w:pPr>
        <w:spacing w:after="0" w:line="220" w:lineRule="exact"/>
        <w:rPr>
          <w:sz w:val="20"/>
          <w:szCs w:val="20"/>
          <w:color w:val="auto"/>
        </w:rPr>
      </w:pPr>
    </w:p>
    <w:p>
      <w:pPr>
        <w:ind w:left="2600" w:hanging="648"/>
        <w:spacing w:after="0"/>
        <w:tabs>
          <w:tab w:leader="none" w:pos="26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PRC Withholding Tax</w:t>
      </w:r>
    </w:p>
    <w:p>
      <w:pPr>
        <w:spacing w:after="0" w:line="219" w:lineRule="exact"/>
        <w:rPr>
          <w:rFonts w:ascii="Times New Roman" w:cs="Times New Roman" w:eastAsia="Times New Roman" w:hAnsi="Times New Roman"/>
          <w:sz w:val="22"/>
          <w:szCs w:val="22"/>
          <w:color w:val="auto"/>
        </w:rPr>
      </w:pPr>
    </w:p>
    <w:p>
      <w:pPr>
        <w:jc w:val="both"/>
        <w:ind w:firstLine="2600"/>
        <w:spacing w:after="0" w:line="252" w:lineRule="auto"/>
        <w:tabs>
          <w:tab w:leader="none" w:pos="322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be entitled to deduct and withhold, or cause to be deducted and withheld, from the amount of such part of the Purchase Price as is payable by Purchaser to Seller at any given time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w:t>
      </w:r>
      <w:r>
        <w:rPr>
          <w:rFonts w:ascii="Times New Roman" w:cs="Times New Roman" w:eastAsia="Times New Roman" w:hAnsi="Times New Roman"/>
          <w:sz w:val="22"/>
          <w:szCs w:val="22"/>
          <w:color w:val="auto"/>
        </w:rPr>
        <w:t xml:space="preserve"> of this Agreement, such amounts as it is required to deduct and withhold, or cause to be deducted and withheld with respect to the amount of such payment, by any competent PRC Taxing Authority, and pay such Tax to such competent Taxing Authority on behalf of Seller, subject to compliance with the following </w:t>
      </w:r>
      <w:r>
        <w:rPr>
          <w:rFonts w:ascii="Times New Roman" w:cs="Times New Roman" w:eastAsia="Times New Roman" w:hAnsi="Times New Roman"/>
          <w:sz w:val="22"/>
          <w:szCs w:val="22"/>
          <w:u w:val="single" w:color="auto"/>
          <w:color w:val="auto"/>
        </w:rPr>
        <w:t>Section 5.10(f)(ii)</w:t>
      </w:r>
      <w:r>
        <w:rPr>
          <w:rFonts w:ascii="Times New Roman" w:cs="Times New Roman" w:eastAsia="Times New Roman" w:hAnsi="Times New Roman"/>
          <w:sz w:val="22"/>
          <w:szCs w:val="22"/>
          <w:color w:val="auto"/>
        </w:rPr>
        <w:t>. For avoidance of doubt, Seller shall be solely responsible for making Tax filings/registrations with, and paying Taxes to Taxing Authority outside of China, for any Tax payable by Seller (or its Affiliates) in connection with the transactions contemplated herein.</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5.10,</w:t>
      </w:r>
    </w:p>
    <w:p>
      <w:pPr>
        <w:spacing w:after="0" w:line="219" w:lineRule="exact"/>
        <w:rPr>
          <w:rFonts w:ascii="Times New Roman" w:cs="Times New Roman" w:eastAsia="Times New Roman" w:hAnsi="Times New Roman"/>
          <w:sz w:val="22"/>
          <w:szCs w:val="22"/>
          <w:color w:val="auto"/>
        </w:rPr>
      </w:pPr>
    </w:p>
    <w:p>
      <w:pPr>
        <w:jc w:val="both"/>
        <w:ind w:left="660" w:right="660" w:firstLine="2588"/>
        <w:spacing w:after="0" w:line="251" w:lineRule="auto"/>
        <w:tabs>
          <w:tab w:leader="none" w:pos="3889"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prepare, or cause to be prepared required Tax Returns and related documentation in connection with the PRC Withholding Taxes as promptly as reasonably practicable to ensure timely filing of such Tax Returns. Seller shall provide Purchaser (and its Representatives with a reasonable opportunity (but Purchaser shall not be obliged) to review and comment on the relevant Tax Returns and filings to be submitted to the competent PRC Taxing Authority in connection with the transfer of Purchased Interest and the calculation of the PRC Withholding Taxes thereon;</w:t>
      </w:r>
    </w:p>
    <w:p>
      <w:pPr>
        <w:spacing w:after="0" w:line="181" w:lineRule="exact"/>
        <w:rPr>
          <w:rFonts w:ascii="Times New Roman" w:cs="Times New Roman" w:eastAsia="Times New Roman" w:hAnsi="Times New Roman"/>
          <w:sz w:val="22"/>
          <w:szCs w:val="22"/>
          <w:color w:val="auto"/>
        </w:rPr>
      </w:pPr>
    </w:p>
    <w:p>
      <w:pPr>
        <w:jc w:val="both"/>
        <w:ind w:left="660" w:right="660" w:firstLine="2588"/>
        <w:spacing w:after="0" w:line="272" w:lineRule="auto"/>
        <w:tabs>
          <w:tab w:leader="none" w:pos="3891"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legally permissible, each Party shall notify the other Party as promptly as possible (but no later than four (4) Business Days) after receiving any communication or inquiry from any Taxing Authority relating to the assessment of the PRC Withholding Taxes and not respond to such inquiry unless with prior written consent of the other Party not to be unreasonably withheld, conditioned or delayed;</w:t>
      </w:r>
    </w:p>
    <w:p>
      <w:pPr>
        <w:spacing w:after="0" w:line="160" w:lineRule="exact"/>
        <w:rPr>
          <w:rFonts w:ascii="Times New Roman" w:cs="Times New Roman" w:eastAsia="Times New Roman" w:hAnsi="Times New Roman"/>
          <w:sz w:val="21"/>
          <w:szCs w:val="21"/>
          <w:color w:val="auto"/>
        </w:rPr>
      </w:pPr>
    </w:p>
    <w:p>
      <w:pPr>
        <w:jc w:val="both"/>
        <w:ind w:left="660" w:right="660" w:firstLine="2588"/>
        <w:spacing w:after="0" w:line="253" w:lineRule="auto"/>
        <w:tabs>
          <w:tab w:leader="none" w:pos="3891"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practicable, each Party (and its Representatives) shall be permitted to attend any substantive meetings with or other appearances before any Tax officials of the PRC Taxing Authority; provided, that should any Party (or its Representatives) fail to attend such meetings or appearances as duly notified hereunder, the other Party may elect to attend such meetings or appearances without the other Party (or its Representatives) to the extent permissible under applicable Law; and</w:t>
      </w:r>
    </w:p>
    <w:p>
      <w:pPr>
        <w:spacing w:after="0" w:line="178" w:lineRule="exact"/>
        <w:rPr>
          <w:rFonts w:ascii="Times New Roman" w:cs="Times New Roman" w:eastAsia="Times New Roman" w:hAnsi="Times New Roman"/>
          <w:sz w:val="22"/>
          <w:szCs w:val="22"/>
          <w:color w:val="auto"/>
        </w:rPr>
      </w:pPr>
    </w:p>
    <w:p>
      <w:pPr>
        <w:jc w:val="both"/>
        <w:ind w:left="660" w:right="660" w:firstLine="2588"/>
        <w:spacing w:after="0" w:line="252" w:lineRule="auto"/>
        <w:tabs>
          <w:tab w:leader="none" w:pos="3889"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as promptly as practicable, but in no event later than the relevant timeline required by the competent PRC Taxing Authority, pay to the competent PRC Taxing Authority the PRC Withholding Tax as determined pursuant to this </w:t>
      </w:r>
      <w:r>
        <w:rPr>
          <w:rFonts w:ascii="Times New Roman" w:cs="Times New Roman" w:eastAsia="Times New Roman" w:hAnsi="Times New Roman"/>
          <w:sz w:val="22"/>
          <w:szCs w:val="22"/>
          <w:u w:val="single" w:color="auto"/>
          <w:color w:val="auto"/>
        </w:rPr>
        <w:t>Section 5.10(f)(ii)</w:t>
      </w:r>
      <w:r>
        <w:rPr>
          <w:rFonts w:ascii="Times New Roman" w:cs="Times New Roman" w:eastAsia="Times New Roman" w:hAnsi="Times New Roman"/>
          <w:sz w:val="22"/>
          <w:szCs w:val="22"/>
          <w:color w:val="auto"/>
        </w:rPr>
        <w:t xml:space="preserve"> in respect of the transfer of the Purchased Interest to Purchaser, and Purchaser shall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125" w:name="page126"/>
    <w:bookmarkEnd w:id="125"/>
    <w:p>
      <w:pPr>
        <w:ind w:left="660" w:right="660"/>
        <w:spacing w:after="0" w:line="271" w:lineRule="auto"/>
        <w:rPr>
          <w:sz w:val="20"/>
          <w:szCs w:val="20"/>
          <w:color w:val="auto"/>
        </w:rPr>
      </w:pPr>
      <w:r>
        <w:rPr>
          <w:rFonts w:ascii="Times New Roman" w:cs="Times New Roman" w:eastAsia="Times New Roman" w:hAnsi="Times New Roman"/>
          <w:sz w:val="22"/>
          <w:szCs w:val="22"/>
          <w:color w:val="auto"/>
        </w:rPr>
        <w:t>Seller evidence of such payments, including the Tax payment certificate(s) within five (5) Business Days following the payment of the PRC Withholding Tax to the competent PRC Taxing Authority.</w:t>
      </w:r>
    </w:p>
    <w:p>
      <w:pPr>
        <w:spacing w:after="0" w:line="158" w:lineRule="exact"/>
        <w:rPr>
          <w:sz w:val="20"/>
          <w:szCs w:val="20"/>
          <w:color w:val="auto"/>
        </w:rPr>
      </w:pPr>
    </w:p>
    <w:p>
      <w:pPr>
        <w:jc w:val="both"/>
        <w:ind w:left="660" w:right="660" w:firstLine="2588"/>
        <w:spacing w:after="0" w:line="268" w:lineRule="auto"/>
        <w:tabs>
          <w:tab w:leader="none" w:pos="3896"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Seller shall submit the Tax Returns and filings in connection with the PRC Withholding Taxes to the PRC Taxing Authority as soon as practical, but in no event later than the relevant timeline required by applicable Law. Seller shall provide Purchaser with a copy of all Tax Returns and other Tax filing documents submitted to the PRC Taxing Authority, and Seller shall provide Purchaser with a copy of such Tax Returns and Tax Payment Notice, affixed with the chop of the competent PRC Taxing Authority, as soon as practicable and in any event within three (3) Business Days after the relevant submission has been made.</w:t>
      </w:r>
    </w:p>
    <w:p>
      <w:pPr>
        <w:spacing w:after="0" w:line="164" w:lineRule="exact"/>
        <w:rPr>
          <w:rFonts w:ascii="Times New Roman" w:cs="Times New Roman" w:eastAsia="Times New Roman" w:hAnsi="Times New Roman"/>
          <w:sz w:val="19"/>
          <w:szCs w:val="19"/>
          <w:color w:val="auto"/>
        </w:rPr>
      </w:pPr>
    </w:p>
    <w:p>
      <w:pPr>
        <w:jc w:val="both"/>
        <w:ind w:firstLine="1952"/>
        <w:spacing w:after="0" w:line="253" w:lineRule="auto"/>
        <w:tabs>
          <w:tab w:leader="none" w:pos="258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Stamp Duty</w:t>
      </w:r>
      <w:r>
        <w:rPr>
          <w:rFonts w:ascii="Times New Roman" w:cs="Times New Roman" w:eastAsia="Times New Roman" w:hAnsi="Times New Roman"/>
          <w:sz w:val="22"/>
          <w:szCs w:val="22"/>
          <w:color w:val="auto"/>
        </w:rPr>
        <w:t>. Unless otherwise required by applicable Law or the competent Taxing Authority in the PRC, each of Purchaser and Seller shall: (i) submit on its own behalf to the applicable PRC Taxing Authority the stamp duty attributable to it; and (ii) pay the amount of stamp duty attributable to such Party, in each of clause (i) and (ii), as promptly as practicable (and no later than the prescribed deadline set forth by the competent PRC Taxing Authority) following the Closing as required by the applicable Taxing Authority.</w:t>
      </w:r>
    </w:p>
    <w:p>
      <w:pPr>
        <w:spacing w:after="0" w:line="178"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Transfer Taxes</w:t>
      </w:r>
      <w:r>
        <w:rPr>
          <w:rFonts w:ascii="Times New Roman" w:cs="Times New Roman" w:eastAsia="Times New Roman" w:hAnsi="Times New Roman"/>
          <w:sz w:val="22"/>
          <w:szCs w:val="22"/>
          <w:color w:val="auto"/>
        </w:rPr>
        <w:t xml:space="preserve">. All transfer, documentary, excise, consumption, sales, use, value added, stamp, conveyance, registration, filing, recordation and other similar Taxes and fees (including any penalties and interest) incurred in connection with this Agreement or the transactions contemplated by this Agreement (other than stamp duty described in </w:t>
      </w:r>
      <w:r>
        <w:rPr>
          <w:rFonts w:ascii="Times New Roman" w:cs="Times New Roman" w:eastAsia="Times New Roman" w:hAnsi="Times New Roman"/>
          <w:sz w:val="22"/>
          <w:szCs w:val="22"/>
          <w:u w:val="single" w:color="auto"/>
          <w:color w:val="auto"/>
        </w:rPr>
        <w:t>Section 5.10(g)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shall be borne and paid by the Parties in accordance with the Law. The Parties shall file, or cause to be filed, all necessary Tax Returns and other documentation with respect to all such Transfer Taxes, if required by applicable Law.</w:t>
      </w:r>
    </w:p>
    <w:p>
      <w:pPr>
        <w:spacing w:after="0" w:line="18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Actions</w:t>
      </w:r>
      <w:r>
        <w:rPr>
          <w:rFonts w:ascii="Times New Roman" w:cs="Times New Roman" w:eastAsia="Times New Roman" w:hAnsi="Times New Roman"/>
          <w:sz w:val="22"/>
          <w:szCs w:val="22"/>
          <w:color w:val="auto"/>
        </w:rPr>
        <w:t>. Purchaser, the Company and each of their Affiliates shall not (i) initiate discussions or examinations with a Taxing Authority or make any voluntary disclosures with respect to Taxes of the Company with respect to a Pre-Closing Tax Period, (ii) extend any statute of limitations with respect to the Company for a Pre-Closing Tax Period, (iii) file any Tax Return with respect to a Pre-Closing Tax Period in any jurisdiction where the Company did not previously file such Tax Return, (iv) make any election with respect to the Company that has any retroactive effect to any Pre-Closing Tax Period, or (v) enter into any closing agreement with a Taxing Authority with respect to the Company for any Pre-Closing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Tax Period, unless any of the above actions is mandatorily required by Law or ordered by the Taxing Authority.</w:t>
      </w:r>
    </w:p>
    <w:p>
      <w:pPr>
        <w:spacing w:after="0" w:line="220" w:lineRule="exact"/>
        <w:rPr>
          <w:sz w:val="20"/>
          <w:szCs w:val="20"/>
          <w:color w:val="auto"/>
        </w:rPr>
      </w:pPr>
    </w:p>
    <w:p>
      <w:pPr>
        <w:jc w:val="both"/>
        <w:ind w:firstLine="1952"/>
        <w:spacing w:after="0" w:line="263" w:lineRule="auto"/>
        <w:tabs>
          <w:tab w:leader="none" w:pos="25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Overlap</w:t>
      </w:r>
      <w:r>
        <w:rPr>
          <w:rFonts w:ascii="Times New Roman" w:cs="Times New Roman" w:eastAsia="Times New Roman" w:hAnsi="Times New Roman"/>
          <w:sz w:val="22"/>
          <w:szCs w:val="22"/>
          <w:color w:val="auto"/>
        </w:rPr>
        <w:t xml:space="preserve">. To the extent that an obligation or responsibility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may conflict with an obligation or responsibility pursuant to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shall govern such obligation or responsibility.</w:t>
      </w:r>
    </w:p>
    <w:p>
      <w:pPr>
        <w:spacing w:after="0" w:line="16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No-Shop</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During the Interim Period, Seller shall not, and shall not permit the Company or any of the respective Representatives of the Seller or the Company to, directly or indirectly:</w:t>
      </w:r>
    </w:p>
    <w:p>
      <w:pPr>
        <w:spacing w:after="0" w:line="158" w:lineRule="exact"/>
        <w:rPr>
          <w:sz w:val="20"/>
          <w:szCs w:val="20"/>
          <w:color w:val="auto"/>
        </w:rPr>
      </w:pPr>
    </w:p>
    <w:p>
      <w:pPr>
        <w:ind w:right="20" w:firstLine="1952"/>
        <w:spacing w:after="0" w:line="284" w:lineRule="auto"/>
        <w:tabs>
          <w:tab w:leader="none" w:pos="258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initiate, encourage, or facilitate the making, submission or announcement of any inquiry, expression of interest, proposal or offer that constitutes, or would reasonably be expected to lead to, an Acquisition Proposal;</w:t>
      </w:r>
    </w:p>
    <w:p>
      <w:pPr>
        <w:spacing w:after="0" w:line="14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participate in, maintain or continue any communications (except solely to provide written notice as to the existence of these provisions) or negotiations regarding, or deliver or make available to any Person any non-public information with respect to, or take any other direct action regarding, any inquiry, expression of interest, proposal or offer that constitutes, or would reasonably be expected to lead to, an Acquisition Proposal;</w:t>
      </w:r>
    </w:p>
    <w:p>
      <w:pPr>
        <w:spacing w:after="0" w:line="179" w:lineRule="exact"/>
        <w:rPr>
          <w:rFonts w:ascii="Times New Roman" w:cs="Times New Roman" w:eastAsia="Times New Roman" w:hAnsi="Times New Roman"/>
          <w:sz w:val="22"/>
          <w:szCs w:val="22"/>
          <w:color w:val="auto"/>
        </w:rPr>
      </w:pPr>
    </w:p>
    <w:p>
      <w:pPr>
        <w:ind w:firstLine="1952"/>
        <w:spacing w:after="0" w:line="284" w:lineRule="auto"/>
        <w:tabs>
          <w:tab w:leader="none" w:pos="258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to, accept, approve, endorse or recommend (or publicly propose or announce any intention to agree to, accept, approve, endorse or recommend) any Acquisition Proposal; or</w:t>
      </w:r>
    </w:p>
    <w:p>
      <w:pPr>
        <w:spacing w:after="0" w:line="14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letter of intent or any other Contract contemplating or otherwise relating to any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Proposal.</w:t>
      </w:r>
    </w:p>
    <w:p>
      <w:pPr>
        <w:spacing w:after="0" w:line="19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Non-Compete; Non-Solicitation</w:t>
      </w:r>
    </w:p>
    <w:p>
      <w:pPr>
        <w:spacing w:after="0" w:line="220" w:lineRule="exact"/>
        <w:rPr>
          <w:sz w:val="20"/>
          <w:szCs w:val="20"/>
          <w:color w:val="auto"/>
        </w:rPr>
      </w:pPr>
    </w:p>
    <w:p>
      <w:pPr>
        <w:jc w:val="both"/>
        <w:ind w:firstLine="1952"/>
        <w:spacing w:after="0" w:line="250" w:lineRule="auto"/>
        <w:tabs>
          <w:tab w:leader="none" w:pos="258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five (5) years commencing from the Closing Date, unless otherwise agreed by Purchaser in writing, Seller will not, and shall procure that none of its Affiliates will, establish or invest in any business operations located in the PRC (whether in the form of buying equity in such company, entering into a joint venture, or other similar transaction) for the purpose of engaging in flash assembly and testing in the PRC of any product identical with or substantially similar to the products being assembled or tested at the Company as of the Closing. Nothing in the foregoing restriction shall limit Seller’s or any of its Affiliates’ ability to engage with third party suppliers or contract manufacturers to provide flash assembly and test business to support Seller’s or any of its Affiliates’ business requirements, nor shall it restrict Seller’s or any of its Affiliates’ ability to acquire, merge with, invest in, form a joint venture with, or otherwise consummate a business combination with, any non-PRC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127" w:name="page128"/>
    <w:bookmarkEnd w:id="127"/>
    <w:p>
      <w:pPr>
        <w:spacing w:after="0" w:line="271" w:lineRule="auto"/>
        <w:rPr>
          <w:sz w:val="20"/>
          <w:szCs w:val="20"/>
          <w:color w:val="auto"/>
        </w:rPr>
      </w:pPr>
      <w:r>
        <w:rPr>
          <w:rFonts w:ascii="Times New Roman" w:cs="Times New Roman" w:eastAsia="Times New Roman" w:hAnsi="Times New Roman"/>
          <w:sz w:val="22"/>
          <w:szCs w:val="22"/>
          <w:color w:val="auto"/>
        </w:rPr>
        <w:t>where a majority business of such non-PRC company and/or its subsidiaries does not consist of flash testing and assembly in the PRC.</w:t>
      </w:r>
    </w:p>
    <w:p>
      <w:pPr>
        <w:spacing w:after="0" w:line="158" w:lineRule="exact"/>
        <w:rPr>
          <w:sz w:val="20"/>
          <w:szCs w:val="20"/>
          <w:color w:val="auto"/>
        </w:rPr>
      </w:pPr>
    </w:p>
    <w:p>
      <w:pPr>
        <w:ind w:left="2600" w:hanging="648"/>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Excluded Employees and such other Company Employees as agreed by the Parties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writing,</w:t>
      </w:r>
    </w:p>
    <w:p>
      <w:pPr>
        <w:spacing w:after="0" w:line="207" w:lineRule="exact"/>
        <w:rPr>
          <w:sz w:val="20"/>
          <w:szCs w:val="20"/>
          <w:color w:val="auto"/>
        </w:rPr>
      </w:pPr>
    </w:p>
    <w:p>
      <w:pPr>
        <w:jc w:val="both"/>
        <w:ind w:firstLine="2600"/>
        <w:spacing w:after="0" w:line="249" w:lineRule="auto"/>
        <w:tabs>
          <w:tab w:leader="none" w:pos="322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not, and shall procure that its Affiliates will not, (x) within three (3) years after the Closing Date, offer employment to any employee of the Company, or attempt to induce any employee to leave the employment of the Company, except pursuant to a general advertisement or public solicitation which is not directed specifically to any such employee, (y) offer employment to or hire any employee of the Company, within one (1) year after his/her voluntary resignation as an employee of the Company, unless otherwise agreed by the Parties in writing, or (z) solicit any customer, any supplier or any third party having cooperative relationship with the Company to do business with any entity directly competing with the Company. Nothing in the foregoing restriction shall prevent Seller or any of its Affiliates from hiring any employee whose employment has been terminated by the Company for any reason.</w:t>
      </w:r>
    </w:p>
    <w:p>
      <w:pPr>
        <w:spacing w:after="0" w:line="181"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3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procure that the Company and its Subsidiaries (if any) will not, (x) within three (3) years after the Closing Date, offer employment to any employee of Seller or any Affiliate thereof, or attempt to induce any employee to leave the employment of Seller or such Affiliate, except pursuant to a general advertisement or public solicitation which is not directed specifically to any such employee, or (y) offer employment to or hire any employee of the Seller or such Affiliate, within one (1) year after his/her voluntary resignation as an employee of Seller or such Affiliate, unless otherwise agreed by the Parties in writing. Nothing in the foregoing restriction shall prevent the Company and its Subsidiaries (if any) from hiring any employee whose employment has been terminated by Seller and its Affiliates for any reason.</w:t>
      </w:r>
    </w:p>
    <w:p>
      <w:pPr>
        <w:spacing w:after="0" w:line="194"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u w:val="single" w:color="auto"/>
          <w:color w:val="auto"/>
        </w:rPr>
        <w:t>Working Capital Support</w:t>
      </w:r>
    </w:p>
    <w:p>
      <w:pPr>
        <w:spacing w:after="0" w:line="220" w:lineRule="exact"/>
        <w:rPr>
          <w:sz w:val="20"/>
          <w:szCs w:val="20"/>
          <w:color w:val="auto"/>
        </w:rPr>
      </w:pPr>
    </w:p>
    <w:p>
      <w:pPr>
        <w:jc w:val="both"/>
        <w:ind w:firstLine="1952"/>
        <w:spacing w:after="0" w:line="252" w:lineRule="auto"/>
        <w:tabs>
          <w:tab w:leader="none" w:pos="258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practical following the execution of this Agreement, the Parties shall use commercially reasonable efforts to procure each Controller Supplier (as defined below) to enter into supply agreements directly with the Company (the “</w:t>
      </w:r>
      <w:r>
        <w:rPr>
          <w:rFonts w:ascii="Times New Roman" w:cs="Times New Roman" w:eastAsia="Times New Roman" w:hAnsi="Times New Roman"/>
          <w:sz w:val="22"/>
          <w:szCs w:val="22"/>
          <w:u w:val="single" w:color="auto"/>
          <w:color w:val="auto"/>
        </w:rPr>
        <w:t>Transition of Controller Suppliers</w:t>
      </w:r>
      <w:r>
        <w:rPr>
          <w:rFonts w:ascii="Times New Roman" w:cs="Times New Roman" w:eastAsia="Times New Roman" w:hAnsi="Times New Roman"/>
          <w:sz w:val="22"/>
          <w:szCs w:val="22"/>
          <w:color w:val="auto"/>
        </w:rPr>
        <w:t>”) by December 31, 2024 (the period from the date of this Agreement through such date, the “</w:t>
      </w:r>
      <w:r>
        <w:rPr>
          <w:rFonts w:ascii="Times New Roman" w:cs="Times New Roman" w:eastAsia="Times New Roman" w:hAnsi="Times New Roman"/>
          <w:sz w:val="22"/>
          <w:szCs w:val="22"/>
          <w:u w:val="single" w:color="auto"/>
          <w:color w:val="auto"/>
        </w:rPr>
        <w:t>Controller Transition Period</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952"/>
        <w:spacing w:after="0" w:line="230" w:lineRule="auto"/>
        <w:tabs>
          <w:tab w:leader="none" w:pos="258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commence purchasing controllers directly from the Controller Suppliers with whom the Company has entered into supply agreements starting from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Business Day immediately following the Closing (or such later date as may be mutually agreed upon in writing between the Parties) (the “</w:t>
      </w:r>
      <w:r>
        <w:rPr>
          <w:rFonts w:ascii="Times New Roman" w:cs="Times New Roman" w:eastAsia="Times New Roman" w:hAnsi="Times New Roman"/>
          <w:sz w:val="22"/>
          <w:szCs w:val="22"/>
          <w:u w:val="single" w:color="auto"/>
          <w:color w:val="auto"/>
        </w:rPr>
        <w:t>Direct Purchase Date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of the Controller Suppliers have entered into supply agreements directly with the Company during the Controller Transition Period (a “</w:t>
      </w:r>
      <w:r>
        <w:rPr>
          <w:rFonts w:ascii="Times New Roman" w:cs="Times New Roman" w:eastAsia="Times New Roman" w:hAnsi="Times New Roman"/>
          <w:sz w:val="22"/>
          <w:szCs w:val="22"/>
          <w:u w:val="single" w:color="auto"/>
          <w:color w:val="auto"/>
        </w:rPr>
        <w:t>Full Transition</w:t>
      </w:r>
      <w:r>
        <w:rPr>
          <w:rFonts w:ascii="Times New Roman" w:cs="Times New Roman" w:eastAsia="Times New Roman" w:hAnsi="Times New Roman"/>
          <w:sz w:val="22"/>
          <w:szCs w:val="22"/>
          <w:color w:val="auto"/>
        </w:rPr>
        <w:t>”), in recognition of the additional working capital required to support the Transition of Controller Suppliers, Purchaser shall be entitled to deduct from the Second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56" w:lineRule="auto"/>
        <w:rPr>
          <w:sz w:val="20"/>
          <w:szCs w:val="20"/>
          <w:color w:val="auto"/>
        </w:rPr>
      </w:pPr>
      <w:r>
        <w:rPr>
          <w:rFonts w:ascii="Times New Roman" w:cs="Times New Roman" w:eastAsia="Times New Roman" w:hAnsi="Times New Roman"/>
          <w:sz w:val="22"/>
          <w:szCs w:val="22"/>
          <w:color w:val="auto"/>
        </w:rPr>
        <w:t>Payment payable to Seller an amount equal to 80% of US$41,815,000 (or such other amount as may be mutually agreed upon in writing between the Parties in good faith prior to the Second Installment Payment as the working capital required to support the Full Transition, based on the then existing and/or reasonably projected working capital of the Company at the time of such agreement, the “</w:t>
      </w:r>
      <w:r>
        <w:rPr>
          <w:rFonts w:ascii="Times New Roman" w:cs="Times New Roman" w:eastAsia="Times New Roman" w:hAnsi="Times New Roman"/>
          <w:sz w:val="22"/>
          <w:szCs w:val="22"/>
          <w:u w:val="single" w:color="auto"/>
          <w:color w:val="auto"/>
        </w:rPr>
        <w:t>Controller Working Capital Amount</w:t>
      </w:r>
      <w:r>
        <w:rPr>
          <w:rFonts w:ascii="Times New Roman" w:cs="Times New Roman" w:eastAsia="Times New Roman" w:hAnsi="Times New Roman"/>
          <w:sz w:val="22"/>
          <w:szCs w:val="22"/>
          <w:color w:val="auto"/>
        </w:rPr>
        <w:t>”), and the Purchase Price shall be deemed to be reduced accordingly.</w:t>
      </w:r>
    </w:p>
    <w:p>
      <w:pPr>
        <w:spacing w:after="0" w:line="176" w:lineRule="exact"/>
        <w:rPr>
          <w:sz w:val="20"/>
          <w:szCs w:val="20"/>
          <w:color w:val="auto"/>
        </w:rPr>
      </w:pPr>
    </w:p>
    <w:p>
      <w:pPr>
        <w:jc w:val="both"/>
        <w:ind w:firstLine="1952"/>
        <w:spacing w:after="0" w:line="248" w:lineRule="auto"/>
        <w:tabs>
          <w:tab w:leader="none" w:pos="258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of the Controller Suppliers have entered into supply agreements directly with the Company during the Controller Transition Period (a “</w:t>
      </w:r>
      <w:r>
        <w:rPr>
          <w:rFonts w:ascii="Times New Roman" w:cs="Times New Roman" w:eastAsia="Times New Roman" w:hAnsi="Times New Roman"/>
          <w:sz w:val="22"/>
          <w:szCs w:val="22"/>
          <w:u w:val="single" w:color="auto"/>
          <w:color w:val="auto"/>
        </w:rPr>
        <w:t>Partial Transition</w:t>
      </w:r>
      <w:r>
        <w:rPr>
          <w:rFonts w:ascii="Times New Roman" w:cs="Times New Roman" w:eastAsia="Times New Roman" w:hAnsi="Times New Roman"/>
          <w:sz w:val="22"/>
          <w:szCs w:val="22"/>
          <w:color w:val="auto"/>
        </w:rPr>
        <w:t>”), then the Controller Working Capital Amount shall be reduced pro rata (the “</w:t>
      </w:r>
      <w:r>
        <w:rPr>
          <w:rFonts w:ascii="Times New Roman" w:cs="Times New Roman" w:eastAsia="Times New Roman" w:hAnsi="Times New Roman"/>
          <w:sz w:val="22"/>
          <w:szCs w:val="22"/>
          <w:u w:val="single" w:color="auto"/>
          <w:color w:val="auto"/>
        </w:rPr>
        <w:t>Adjusted Controller Working Capital Amount</w:t>
      </w:r>
      <w:r>
        <w:rPr>
          <w:rFonts w:ascii="Times New Roman" w:cs="Times New Roman" w:eastAsia="Times New Roman" w:hAnsi="Times New Roman"/>
          <w:sz w:val="22"/>
          <w:szCs w:val="22"/>
          <w:color w:val="auto"/>
        </w:rPr>
        <w:t>”) based on the (i) value of the controllers supplied by Controller Suppliers who have entered into supply agreements with the Company, as compared to (ii) the value of the controllers supplied by Controller Suppliers who have not entered into supply agreements with the Company (the “</w:t>
      </w:r>
      <w:r>
        <w:rPr>
          <w:rFonts w:ascii="Times New Roman" w:cs="Times New Roman" w:eastAsia="Times New Roman" w:hAnsi="Times New Roman"/>
          <w:sz w:val="22"/>
          <w:szCs w:val="22"/>
          <w:u w:val="single" w:color="auto"/>
          <w:color w:val="auto"/>
        </w:rPr>
        <w:t>Controller Pro Rata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In the event of a Partial Transition, the Parties will negotiate in good faith and agree on the Controller Pro Rata Value prior to the Second Installment Payment, and upon mutual agreement in respect thereof, Purchaser shall be entitled to deduct from the Second Installment Payment payable to Seller 80% of the Adjusted Controller Working Capital Amount, and the Purchase Price shall be deemed to be reduced accordingly.</w:t>
      </w:r>
    </w:p>
    <w:p>
      <w:pPr>
        <w:spacing w:after="0" w:line="185"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Starting on the Direct Purchase Date, in the case of a Full Transition, the Company shall purchase all controllers that have been (i) designated for the Company’s use and (ii) comprise Seller’s Affiliate’s controller inventory (including controllers held by Controller Suppliers on behalf of Seller’s Affiliate) (such controllers, the “</w:t>
      </w:r>
      <w:r>
        <w:rPr>
          <w:rFonts w:ascii="Times New Roman" w:cs="Times New Roman" w:eastAsia="Times New Roman" w:hAnsi="Times New Roman"/>
          <w:sz w:val="22"/>
          <w:szCs w:val="22"/>
          <w:u w:val="single" w:color="auto"/>
          <w:color w:val="auto"/>
        </w:rPr>
        <w:t>Seller Controller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In the event of Partial Transition, starting on the Direct Purchase Date, the Company shall be obligated to purchase only the controllers within Seller’s Controller Inventory attributable to the Controller Suppliers who entered into supply agreements with the Company. If the Company has insufficient cash to purchase Seller’s Controller Inventory, the Parties will contribute additional working capital in proportion to their respective equity interest in the Company, as is necessary to purchase Seller’s Controller Inventory (or any remaining portion thereof).</w:t>
      </w:r>
    </w:p>
    <w:p>
      <w:pPr>
        <w:spacing w:after="0" w:line="186" w:lineRule="exact"/>
        <w:rPr>
          <w:rFonts w:ascii="Times New Roman" w:cs="Times New Roman" w:eastAsia="Times New Roman" w:hAnsi="Times New Roman"/>
          <w:sz w:val="22"/>
          <w:szCs w:val="22"/>
          <w:color w:val="auto"/>
        </w:rPr>
      </w:pPr>
    </w:p>
    <w:p>
      <w:pPr>
        <w:ind w:firstLine="1952"/>
        <w:spacing w:after="0" w:line="271" w:lineRule="auto"/>
        <w:tabs>
          <w:tab w:leader="none" w:pos="259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 of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Controller Suppliers</w:t>
      </w:r>
      <w:r>
        <w:rPr>
          <w:rFonts w:ascii="Times New Roman" w:cs="Times New Roman" w:eastAsia="Times New Roman" w:hAnsi="Times New Roman"/>
          <w:sz w:val="22"/>
          <w:szCs w:val="22"/>
          <w:color w:val="auto"/>
        </w:rPr>
        <w:t>” means the existing suppliers of controllers (excluding any of Seller’s Affiliates) who provide controllers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129" w:name="page130"/>
    <w:bookmarkEnd w:id="129"/>
    <w:p>
      <w:pPr>
        <w:spacing w:after="0" w:line="271" w:lineRule="auto"/>
        <w:rPr>
          <w:sz w:val="20"/>
          <w:szCs w:val="20"/>
          <w:color w:val="auto"/>
        </w:rPr>
      </w:pPr>
      <w:r>
        <w:rPr>
          <w:rFonts w:ascii="Times New Roman" w:cs="Times New Roman" w:eastAsia="Times New Roman" w:hAnsi="Times New Roman"/>
          <w:sz w:val="22"/>
          <w:szCs w:val="22"/>
          <w:color w:val="auto"/>
        </w:rPr>
        <w:t>one or more of Sellers’ Affiliates (including SanDisk Storage Malaysia Sdn. Bhd.) for subsequent consignment sale and use by the Company as of the date hereof.</w:t>
      </w:r>
    </w:p>
    <w:p>
      <w:pPr>
        <w:spacing w:after="0" w:line="1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w:t>
      </w:r>
    </w:p>
    <w:p>
      <w:pPr>
        <w:spacing w:after="0" w:line="207"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Mutual Closing Conditions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respective obligation of each Party to consummate the transactions contemplated hereby is subject to the satisfaction or waiver, to the extent permitted by applicable Law, on or prior to the Closing Date of the following conditions:</w:t>
      </w:r>
    </w:p>
    <w:p>
      <w:pPr>
        <w:spacing w:after="0" w:line="158" w:lineRule="exact"/>
        <w:rPr>
          <w:sz w:val="20"/>
          <w:szCs w:val="20"/>
          <w:color w:val="auto"/>
        </w:rPr>
      </w:pPr>
    </w:p>
    <w:p>
      <w:pPr>
        <w:ind w:right="20" w:firstLine="1952"/>
        <w:spacing w:after="0" w:line="284" w:lineRule="auto"/>
        <w:tabs>
          <w:tab w:leader="none" w:pos="258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AMR Submission Conditions</w:t>
      </w:r>
      <w:r>
        <w:rPr>
          <w:rFonts w:ascii="Times New Roman" w:cs="Times New Roman" w:eastAsia="Times New Roman" w:hAnsi="Times New Roman"/>
          <w:sz w:val="22"/>
          <w:szCs w:val="22"/>
          <w:color w:val="auto"/>
        </w:rPr>
        <w:t xml:space="preserve">. All of the conditions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below shall remain satisfied as of the Closing Date or shall have been waived by both Parties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as the case may be.</w:t>
      </w:r>
    </w:p>
    <w:p>
      <w:pPr>
        <w:spacing w:after="0" w:line="14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AMR Approval</w:t>
      </w:r>
      <w:r>
        <w:rPr>
          <w:rFonts w:ascii="Times New Roman" w:cs="Times New Roman" w:eastAsia="Times New Roman" w:hAnsi="Times New Roman"/>
          <w:sz w:val="22"/>
          <w:szCs w:val="22"/>
          <w:color w:val="auto"/>
        </w:rPr>
        <w:t>. The Company shall have obtained the AMR Approval.</w:t>
      </w:r>
    </w:p>
    <w:p>
      <w:pPr>
        <w:spacing w:after="0" w:line="220"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Purchaser’s Closing Conditions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obligation of Purchaser to consummate the transactions contemplated hereby is further subject to the satisfaction (or waiver by Purchaser) on or prior to the Closing Date of the following conditions:</w:t>
      </w:r>
    </w:p>
    <w:p>
      <w:pPr>
        <w:spacing w:after="0" w:line="158" w:lineRule="exact"/>
        <w:rPr>
          <w:sz w:val="20"/>
          <w:szCs w:val="20"/>
          <w:color w:val="auto"/>
        </w:rPr>
      </w:pPr>
    </w:p>
    <w:p>
      <w:pPr>
        <w:jc w:val="both"/>
        <w:ind w:firstLine="1952"/>
        <w:spacing w:after="0" w:line="263" w:lineRule="auto"/>
        <w:tabs>
          <w:tab w:leader="none" w:pos="258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Seller</w:t>
      </w:r>
      <w:r>
        <w:rPr>
          <w:rFonts w:ascii="Times New Roman" w:cs="Times New Roman" w:eastAsia="Times New Roman" w:hAnsi="Times New Roman"/>
          <w:sz w:val="22"/>
          <w:szCs w:val="22"/>
          <w:color w:val="auto"/>
        </w:rPr>
        <w:t>. Seller shall have performed or complied with in all material respects all obligations and covenants required to be performed or complied with by it pursuant to this Agreement and any Ancillary Agreements to which Seller is a party and then in effect, in each case, at or prior to the Closing Date.</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Closing Deliverables</w:t>
      </w:r>
      <w:r>
        <w:rPr>
          <w:rFonts w:ascii="Times New Roman" w:cs="Times New Roman" w:eastAsia="Times New Roman" w:hAnsi="Times New Roman"/>
          <w:sz w:val="22"/>
          <w:szCs w:val="22"/>
          <w:color w:val="auto"/>
        </w:rPr>
        <w:t xml:space="preserve">. Seller shall have delivered, or caused to be delivered, to Purchaser each of the deliverables described in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58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xml:space="preserve">. Purchaser shall have received a certificate signed on behalf of Seller by their authorized officers (or functional equivalent) certifying as to the matters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as of the Closing Date.</w:t>
      </w:r>
    </w:p>
    <w:p>
      <w:pPr>
        <w:spacing w:after="0" w:line="144"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Seller’s Closing Conditions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obligation of Seller to consummate the transactions contemplated hereby is further subject to the satisfaction (or waiver by Seller) on or prior to the Closing Date of the following conditions:</w:t>
      </w:r>
    </w:p>
    <w:p>
      <w:pPr>
        <w:spacing w:after="0" w:line="158" w:lineRule="exact"/>
        <w:rPr>
          <w:sz w:val="20"/>
          <w:szCs w:val="20"/>
          <w:color w:val="auto"/>
        </w:rPr>
      </w:pPr>
    </w:p>
    <w:p>
      <w:pPr>
        <w:ind w:firstLine="1952"/>
        <w:spacing w:after="0" w:line="284" w:lineRule="auto"/>
        <w:tabs>
          <w:tab w:leader="none" w:pos="258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Purchaser</w:t>
      </w:r>
      <w:r>
        <w:rPr>
          <w:rFonts w:ascii="Times New Roman" w:cs="Times New Roman" w:eastAsia="Times New Roman" w:hAnsi="Times New Roman"/>
          <w:sz w:val="22"/>
          <w:szCs w:val="22"/>
          <w:color w:val="auto"/>
        </w:rPr>
        <w:t>. Purchaser shall have performed or complied with in all material respects all obligations and covenants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130" w:name="page131"/>
    <w:bookmarkEnd w:id="130"/>
    <w:p>
      <w:pPr>
        <w:spacing w:after="0" w:line="271" w:lineRule="auto"/>
        <w:rPr>
          <w:sz w:val="20"/>
          <w:szCs w:val="20"/>
          <w:color w:val="auto"/>
        </w:rPr>
      </w:pPr>
      <w:r>
        <w:rPr>
          <w:rFonts w:ascii="Times New Roman" w:cs="Times New Roman" w:eastAsia="Times New Roman" w:hAnsi="Times New Roman"/>
          <w:sz w:val="22"/>
          <w:szCs w:val="22"/>
          <w:color w:val="auto"/>
        </w:rPr>
        <w:t>performed or complied with by it pursuant to this Agreement and any Ancillary Agreements to which Purchaser is a party and then in effect, in each case, at or prior to the Closing Date.</w:t>
      </w:r>
    </w:p>
    <w:p>
      <w:pPr>
        <w:spacing w:after="0" w:line="158" w:lineRule="exact"/>
        <w:rPr>
          <w:sz w:val="20"/>
          <w:szCs w:val="20"/>
          <w:color w:val="auto"/>
        </w:rPr>
      </w:pPr>
    </w:p>
    <w:p>
      <w:pPr>
        <w:ind w:right="20" w:firstLine="1952"/>
        <w:spacing w:after="0" w:line="284" w:lineRule="auto"/>
        <w:tabs>
          <w:tab w:leader="none" w:pos="258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xml:space="preserve">. Seller shall have received a certificate signed on behalf of Purchaser by an executive officer of Purchaser certifying as to the matters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xml:space="preserve"> as of the Closing Date.</w:t>
      </w:r>
    </w:p>
    <w:p>
      <w:pPr>
        <w:spacing w:after="0" w:line="144"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Mutual Conditions for AMR Submission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application for AMR Approval shall not be submitted unless and until all of the following conditions have been satisfied or waived by both Parties as of the AMR Submission Date, to the extent permitted by applicable Law:</w:t>
      </w:r>
    </w:p>
    <w:p>
      <w:pPr>
        <w:spacing w:after="0" w:line="158" w:lineRule="exact"/>
        <w:rPr>
          <w:sz w:val="20"/>
          <w:szCs w:val="20"/>
          <w:color w:val="auto"/>
        </w:rPr>
      </w:pPr>
    </w:p>
    <w:p>
      <w:pPr>
        <w:ind w:firstLine="1952"/>
        <w:spacing w:after="0" w:line="309" w:lineRule="auto"/>
        <w:tabs>
          <w:tab w:leader="none" w:pos="2589"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Antitrust Approval</w:t>
      </w:r>
      <w:r>
        <w:rPr>
          <w:rFonts w:ascii="Times New Roman" w:cs="Times New Roman" w:eastAsia="Times New Roman" w:hAnsi="Times New Roman"/>
          <w:sz w:val="21"/>
          <w:szCs w:val="21"/>
          <w:color w:val="auto"/>
        </w:rPr>
        <w:t>. The waiting period applicable to, or clearance with respect to, the transactions contemplated by this Agreement under the PRC Anti-Monopoly Law shall have terminated, expired or been obtained.</w:t>
      </w:r>
    </w:p>
    <w:p>
      <w:pPr>
        <w:spacing w:after="0" w:line="120" w:lineRule="exact"/>
        <w:rPr>
          <w:rFonts w:ascii="Times New Roman" w:cs="Times New Roman" w:eastAsia="Times New Roman" w:hAnsi="Times New Roman"/>
          <w:sz w:val="21"/>
          <w:szCs w:val="21"/>
          <w:color w:val="auto"/>
        </w:rPr>
      </w:pPr>
    </w:p>
    <w:p>
      <w:pPr>
        <w:ind w:firstLine="1952"/>
        <w:spacing w:after="0" w:line="271" w:lineRule="auto"/>
        <w:tabs>
          <w:tab w:leader="none" w:pos="258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Injunctions or Restraints</w:t>
      </w:r>
      <w:r>
        <w:rPr>
          <w:rFonts w:ascii="Times New Roman" w:cs="Times New Roman" w:eastAsia="Times New Roman" w:hAnsi="Times New Roman"/>
          <w:sz w:val="22"/>
          <w:szCs w:val="22"/>
          <w:color w:val="auto"/>
        </w:rPr>
        <w:t>. No applicable Order or Law shall be in effect that prohibits or prevents the consummation of the transactions contemplated hereby (collectively, “</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The Ancillary Agreements shall have been duly executed and delivered by the relevant parties, with each Ancillary Agreement (other than the Amended and Restated Articles of Association and the Registration ETA) to become effective as of the Closing Date.</w:t>
      </w:r>
    </w:p>
    <w:p>
      <w:pPr>
        <w:spacing w:after="0" w:line="18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Employee</w:t>
      </w:r>
      <w:r>
        <w:rPr>
          <w:rFonts w:ascii="Times New Roman" w:cs="Times New Roman" w:eastAsia="Times New Roman" w:hAnsi="Times New Roman"/>
          <w:sz w:val="22"/>
          <w:szCs w:val="22"/>
          <w:color w:val="auto"/>
        </w:rPr>
        <w:t>. The Parties have reached agreement in writing on the list of the Excluded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Bonus Plan</w:t>
      </w:r>
      <w:r>
        <w:rPr>
          <w:rFonts w:ascii="Times New Roman" w:cs="Times New Roman" w:eastAsia="Times New Roman" w:hAnsi="Times New Roman"/>
          <w:sz w:val="22"/>
          <w:szCs w:val="22"/>
          <w:color w:val="auto"/>
        </w:rPr>
        <w:t>. The Post-Closing Bonus Plan in form and substance reasonably satisfactory to each of Purchaser and Seller shall have been duly approved by the Company, with such plan to become effective as of the Closing Date.</w:t>
      </w:r>
    </w:p>
    <w:p>
      <w:pPr>
        <w:spacing w:after="0" w:line="186"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6.5</w:t>
      </w:r>
      <w:r>
        <w:rPr>
          <w:sz w:val="20"/>
          <w:szCs w:val="20"/>
          <w:color w:val="auto"/>
        </w:rPr>
        <w:tab/>
      </w:r>
      <w:r>
        <w:rPr>
          <w:rFonts w:ascii="Times New Roman" w:cs="Times New Roman" w:eastAsia="Times New Roman" w:hAnsi="Times New Roman"/>
          <w:sz w:val="21"/>
          <w:szCs w:val="21"/>
          <w:u w:val="single" w:color="auto"/>
          <w:color w:val="auto"/>
        </w:rPr>
        <w:t>Purchaser’s Conditions for AMR Submission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submission of the application for AMR Approval is further subject to the satisfaction (or waiver by Purchaser in writing) of the following conditions as of the AMR Submission Date:</w:t>
      </w:r>
    </w:p>
    <w:p>
      <w:pPr>
        <w:spacing w:after="0" w:line="158" w:lineRule="exact"/>
        <w:rPr>
          <w:sz w:val="20"/>
          <w:szCs w:val="20"/>
          <w:color w:val="auto"/>
        </w:rPr>
      </w:pPr>
    </w:p>
    <w:p>
      <w:pPr>
        <w:ind w:left="2600" w:hanging="648"/>
        <w:spacing w:after="0"/>
        <w:tabs>
          <w:tab w:leader="none" w:pos="26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Seller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51" w:lineRule="auto"/>
        <w:tabs>
          <w:tab w:leader="none" w:pos="322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Fundamental Representations and each of the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that are qualified by materiality (including “Company Material Adverse Effect”, “Seller Material Adverse Effect” or similar materiality qualification) shall be true and correct in all respects as of the AMR Submission Date as though made on such date with reference to the facts and circumstances then existing (except those representations and warranties that address matters as of a specified date, which shall be true and correct in all respects as of that specified date), except where the failure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131" w:name="page132"/>
    <w:bookmarkEnd w:id="131"/>
    <w:p>
      <w:pPr>
        <w:spacing w:after="0" w:line="271" w:lineRule="auto"/>
        <w:rPr>
          <w:sz w:val="20"/>
          <w:szCs w:val="20"/>
          <w:color w:val="auto"/>
        </w:rPr>
      </w:pPr>
      <w:r>
        <w:rPr>
          <w:rFonts w:ascii="Times New Roman" w:cs="Times New Roman" w:eastAsia="Times New Roman" w:hAnsi="Times New Roman"/>
          <w:sz w:val="22"/>
          <w:szCs w:val="22"/>
          <w:color w:val="auto"/>
        </w:rPr>
        <w:t xml:space="preserve">representations and warranties to be so true and correct is as a result of actions expressly permitted by or approved by Purchaser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firstLine="2600"/>
        <w:spacing w:after="0" w:line="250" w:lineRule="auto"/>
        <w:tabs>
          <w:tab w:leader="none" w:pos="3234"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the Seller Fundamental Representations and such representations and warranties as described in </w:t>
      </w:r>
      <w:r>
        <w:rPr>
          <w:rFonts w:ascii="Times New Roman" w:cs="Times New Roman" w:eastAsia="Times New Roman" w:hAnsi="Times New Roman"/>
          <w:sz w:val="22"/>
          <w:szCs w:val="22"/>
          <w:u w:val="single" w:color="auto"/>
          <w:color w:val="auto"/>
        </w:rPr>
        <w:t>Section 6.5(a)(i)</w:t>
      </w:r>
      <w:r>
        <w:rPr>
          <w:rFonts w:ascii="Times New Roman" w:cs="Times New Roman" w:eastAsia="Times New Roman" w:hAnsi="Times New Roman"/>
          <w:sz w:val="22"/>
          <w:szCs w:val="22"/>
          <w:color w:val="auto"/>
        </w:rPr>
        <w:t xml:space="preserve"> above) shall be true and correct as of the AMR Submission Date as though made on such date with reference to the facts and circumstances then existing (except those representations and warranties that address matters as of a specified date, which shall be true and correct as of that specified date), except where the failure of such representations and warranties to be so true and correct (1) is as a result of actions expressly permitted by or approved by Purchaser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or (2) where such failures to be so true and correct that, individually or in the aggregate, have not had a Seller Material Adverse Effect or a Company Material Adverse Effect, as applicable.</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Seller</w:t>
      </w:r>
      <w:r>
        <w:rPr>
          <w:rFonts w:ascii="Times New Roman" w:cs="Times New Roman" w:eastAsia="Times New Roman" w:hAnsi="Times New Roman"/>
          <w:sz w:val="22"/>
          <w:szCs w:val="22"/>
          <w:color w:val="auto"/>
        </w:rPr>
        <w:t>. Seller shall have performed or complied with in all material respects all obligations and covenants required to be performed or complied with by it pursuant to this Agreement at or prior to the AMR Submission Date.</w:t>
      </w:r>
    </w:p>
    <w:p>
      <w:pPr>
        <w:spacing w:after="0" w:line="172" w:lineRule="exact"/>
        <w:rPr>
          <w:rFonts w:ascii="Times New Roman" w:cs="Times New Roman" w:eastAsia="Times New Roman" w:hAnsi="Times New Roman"/>
          <w:sz w:val="22"/>
          <w:szCs w:val="22"/>
          <w:color w:val="auto"/>
        </w:rPr>
      </w:pPr>
    </w:p>
    <w:p>
      <w:pPr>
        <w:ind w:firstLine="1952"/>
        <w:spacing w:after="0" w:line="284" w:lineRule="auto"/>
        <w:tabs>
          <w:tab w:leader="none" w:pos="258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Since the date of the Original Agreement, there shall not have occurred and be continuing a Company Material Adverse Effect.</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Deliverables</w:t>
      </w:r>
      <w:r>
        <w:rPr>
          <w:rFonts w:ascii="Times New Roman" w:cs="Times New Roman" w:eastAsia="Times New Roman" w:hAnsi="Times New Roman"/>
          <w:sz w:val="22"/>
          <w:szCs w:val="22"/>
          <w:color w:val="auto"/>
        </w:rPr>
        <w:t xml:space="preserve">. Seller shall have delivered, or caused to be delivered, to Purchaser each of the deliverables described in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xml:space="preserve">. Purchaser shall have received a certificate signed on behalf of Seller by their authorized officers (or functional equivalent) certifying as to the matters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6.5(c)</w:t>
      </w:r>
      <w:r>
        <w:rPr>
          <w:rFonts w:ascii="Times New Roman" w:cs="Times New Roman" w:eastAsia="Times New Roman" w:hAnsi="Times New Roman"/>
          <w:sz w:val="22"/>
          <w:szCs w:val="22"/>
          <w:color w:val="auto"/>
        </w:rPr>
        <w:t xml:space="preserve"> as of the AMR Submission Date.</w:t>
      </w:r>
    </w:p>
    <w:p>
      <w:pPr>
        <w:spacing w:after="0" w:line="16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9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Unpaid Registered Capital</w:t>
      </w:r>
      <w:r>
        <w:rPr>
          <w:rFonts w:ascii="Times New Roman" w:cs="Times New Roman" w:eastAsia="Times New Roman" w:hAnsi="Times New Roman"/>
          <w:sz w:val="22"/>
          <w:szCs w:val="22"/>
          <w:color w:val="auto"/>
        </w:rPr>
        <w:t>. Seller shall have caused subscribed but unpaid registered capital of the Company in the amount of US$43,000,000 to be paid up through the recapitalization of the retained earnings of the Company in the same amount, and the Company shall have obtained a capital verification report issued by a qualified accounting firm in the PRC confirming that Seller has paid the registered capital of the Company in full amount (i.e., US$272,000,000). For avoidance of doubt, Seller bears the sole obligation to (i) pay up such registered capital, (ii) file any applicable Tax returns associated with such recapitalization of such retained earnings, and (iii) pay any applicable taxes associated therewith, and such obligation shall not be transferred to or assumed by Purchaser in any case.</w:t>
      </w:r>
    </w:p>
    <w:p>
      <w:pPr>
        <w:spacing w:after="0" w:line="180"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Documents for SAFE Registration Voucher</w:t>
      </w:r>
      <w:r>
        <w:rPr>
          <w:rFonts w:ascii="Times New Roman" w:cs="Times New Roman" w:eastAsia="Times New Roman" w:hAnsi="Times New Roman"/>
          <w:sz w:val="22"/>
          <w:szCs w:val="22"/>
          <w:color w:val="auto"/>
        </w:rPr>
        <w:t>. Seller shall have delivered, or caused to be delivered to Purchaser all the documents and materials to be executed and provided by Seller and the Company as Purchaser may reasonably require for the purpose of obtaining the SAFE Registration Voucher, provided that the new business license of the Company (and its photocopies affixed with the company chop of the Company) will be provided to Purchaser within one (1) Business Day following the AMR Approval. For avoidance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57" w:lineRule="auto"/>
        <w:rPr>
          <w:sz w:val="20"/>
          <w:szCs w:val="20"/>
          <w:color w:val="auto"/>
        </w:rPr>
      </w:pPr>
      <w:r>
        <w:rPr>
          <w:rFonts w:ascii="Times New Roman" w:cs="Times New Roman" w:eastAsia="Times New Roman" w:hAnsi="Times New Roman"/>
          <w:sz w:val="22"/>
          <w:szCs w:val="22"/>
          <w:color w:val="auto"/>
        </w:rPr>
        <w:t>of doubt, the application forms to be delivered by Seller shall include all information and supporting materials reasonably required of Seller and/or the Company and shall be duly executed by the Company and Seller (if applicable), except for the signature by the legal representative of the Company to be nominated by Purchaser.</w:t>
      </w:r>
    </w:p>
    <w:p>
      <w:pPr>
        <w:spacing w:after="0" w:line="186" w:lineRule="exact"/>
        <w:rPr>
          <w:sz w:val="20"/>
          <w:szCs w:val="20"/>
          <w:color w:val="auto"/>
        </w:rPr>
      </w:pPr>
    </w:p>
    <w:p>
      <w:pPr>
        <w:ind w:firstLine="1952"/>
        <w:spacing w:after="0" w:line="271" w:lineRule="auto"/>
        <w:tabs>
          <w:tab w:leader="none" w:pos="258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All Consents that are listed on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of the Seller Disclosure Letter shall have been received at or prior to the AMR Submission Date.</w:t>
      </w:r>
    </w:p>
    <w:p>
      <w:pPr>
        <w:spacing w:after="0" w:line="158"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Seller’s Conditions for AMR Submission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submission of the application for AMR Approval is further subject to the satisfaction (or waiver by Seller) of the following conditions as of the AMR Submission Date:</w:t>
      </w:r>
    </w:p>
    <w:p>
      <w:pPr>
        <w:spacing w:after="0" w:line="171" w:lineRule="exact"/>
        <w:rPr>
          <w:sz w:val="20"/>
          <w:szCs w:val="20"/>
          <w:color w:val="auto"/>
        </w:rPr>
      </w:pPr>
    </w:p>
    <w:p>
      <w:pPr>
        <w:jc w:val="both"/>
        <w:ind w:firstLine="1952"/>
        <w:spacing w:after="0" w:line="252" w:lineRule="auto"/>
        <w:tabs>
          <w:tab w:leader="none" w:pos="258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Purchaser</w:t>
      </w:r>
      <w:r>
        <w:rPr>
          <w:rFonts w:ascii="Times New Roman" w:cs="Times New Roman" w:eastAsia="Times New Roman" w:hAnsi="Times New Roman"/>
          <w:sz w:val="22"/>
          <w:szCs w:val="22"/>
          <w:color w:val="auto"/>
        </w:rPr>
        <w:t>. The representations and warranties of Purchaser shall be true and correct in all material aspects as of the AMR Submission Date as though made on such date with reference to the facts and circumstances then existing (except those representations and warranties that address matters only as of a specified date, which shall be true and correct in all respects as of that specified date).</w:t>
      </w:r>
    </w:p>
    <w:p>
      <w:pPr>
        <w:spacing w:after="0" w:line="179"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58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Purchaser</w:t>
      </w:r>
      <w:r>
        <w:rPr>
          <w:rFonts w:ascii="Times New Roman" w:cs="Times New Roman" w:eastAsia="Times New Roman" w:hAnsi="Times New Roman"/>
          <w:sz w:val="22"/>
          <w:szCs w:val="22"/>
          <w:color w:val="auto"/>
        </w:rPr>
        <w:t>. Purchaser shall have performed or complied with in all material respects all obligations and covenants required to be performed or complied with by it pursuant to this Agreement at or prior to the AMR Submission Date.</w:t>
      </w:r>
    </w:p>
    <w:p>
      <w:pPr>
        <w:spacing w:after="0" w:line="167" w:lineRule="exact"/>
        <w:rPr>
          <w:rFonts w:ascii="Times New Roman" w:cs="Times New Roman" w:eastAsia="Times New Roman" w:hAnsi="Times New Roman"/>
          <w:sz w:val="22"/>
          <w:szCs w:val="22"/>
          <w:color w:val="auto"/>
        </w:rPr>
      </w:pPr>
    </w:p>
    <w:p>
      <w:pPr>
        <w:ind w:right="20" w:firstLine="1952"/>
        <w:spacing w:after="0" w:line="271" w:lineRule="auto"/>
        <w:tabs>
          <w:tab w:leader="none" w:pos="258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Purchaser Deliverables</w:t>
      </w:r>
      <w:r>
        <w:rPr>
          <w:rFonts w:ascii="Times New Roman" w:cs="Times New Roman" w:eastAsia="Times New Roman" w:hAnsi="Times New Roman"/>
          <w:sz w:val="22"/>
          <w:szCs w:val="22"/>
          <w:color w:val="auto"/>
        </w:rPr>
        <w:t xml:space="preserve">. Purchaser shall have delivered, or cause to be delivered, to Seller each of the deliverables described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Seller shall have received a certificate signed on behalf of Purchaser by an executive officer of Purchaser certifying as to the matters set forth in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as of the AMR Submission Date.</w:t>
      </w:r>
    </w:p>
    <w:p>
      <w:pPr>
        <w:spacing w:after="0" w:line="167"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u w:val="single" w:color="auto"/>
          <w:color w:val="auto"/>
        </w:rPr>
        <w:t>Frustration of Conditions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Neither of Purchaser or Seller may rely, either as a basis for not consummating the transactions contemplated by this Agreement or terminating this Agreement, on the failure of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 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as the case may be, to be satisfied if such failure was caused by such Party’s breach of any provision of this Agreement or failure to use its reasonable best efforts to consummate the transactions contemplated by this Agreement, as required by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6.8</w:t>
      </w:r>
      <w:r>
        <w:rPr>
          <w:sz w:val="20"/>
          <w:szCs w:val="20"/>
          <w:color w:val="auto"/>
        </w:rPr>
        <w:tab/>
      </w:r>
      <w:r>
        <w:rPr>
          <w:rFonts w:ascii="Times New Roman" w:cs="Times New Roman" w:eastAsia="Times New Roman" w:hAnsi="Times New Roman"/>
          <w:sz w:val="21"/>
          <w:szCs w:val="21"/>
          <w:u w:val="single" w:color="auto"/>
          <w:color w:val="auto"/>
        </w:rPr>
        <w:t>Waiver of Conditions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Purchaser may, at any time, and in its sole discretion, by written notice to Seller, waive, in whole or in part, any of the conditions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Condition to Closing</w:t>
      </w:r>
      <w:r>
        <w:rPr>
          <w:rFonts w:ascii="Times New Roman" w:cs="Times New Roman" w:eastAsia="Times New Roman" w:hAnsi="Times New Roman"/>
          <w:sz w:val="22"/>
          <w:szCs w:val="22"/>
          <w:color w:val="auto"/>
        </w:rPr>
        <w:t>”). For the avoidance of doubt, if Purchaser decides to waive any Condition to Closing and to proceed with the transactions contemplated by this Agreement, the waiver of such Condition to Closing shall constitute a full waiver of all rights and remedies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1" w:right="339" w:bottom="1440" w:gutter="0" w:footer="0" w:header="0"/>
        </w:sectPr>
      </w:pPr>
    </w:p>
    <w:bookmarkStart w:id="133" w:name="page134"/>
    <w:bookmarkEnd w:id="133"/>
    <w:p>
      <w:pPr>
        <w:ind w:right="20"/>
        <w:spacing w:after="0" w:line="271" w:lineRule="auto"/>
        <w:rPr>
          <w:sz w:val="20"/>
          <w:szCs w:val="20"/>
          <w:color w:val="auto"/>
        </w:rPr>
      </w:pPr>
      <w:r>
        <w:rPr>
          <w:rFonts w:ascii="Times New Roman" w:cs="Times New Roman" w:eastAsia="Times New Roman" w:hAnsi="Times New Roman"/>
          <w:sz w:val="22"/>
          <w:szCs w:val="22"/>
          <w:color w:val="auto"/>
        </w:rPr>
        <w:t>respect to any breach of any representation or warranty, covenant or other agreement in respect of which such waiver was granted.</w:t>
      </w:r>
    </w:p>
    <w:p>
      <w:pPr>
        <w:spacing w:after="0" w:line="15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EXPENSES</w:t>
      </w:r>
    </w:p>
    <w:p>
      <w:pPr>
        <w:spacing w:after="0" w:line="20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Termination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terminated and the transactions contemplated hereby may be terminated and abandoned at any time prior to the Closing:</w:t>
      </w:r>
    </w:p>
    <w:p>
      <w:pPr>
        <w:spacing w:after="0" w:line="158" w:lineRule="exact"/>
        <w:rPr>
          <w:sz w:val="20"/>
          <w:szCs w:val="20"/>
          <w:color w:val="auto"/>
        </w:rPr>
      </w:pPr>
    </w:p>
    <w:p>
      <w:pPr>
        <w:ind w:left="2600" w:hanging="648"/>
        <w:spacing w:after="0"/>
        <w:tabs>
          <w:tab w:leader="none" w:pos="26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mutual written consent of Seller and Purchaser;</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Seller or Purchaser:</w:t>
      </w:r>
    </w:p>
    <w:p>
      <w:pPr>
        <w:spacing w:after="0" w:line="219" w:lineRule="exact"/>
        <w:rPr>
          <w:rFonts w:ascii="Times New Roman" w:cs="Times New Roman" w:eastAsia="Times New Roman" w:hAnsi="Times New Roman"/>
          <w:sz w:val="22"/>
          <w:szCs w:val="22"/>
          <w:color w:val="auto"/>
        </w:rPr>
      </w:pPr>
    </w:p>
    <w:p>
      <w:pPr>
        <w:jc w:val="both"/>
        <w:ind w:firstLine="2600"/>
        <w:spacing w:after="0" w:line="252" w:lineRule="auto"/>
        <w:tabs>
          <w:tab w:leader="none" w:pos="3228"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has not occurred on or before December 31, 2024 (the “</w:t>
      </w:r>
      <w:r>
        <w:rPr>
          <w:rFonts w:ascii="Times New Roman" w:cs="Times New Roman" w:eastAsia="Times New Roman" w:hAnsi="Times New Roman"/>
          <w:sz w:val="22"/>
          <w:szCs w:val="22"/>
          <w:u w:val="single" w:color="auto"/>
          <w:color w:val="auto"/>
        </w:rPr>
        <w:t>Longstop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right of the Party seeking to terminate this Agreement pursuant to this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shall not be available to such Party if the failure to consummate the Closing by the Longstop Date arises out of, or results from, any material breach by such Party of any representation, warranty, covenant or obligation contained herein;</w:t>
      </w:r>
    </w:p>
    <w:p>
      <w:pPr>
        <w:spacing w:after="0" w:line="179" w:lineRule="exact"/>
        <w:rPr>
          <w:rFonts w:ascii="Times New Roman" w:cs="Times New Roman" w:eastAsia="Times New Roman" w:hAnsi="Times New Roman"/>
          <w:sz w:val="22"/>
          <w:szCs w:val="22"/>
          <w:color w:val="auto"/>
        </w:rPr>
      </w:pPr>
    </w:p>
    <w:p>
      <w:pPr>
        <w:jc w:val="both"/>
        <w:ind w:firstLine="2600"/>
        <w:spacing w:after="0" w:line="253" w:lineRule="auto"/>
        <w:tabs>
          <w:tab w:leader="none" w:pos="3234"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Restraint shall be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right of the Party seeking to terminate this Agreement under this </w:t>
      </w:r>
      <w:r>
        <w:rPr>
          <w:rFonts w:ascii="Times New Roman" w:cs="Times New Roman" w:eastAsia="Times New Roman" w:hAnsi="Times New Roman"/>
          <w:sz w:val="22"/>
          <w:szCs w:val="22"/>
          <w:u w:val="single" w:color="auto"/>
          <w:color w:val="auto"/>
        </w:rPr>
        <w:t>Section 7.1(b)(ii)</w:t>
      </w:r>
      <w:r>
        <w:rPr>
          <w:rFonts w:ascii="Times New Roman" w:cs="Times New Roman" w:eastAsia="Times New Roman" w:hAnsi="Times New Roman"/>
          <w:sz w:val="22"/>
          <w:szCs w:val="22"/>
          <w:color w:val="auto"/>
        </w:rPr>
        <w:t xml:space="preserve"> shall not be available to such Party if: (A) such Restraint arises out of, or results from, any material breach by such Party of any representation, warranty, covenant or obligation contained herein; or (B) such Party is then in material breach of any representation, warranty, covenant, or obligation contained herein;</w:t>
      </w:r>
    </w:p>
    <w:p>
      <w:pPr>
        <w:spacing w:after="0" w:line="17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Purchaser prior to the Closing, by written notice to Seller from Purchaser in accordance with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if</w:t>
      </w:r>
    </w:p>
    <w:p>
      <w:pPr>
        <w:spacing w:after="0" w:line="207"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28"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have been a breach by Seller of any of its representations, warranties, covenants or obligations set forth in this Agreement, which breach would result in the failure to satisfy any condition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in any such case, such breach (A) shall by its nature be incapable of being cured; or (B) if capable of being cured, shall not have been cured by the earlier of: (1) twenty (20) calendar days after written notice thereof shall have been received by Seller; or (2) the Longstop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of Purchaser under this </w:t>
      </w:r>
      <w:r>
        <w:rPr>
          <w:rFonts w:ascii="Times New Roman" w:cs="Times New Roman" w:eastAsia="Times New Roman" w:hAnsi="Times New Roman"/>
          <w:sz w:val="22"/>
          <w:szCs w:val="22"/>
          <w:u w:val="single" w:color="auto"/>
          <w:color w:val="auto"/>
        </w:rPr>
        <w:t>Section 7.1(c)(i)</w:t>
      </w:r>
      <w:r>
        <w:rPr>
          <w:rFonts w:ascii="Times New Roman" w:cs="Times New Roman" w:eastAsia="Times New Roman" w:hAnsi="Times New Roman"/>
          <w:sz w:val="22"/>
          <w:szCs w:val="22"/>
          <w:color w:val="auto"/>
        </w:rPr>
        <w:t xml:space="preserve"> shall not be available if Purchaser is then in material breach of any representation, warranty, covenant, or obligation contained herein; or</w:t>
      </w:r>
    </w:p>
    <w:p>
      <w:pPr>
        <w:spacing w:after="0" w:line="18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fails to consummate the Closing within five (5) Business Days after the later date of</w:t>
      </w:r>
    </w:p>
    <w:p>
      <w:pPr>
        <w:spacing w:after="0" w:line="27" w:lineRule="exact"/>
        <w:rPr>
          <w:rFonts w:ascii="Times New Roman" w:cs="Times New Roman" w:eastAsia="Times New Roman" w:hAnsi="Times New Roman"/>
          <w:sz w:val="22"/>
          <w:szCs w:val="22"/>
          <w:color w:val="auto"/>
        </w:rPr>
      </w:pPr>
    </w:p>
    <w:p>
      <w:pPr>
        <w:jc w:val="both"/>
        <w:ind w:firstLine="8"/>
        <w:spacing w:after="0" w:line="244" w:lineRule="auto"/>
        <w:tabs>
          <w:tab w:leader="none" w:pos="37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satisfaction or waiver (to the extent waiver is not prohibited by applicable Law) of the conditions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(other than those conditions that by their nature are to be satisfied at the Closing) and</w:t>
      </w:r>
    </w:p>
    <w:p>
      <w:pPr>
        <w:ind w:left="360" w:hanging="352"/>
        <w:spacing w:after="0"/>
        <w:tabs>
          <w:tab w:leader="none" w:pos="3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other date agreed in accordance with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1" w:right="339" w:bottom="1440" w:gutter="0" w:footer="0" w:header="0"/>
        </w:sectPr>
      </w:pPr>
    </w:p>
    <w:bookmarkStart w:id="134" w:name="page135"/>
    <w:bookmarkEnd w:id="134"/>
    <w:p>
      <w:pPr>
        <w:spacing w:after="0" w:line="271" w:lineRule="auto"/>
        <w:rPr>
          <w:sz w:val="20"/>
          <w:szCs w:val="20"/>
          <w:color w:val="auto"/>
        </w:rPr>
      </w:pPr>
      <w:r>
        <w:rPr>
          <w:rFonts w:ascii="Times New Roman" w:cs="Times New Roman" w:eastAsia="Times New Roman" w:hAnsi="Times New Roman"/>
          <w:sz w:val="22"/>
          <w:szCs w:val="22"/>
          <w:color w:val="auto"/>
        </w:rPr>
        <w:t xml:space="preserve">case of conditions set forth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such conditions are capable of being satisfied if the Closing were to occur in accordance with the terms of this Agreement; and</w:t>
      </w:r>
    </w:p>
    <w:p>
      <w:pPr>
        <w:spacing w:after="0" w:line="158" w:lineRule="exact"/>
        <w:rPr>
          <w:sz w:val="20"/>
          <w:szCs w:val="20"/>
          <w:color w:val="auto"/>
        </w:rPr>
      </w:pPr>
    </w:p>
    <w:p>
      <w:pPr>
        <w:ind w:left="2600" w:hanging="648"/>
        <w:spacing w:after="0"/>
        <w:tabs>
          <w:tab w:leader="none" w:pos="260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Seller prior to the Closing, by written notice to Purchaser from Seller in accordance with </w:t>
      </w:r>
      <w:r>
        <w:rPr>
          <w:rFonts w:ascii="Times New Roman" w:cs="Times New Roman" w:eastAsia="Times New Roman" w:hAnsi="Times New Roman"/>
          <w:sz w:val="21"/>
          <w:szCs w:val="21"/>
          <w:u w:val="single" w:color="auto"/>
          <w:color w:val="auto"/>
        </w:rPr>
        <w:t>Section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9.5</w:t>
      </w:r>
      <w:r>
        <w:rPr>
          <w:rFonts w:ascii="Times New Roman" w:cs="Times New Roman" w:eastAsia="Times New Roman" w:hAnsi="Times New Roman"/>
          <w:sz w:val="22"/>
          <w:szCs w:val="22"/>
          <w:color w:val="auto"/>
        </w:rPr>
        <w:t>, if</w:t>
      </w:r>
    </w:p>
    <w:p>
      <w:pPr>
        <w:spacing w:after="0" w:line="207" w:lineRule="exact"/>
        <w:rPr>
          <w:sz w:val="20"/>
          <w:szCs w:val="20"/>
          <w:color w:val="auto"/>
        </w:rPr>
      </w:pPr>
    </w:p>
    <w:p>
      <w:pPr>
        <w:jc w:val="both"/>
        <w:ind w:firstLine="2600"/>
        <w:spacing w:after="0" w:line="250" w:lineRule="auto"/>
        <w:tabs>
          <w:tab w:leader="none" w:pos="3228"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have been a breach by Purchaser of any of its representations, warranties, covenants or obligations set forth in this Agreement, which breach would result in the failure to satisfy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and, in any such case, such breach (A) shall by its nature be incapable of being cured; or (B) if capable of being cured, shall not have been cured by the earlier of: (1) twenty (20) calendar days after written notice thereof shall have been delivered to Purchaser; or (2) the Longstop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of Seller under this </w:t>
      </w:r>
      <w:r>
        <w:rPr>
          <w:rFonts w:ascii="Times New Roman" w:cs="Times New Roman" w:eastAsia="Times New Roman" w:hAnsi="Times New Roman"/>
          <w:sz w:val="22"/>
          <w:szCs w:val="22"/>
          <w:u w:val="single" w:color="auto"/>
          <w:color w:val="auto"/>
        </w:rPr>
        <w:t>Section 7.1(d)(i)</w:t>
      </w:r>
      <w:r>
        <w:rPr>
          <w:rFonts w:ascii="Times New Roman" w:cs="Times New Roman" w:eastAsia="Times New Roman" w:hAnsi="Times New Roman"/>
          <w:sz w:val="22"/>
          <w:szCs w:val="22"/>
          <w:color w:val="auto"/>
        </w:rPr>
        <w:t xml:space="preserve"> shall not be available if Seller is then in material breach of any representation, warranty, covenant or obligation contained herein; or</w:t>
      </w:r>
    </w:p>
    <w:p>
      <w:pPr>
        <w:spacing w:after="0" w:line="180"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34"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Purchaser fails to consummate the Closing within five (5) Business Days after the later date of (A) satisfaction or waiver (to the extent waiver is not prohibited by applicable Law) of the conditions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(other than those conditions that by their nature are to be satisfied at the Closing) and</w:t>
      </w:r>
    </w:p>
    <w:p>
      <w:pPr>
        <w:spacing w:after="0" w:line="1" w:lineRule="exact"/>
        <w:rPr>
          <w:rFonts w:ascii="Times New Roman" w:cs="Times New Roman" w:eastAsia="Times New Roman" w:hAnsi="Times New Roman"/>
          <w:sz w:val="21"/>
          <w:szCs w:val="21"/>
          <w:color w:val="auto"/>
        </w:rPr>
      </w:pPr>
    </w:p>
    <w:p>
      <w:pPr>
        <w:jc w:val="both"/>
        <w:ind w:firstLine="8"/>
        <w:spacing w:after="0" w:line="251" w:lineRule="auto"/>
        <w:tabs>
          <w:tab w:leader="none" w:pos="37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other date agreed in accordance with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in the case of conditions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such conditions are capable of being satisfied if the Closing were to occur in accordance with the terms of this Agreement.</w:t>
      </w:r>
    </w:p>
    <w:p>
      <w:pPr>
        <w:spacing w:after="0" w:line="17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9"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this Agreement may be terminated and the transactions contemplated hereby may be terminated and abandoned by Seller, by written notice to Purchaser from Seller in accordance with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if Seller has not received the Estimated Closing Payment, together with any interest thereon, within twenty (20) Business Days following the Closing either due to Purchaser’s failure to pay the Estimated Closing Payment, together with any interest thereon in accordance with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or as a result of Seller’s failure to enforce and receive the Estimated Closing Payment under the Letter of Guarantee.</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9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failure of the Parties (or the applicable parties thereto) to agree on the terms, conditions and provisions of any of the Ancillary Agreements shall not entitle any Party to terminate this Agreement or the transactions contemplated hereby before the Longstop Date.</w:t>
      </w:r>
    </w:p>
    <w:p>
      <w:pPr>
        <w:spacing w:after="0" w:line="16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Effect of Termination; Procedure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Except as set forth in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if, and in the event, this Agreement is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63" w:lineRule="auto"/>
        <w:tabs>
          <w:tab w:leader="none" w:pos="258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become void and of no effect with no liability or further obligation on the part of any Party hereto arising under or out of this Agreement, except that: (i) the provisions of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 xml:space="preserve"> (Access to Information; Confidentiality),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(Effect of Termination; Procedure),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(Fees and Expenses),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(Termination Fee), and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(Miscellaneous), shall each survive the termination hereof; and (ii) no such termination shall relieve any Party of any liability for losses, costs and damages incurred by the other Party on account of breach by any Party hereto; and</w:t>
      </w:r>
    </w:p>
    <w:p>
      <w:pPr>
        <w:spacing w:after="0" w:line="186" w:lineRule="exact"/>
        <w:rPr>
          <w:sz w:val="20"/>
          <w:szCs w:val="20"/>
          <w:color w:val="auto"/>
        </w:rPr>
      </w:pPr>
    </w:p>
    <w:p>
      <w:pPr>
        <w:jc w:val="both"/>
        <w:ind w:firstLine="1952"/>
        <w:spacing w:after="0" w:line="247" w:lineRule="auto"/>
        <w:tabs>
          <w:tab w:leader="none" w:pos="258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filings, applications and other submissions made by any Party to any Person, including any Governmental Authority, in connection with the transactions contemplated by this Agreement shall, to the extent practicable and not legally prohibited, be withdrawn from such Person by such Party and any transfer of the Purchased Interest prior to payment of the Estimated Closing Payment, together with any interest thereon, in full hereunder shall be unwound. Without limiting the generality of the foregoing, in such case, Seller shall be entitled to require that Purchaser transfer the Purchased Interest back to Seller or to any other Person designated by Seller, and Purchaser agrees to take or cause to be taken, all actions, and to do, or cause to be done, all things necessary, proper or advisable (in each case, subject to applicable Laws) to transfer the Purchased Interest back to Seller or its designee as promptly as practicable, including (i) the preparation and filing of all forms, registrations and notices required to be submitted to SAMR and any other competent Governmental Authority, (ii) the taking of all reasonable actions necessary to obtain (and with cooperation with Seller and the Company in obtaining) any Consent, clearance, expiration or termination of waiting periods or other confirmation of, any Governmental Authority required to be obtained or made by Purchaser, the Company, Seller or any of Seller’s designees in connection with the transfer of the Purchased Interest. The cost (including Taxes) for such unwinding transfer shall be borne (w) equally by Purchaser and Seller, if this Agreement is terminated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(x) equally by Purchaser and Seller, if this Agreement is terminated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to the extent such termination arises out of, or results from, any material breach by any Party of any representation, warranty, covenant or obligation contained herein, such cost shall be borne entirely by such breaching Party, (y) by Seller if this Agreement is terminated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(z) by Purchaser if this Agreement is terminated pursuant to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Fees and Expenses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Other than as expressly provided in this Agreement, including as specifically set forth in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all fees, costs and expenses incurred in connection with this Agreement and the transactions contemplated hereby shall be paid by the Party incurring such costs or expenses, whether or not the transactions contemplated by this Agreement are consummated.</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Termination Fee</w:t>
      </w:r>
    </w:p>
    <w:p>
      <w:pPr>
        <w:spacing w:after="0" w:line="220" w:lineRule="exact"/>
        <w:rPr>
          <w:sz w:val="20"/>
          <w:szCs w:val="20"/>
          <w:color w:val="auto"/>
        </w:rPr>
      </w:pPr>
    </w:p>
    <w:p>
      <w:pPr>
        <w:ind w:right="20" w:firstLine="1952"/>
        <w:spacing w:after="0" w:line="271" w:lineRule="auto"/>
        <w:tabs>
          <w:tab w:leader="none" w:pos="258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Purchaser Termination Fee</w:t>
      </w:r>
      <w:r>
        <w:rPr>
          <w:rFonts w:ascii="Times New Roman" w:cs="Times New Roman" w:eastAsia="Times New Roman" w:hAnsi="Times New Roman"/>
          <w:sz w:val="22"/>
          <w:szCs w:val="22"/>
          <w:color w:val="auto"/>
        </w:rPr>
        <w:t>. Purchaser shall pay to Seller US$10,000,000 by wire transfer of immediately available funds in U.S. Dollar to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1" w:right="339" w:bottom="1440" w:gutter="0" w:footer="0" w:header="0"/>
        </w:sectPr>
      </w:pPr>
    </w:p>
    <w:bookmarkStart w:id="136" w:name="page137"/>
    <w:bookmarkEnd w:id="136"/>
    <w:p>
      <w:pPr>
        <w:spacing w:after="0" w:line="271" w:lineRule="auto"/>
        <w:rPr>
          <w:sz w:val="20"/>
          <w:szCs w:val="20"/>
          <w:color w:val="auto"/>
        </w:rPr>
      </w:pPr>
      <w:r>
        <w:rPr>
          <w:rFonts w:ascii="Times New Roman" w:cs="Times New Roman" w:eastAsia="Times New Roman" w:hAnsi="Times New Roman"/>
          <w:sz w:val="22"/>
          <w:szCs w:val="22"/>
          <w:color w:val="auto"/>
        </w:rPr>
        <w:t>Account (such amount, the “</w:t>
      </w:r>
      <w:r>
        <w:rPr>
          <w:rFonts w:ascii="Times New Roman" w:cs="Times New Roman" w:eastAsia="Times New Roman" w:hAnsi="Times New Roman"/>
          <w:sz w:val="22"/>
          <w:szCs w:val="22"/>
          <w:u w:val="single" w:color="auto"/>
          <w:color w:val="auto"/>
        </w:rPr>
        <w:t>Purchaser Termination Fee</w:t>
      </w:r>
      <w:r>
        <w:rPr>
          <w:rFonts w:ascii="Times New Roman" w:cs="Times New Roman" w:eastAsia="Times New Roman" w:hAnsi="Times New Roman"/>
          <w:sz w:val="22"/>
          <w:szCs w:val="22"/>
          <w:color w:val="auto"/>
        </w:rPr>
        <w:t>”, together with the Seller Termination Fee, the “</w:t>
      </w:r>
      <w:r>
        <w:rPr>
          <w:rFonts w:ascii="Times New Roman" w:cs="Times New Roman" w:eastAsia="Times New Roman" w:hAnsi="Times New Roman"/>
          <w:sz w:val="22"/>
          <w:szCs w:val="22"/>
          <w:u w:val="single" w:color="auto"/>
          <w:color w:val="auto"/>
        </w:rPr>
        <w:t>Termination Fee</w:t>
      </w:r>
      <w:r>
        <w:rPr>
          <w:rFonts w:ascii="Times New Roman" w:cs="Times New Roman" w:eastAsia="Times New Roman" w:hAnsi="Times New Roman"/>
          <w:sz w:val="22"/>
          <w:szCs w:val="22"/>
          <w:color w:val="auto"/>
        </w:rPr>
        <w:t>”) within five (5) Business Days after termination:</w:t>
      </w:r>
    </w:p>
    <w:p>
      <w:pPr>
        <w:spacing w:after="0" w:line="158" w:lineRule="exact"/>
        <w:rPr>
          <w:sz w:val="20"/>
          <w:szCs w:val="20"/>
          <w:color w:val="auto"/>
        </w:rPr>
      </w:pPr>
    </w:p>
    <w:p>
      <w:pPr>
        <w:ind w:left="3240" w:hanging="640"/>
        <w:spacing w:after="0"/>
        <w:tabs>
          <w:tab w:leader="none" w:pos="324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pursuant to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pursuant to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52" w:lineRule="auto"/>
        <w:tabs>
          <w:tab w:leader="none" w:pos="324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or Purchaser pursuant to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and Seller would have been entitled to terminate this Agreement pursuant to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but for (A) such termination pursuant to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or (B) the fact that the expiration of the three(3)-Business Day period described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occurs after the Longstop Date; or</w:t>
      </w:r>
    </w:p>
    <w:p>
      <w:pPr>
        <w:spacing w:after="0" w:line="192" w:lineRule="exact"/>
        <w:rPr>
          <w:rFonts w:ascii="Times New Roman" w:cs="Times New Roman" w:eastAsia="Times New Roman" w:hAnsi="Times New Roman"/>
          <w:sz w:val="22"/>
          <w:szCs w:val="22"/>
          <w:color w:val="auto"/>
        </w:rPr>
      </w:pPr>
    </w:p>
    <w:p>
      <w:pPr>
        <w:ind w:firstLine="2600"/>
        <w:spacing w:after="0" w:line="271" w:lineRule="auto"/>
        <w:tabs>
          <w:tab w:leader="none" w:pos="3228"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or Purchaser pursuant to </w:t>
      </w:r>
      <w:r>
        <w:rPr>
          <w:rFonts w:ascii="Times New Roman" w:cs="Times New Roman" w:eastAsia="Times New Roman" w:hAnsi="Times New Roman"/>
          <w:sz w:val="22"/>
          <w:szCs w:val="22"/>
          <w:u w:val="single" w:color="auto"/>
          <w:color w:val="auto"/>
        </w:rPr>
        <w:t>Section 7.1(b)(ii)</w:t>
      </w:r>
      <w:r>
        <w:rPr>
          <w:rFonts w:ascii="Times New Roman" w:cs="Times New Roman" w:eastAsia="Times New Roman" w:hAnsi="Times New Roman"/>
          <w:sz w:val="22"/>
          <w:szCs w:val="22"/>
          <w:color w:val="auto"/>
        </w:rPr>
        <w:t xml:space="preserve"> to the extent such Restraint arises under the PRC Anti-Monopoly Law.</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Termination Fee</w:t>
      </w:r>
      <w:r>
        <w:rPr>
          <w:rFonts w:ascii="Times New Roman" w:cs="Times New Roman" w:eastAsia="Times New Roman" w:hAnsi="Times New Roman"/>
          <w:sz w:val="22"/>
          <w:szCs w:val="22"/>
          <w:color w:val="auto"/>
        </w:rPr>
        <w:t>. Seller shall pay to Purchaser US$10,000,000 by wire transfer of immediately available funds in U.S. Dollar to a bank account located in PRC as designated by Purchaser (such amount, the “</w:t>
      </w:r>
      <w:r>
        <w:rPr>
          <w:rFonts w:ascii="Times New Roman" w:cs="Times New Roman" w:eastAsia="Times New Roman" w:hAnsi="Times New Roman"/>
          <w:sz w:val="22"/>
          <w:szCs w:val="22"/>
          <w:u w:val="single" w:color="auto"/>
          <w:color w:val="auto"/>
        </w:rPr>
        <w:t>Seller Termination Fee</w:t>
      </w:r>
      <w:r>
        <w:rPr>
          <w:rFonts w:ascii="Times New Roman" w:cs="Times New Roman" w:eastAsia="Times New Roman" w:hAnsi="Times New Roman"/>
          <w:sz w:val="22"/>
          <w:szCs w:val="22"/>
          <w:color w:val="auto"/>
        </w:rPr>
        <w:t>”) within three (3) Business Days after termination:</w:t>
      </w:r>
    </w:p>
    <w:p>
      <w:pPr>
        <w:spacing w:after="0" w:line="17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Purchaser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or</w:t>
      </w:r>
    </w:p>
    <w:p>
      <w:pPr>
        <w:spacing w:after="0" w:line="233" w:lineRule="exact"/>
        <w:rPr>
          <w:rFonts w:ascii="Times New Roman" w:cs="Times New Roman" w:eastAsia="Times New Roman" w:hAnsi="Times New Roman"/>
          <w:sz w:val="22"/>
          <w:szCs w:val="22"/>
          <w:color w:val="auto"/>
        </w:rPr>
      </w:pPr>
    </w:p>
    <w:p>
      <w:pPr>
        <w:jc w:val="both"/>
        <w:ind w:firstLine="2600"/>
        <w:spacing w:after="0" w:line="252" w:lineRule="auto"/>
        <w:tabs>
          <w:tab w:leader="none" w:pos="323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or Purchaser pursuant to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and Purchaser would have been entitled to terminate this Agreement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but for (A) such termination pursuant to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or (B) the fact that the expiration of the three (3)-Business Day period described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occurs after the Longstop Date.</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fails to pay such Termination Fee when due, such Party shall also pay to the other Party all of such other Party’s costs and expenses (including attorneys’ fees) in connection with all actions to collect such Termination Fee.</w:t>
      </w:r>
    </w:p>
    <w:p>
      <w:pPr>
        <w:spacing w:after="0" w:line="16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and Seller acknowledge that, if the Termination Fee is required to be paid as a result of a termination of this Agreement, Seller’s or Purchaser’s, as the case may be, right to receive such Termination Fee shall be in addition to any other remedy to which it is entitled according to the Law, and Seller’s or Purchaser’s, as the case may be, collection of the Termination Fee pursuant to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shall not restrict, impair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color w:val="auto"/>
        </w:rPr>
        <w:t>otherwise limit Seller or Purchaser, as the case may be, from pursuing any other remedy to which it is entitled at Law or in equity.</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0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Survival</w:t>
      </w:r>
    </w:p>
    <w:p>
      <w:pPr>
        <w:spacing w:after="0" w:line="220" w:lineRule="exact"/>
        <w:rPr>
          <w:sz w:val="20"/>
          <w:szCs w:val="20"/>
          <w:color w:val="auto"/>
        </w:rPr>
      </w:pPr>
    </w:p>
    <w:p>
      <w:pPr>
        <w:jc w:val="both"/>
        <w:ind w:firstLine="1952"/>
        <w:spacing w:after="0" w:line="255" w:lineRule="auto"/>
        <w:tabs>
          <w:tab w:leader="none" w:pos="258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and other provisions of this Agreement, the representations and warranties of Seller on the Company contained in this Agreement shall survive the Closing and remain in full force and effect until the date that is eighteen (18) months following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 the Seller Fundamental Representations, shall survive until the third (3rd) anniversary of the Closing Date, and (ii) the representations and warranties with respect to Tax matters as set forth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hereof shall survive until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w:t>
      </w:r>
    </w:p>
    <w:p>
      <w:pPr>
        <w:spacing w:after="0" w:line="9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and other provisions of this Agreement, the representations and warranties of Purchaser contained in this Agreement shall survive the Closing and remain in full force and effect until the until the third (3rd) anniversary of the Closing Date.</w:t>
      </w:r>
    </w:p>
    <w:p>
      <w:pPr>
        <w:spacing w:after="0" w:line="17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and agreements of the Seller and the Purchaser that by their terms apply or are to be performed in whole or in part after the Closing Date shall survive the Closing for the period provided in such covenants and agreements, if any, or until fully performed.</w:t>
      </w:r>
    </w:p>
    <w:p>
      <w:pPr>
        <w:spacing w:after="0" w:line="167"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8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and other provisions of this Agreement, the matters contained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8.8</w:t>
      </w:r>
      <w:r>
        <w:rPr>
          <w:rFonts w:ascii="Times New Roman" w:cs="Times New Roman" w:eastAsia="Times New Roman" w:hAnsi="Times New Roman"/>
          <w:sz w:val="22"/>
          <w:szCs w:val="22"/>
          <w:color w:val="auto"/>
        </w:rPr>
        <w:t xml:space="preserve"> shall survive the Closing until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 of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indemnification obligation arising pursuant to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solely to the extent attributable to any failure of the Company to comply with applicable Laws relating to transfer pricing shall survive the Closing until the ten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w:t>
      </w:r>
    </w:p>
    <w:p>
      <w:pPr>
        <w:spacing w:after="0" w:line="110"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9"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claim for the recovery of any Losses may be asserted against Seller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unless a written notice is received by Indemnifying Person pursuant to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on or prior to the date on which the representation and warranty or covenant upon which such claim is based ceases to survive as set forth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in which case such representation and warranty or covenant shall survive as to such claim until such claim has been finally resolved.</w:t>
      </w:r>
    </w:p>
    <w:p>
      <w:pPr>
        <w:spacing w:after="0" w:line="16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Indemnification by Seller</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Subject to the other terms and conditions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from and after the Closing, Seller shall indemnify Purchaser (and its Representatives) against, and shall hold Purchaser (and its Representatives) harmless from and against, any and all Losses incurred or sustained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imposed upon, Purchaser (and its Representatives) as a result of or in connection with any of the following:</w:t>
      </w:r>
    </w:p>
    <w:p>
      <w:pPr>
        <w:spacing w:after="0" w:line="220" w:lineRule="exact"/>
        <w:rPr>
          <w:sz w:val="20"/>
          <w:szCs w:val="20"/>
          <w:color w:val="auto"/>
        </w:rPr>
      </w:pPr>
    </w:p>
    <w:p>
      <w:pPr>
        <w:jc w:val="both"/>
        <w:ind w:firstLine="1952"/>
        <w:spacing w:after="0" w:line="256" w:lineRule="auto"/>
        <w:tabs>
          <w:tab w:leader="none" w:pos="258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or inaccuracy in any representation and warranty made by Seller in this Agreement as of the date of the Original Agreement or as of the Closing Date (as though such representation and warranty was made as of the Closing Date rather than the date of the Original Agreement, except in the case of any individual representation and warranty that by its terms speaks only as of a specific date or dates); and</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any covenant or agreement to be performed by the Company (to the extent and only to the extent such covenant or agreement is to be performed at or before the Closing) or Seller (before, at or after the Closing).</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or delay by Seller to make any payments (including Seller’s payment obligations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refund of any adjustment to the Estimated Closing Payment under the provisions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2.2(b)(ii)</w:t>
      </w:r>
      <w:r>
        <w:rPr>
          <w:rFonts w:ascii="Times New Roman" w:cs="Times New Roman" w:eastAsia="Times New Roman" w:hAnsi="Times New Roman"/>
          <w:sz w:val="22"/>
          <w:szCs w:val="22"/>
          <w:color w:val="auto"/>
        </w:rPr>
        <w:t xml:space="preserve"> and under </w:t>
      </w:r>
      <w:r>
        <w:rPr>
          <w:rFonts w:ascii="Times New Roman" w:cs="Times New Roman" w:eastAsia="Times New Roman" w:hAnsi="Times New Roman"/>
          <w:sz w:val="22"/>
          <w:szCs w:val="22"/>
          <w:u w:val="single" w:color="auto"/>
          <w:color w:val="auto"/>
        </w:rPr>
        <w:t>Section 2.4(a)(ii)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2.4(b)(i)</w:t>
      </w:r>
      <w:r>
        <w:rPr>
          <w:rFonts w:ascii="Times New Roman" w:cs="Times New Roman" w:eastAsia="Times New Roman" w:hAnsi="Times New Roman"/>
          <w:sz w:val="22"/>
          <w:szCs w:val="22"/>
          <w:color w:val="auto"/>
        </w:rPr>
        <w:t>), whereby Seller shall pay Purchaser interest thereon at the rate of 1% above SOFR per annum for the relevant days, compounding annually, accruing daily from the date that such amount first becomes payable and continuing until such amount, together with the interest payable thereon, has been paid in full.</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u w:val="single" w:color="auto"/>
          <w:color w:val="auto"/>
        </w:rPr>
        <w:t>Indemnification by Purchaser</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Subject to the other terms and conditions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from and after the Closing, Purchaser shall indemnify Seller against, and shall hold Seller harmless from and against, any and all Losses incurred or sustained by, or imposed upon, Seller as a result of or in connection with any of the following:</w:t>
      </w:r>
    </w:p>
    <w:p>
      <w:pPr>
        <w:spacing w:after="0" w:line="167" w:lineRule="exact"/>
        <w:rPr>
          <w:sz w:val="20"/>
          <w:szCs w:val="20"/>
          <w:color w:val="auto"/>
        </w:rPr>
      </w:pPr>
    </w:p>
    <w:p>
      <w:pPr>
        <w:jc w:val="both"/>
        <w:ind w:firstLine="1952"/>
        <w:spacing w:after="0" w:line="256" w:lineRule="auto"/>
        <w:tabs>
          <w:tab w:leader="none" w:pos="258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or inaccuracy in any representation and warranty made by Purchaser in this Agreement as of the date of the Original Agreement or as of the Closing Date (as though such representation and warranty was made as of the Closing Date rather than the date of the Original Agreement, except in the case of any individual representation and warranty that by its terms speaks only as of a specific date or dates); and</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any covenant or agreement to be performed by Purchaser (before, at or after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w:t>
      </w:r>
    </w:p>
    <w:p>
      <w:pPr>
        <w:spacing w:after="0" w:line="195"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or delay by Purchaser to make any payments under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whereby Purchaser shall pay Seller interest thereon at the rate of 1% above SOFR per annum for the relevant days, compounding annually, accruing daily from the date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amount first becomes payable and continuing until such amount, together with the interest payable thereon, has been paid in full.</w:t>
      </w:r>
    </w:p>
    <w:p>
      <w:pPr>
        <w:spacing w:after="0" w:line="23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u w:val="single" w:color="auto"/>
          <w:color w:val="auto"/>
        </w:rPr>
        <w:t>Certain Limitations</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 xml:space="preserve">The Party making a claim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together with its Representatives, are referred to as the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xml:space="preserve">,” and the Party against whom such claims are asserted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is referred to as the “</w:t>
      </w:r>
      <w:r>
        <w:rPr>
          <w:rFonts w:ascii="Times New Roman" w:cs="Times New Roman" w:eastAsia="Times New Roman" w:hAnsi="Times New Roman"/>
          <w:sz w:val="21"/>
          <w:szCs w:val="21"/>
          <w:u w:val="single" w:color="auto"/>
          <w:color w:val="auto"/>
        </w:rPr>
        <w:t>Indemnifying Person</w:t>
      </w:r>
      <w:r>
        <w:rPr>
          <w:rFonts w:ascii="Times New Roman" w:cs="Times New Roman" w:eastAsia="Times New Roman" w:hAnsi="Times New Roman"/>
          <w:sz w:val="21"/>
          <w:szCs w:val="21"/>
          <w:color w:val="auto"/>
        </w:rPr>
        <w:t xml:space="preserve">.” The indemnification provided for in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xml:space="preserve"> shall be subject to the following limitations:</w:t>
      </w:r>
    </w:p>
    <w:p>
      <w:pPr>
        <w:spacing w:after="0" w:line="151" w:lineRule="exact"/>
        <w:rPr>
          <w:sz w:val="20"/>
          <w:szCs w:val="20"/>
          <w:color w:val="auto"/>
        </w:rPr>
      </w:pPr>
    </w:p>
    <w:p>
      <w:pPr>
        <w:jc w:val="both"/>
        <w:ind w:firstLine="1952"/>
        <w:spacing w:after="0" w:line="249" w:lineRule="auto"/>
        <w:tabs>
          <w:tab w:leader="none" w:pos="258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Person shall not be liable to the Indemnified Person for indemnification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(but not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as the case may be, until the aggregate amount of all Losses indemnifiable to the Indemnified Person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exceeds two percent (2%) of the Base Purchase Price (the “</w:t>
      </w:r>
      <w:r>
        <w:rPr>
          <w:rFonts w:ascii="Times New Roman" w:cs="Times New Roman" w:eastAsia="Times New Roman" w:hAnsi="Times New Roman"/>
          <w:sz w:val="22"/>
          <w:szCs w:val="22"/>
          <w:u w:val="single" w:color="auto"/>
          <w:color w:val="auto"/>
        </w:rPr>
        <w:t>Deductible</w:t>
      </w:r>
      <w:r>
        <w:rPr>
          <w:rFonts w:ascii="Times New Roman" w:cs="Times New Roman" w:eastAsia="Times New Roman" w:hAnsi="Times New Roman"/>
          <w:sz w:val="22"/>
          <w:szCs w:val="22"/>
          <w:color w:val="auto"/>
        </w:rPr>
        <w:t xml:space="preserve">”), in which event the Indemnifying Person shall only be required to pay or be liable for Losses in excess of the Deductible. With respect to any claim as to which the Indemnified Person may be entitled to indemnification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(but not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as the case may be, the Indemnifying Person shall not be liable for any individual or series of related Losses which do not exceed one tenth of a percent (0.1%) of the Base Purchase Price (which Losses shall not be counted toward the Deductible).</w:t>
      </w:r>
    </w:p>
    <w:p>
      <w:pPr>
        <w:spacing w:after="0" w:line="181"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7"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all Losses for which an Indemnifying Person shall be liable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in respect of Fraud and/or a breach of the Seller Fundamental Representations and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xml:space="preserve"> shall not in any event exceed an amount that is equal to the portion of the Base Purchase Price. Except as otherwise provided in the preceding sentence, the aggregate amount of all Losses for which an Indemnifying Person shall be liable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shall not exceed an amount that is equal to twelve and a half percent (12.5%) of the Base Purchase Price.</w:t>
      </w:r>
    </w:p>
    <w:p>
      <w:pPr>
        <w:spacing w:after="0" w:line="163"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an Indemnifying Person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in respect of any Loss shall be limited to the amount of any liability or damage that remains after deducting therefrom any insurance proceeds and any indemnity, contribution or other similar payment received by the Indemnified Person (or the Company) in respect of any such claim. The Indemnified Person shall use its commercially reasonable efforts to recover under insurance policies (if any) or indemnity, contribution or other similar agreements for any Losses prior to seeking indemnification under this Agreement. If the Indemnified Person receives any additional compensation from third parties after recovery from the Indemnifying Person in respect of an indemnification claim made by the Indemnified Person hereunder, the Indemnified Party shall return the corresponding amount (deducting Taxes) to the Indemnifying Person.</w:t>
      </w:r>
    </w:p>
    <w:p>
      <w:pPr>
        <w:spacing w:after="0" w:line="18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 Indemnified Person recognizes any net Indemnification Tax Benefits as a result of any Losses for the Taxable year in which the indemnity payment is made, such Indemnified Person shall pay the amount of such Indemnification Tax Benefits by (i) reducing the amount of Losses by the amount of Indemnification Tax Benefits actually recognized (if such benefits are actually recognized prior to the date on which the indemnity payment is made) or (ii) making a payment to Seller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68" w:lineRule="auto"/>
        <w:rPr>
          <w:sz w:val="20"/>
          <w:szCs w:val="20"/>
          <w:color w:val="auto"/>
        </w:rPr>
      </w:pPr>
      <w:r>
        <w:rPr>
          <w:rFonts w:ascii="Times New Roman" w:cs="Times New Roman" w:eastAsia="Times New Roman" w:hAnsi="Times New Roman"/>
          <w:sz w:val="21"/>
          <w:szCs w:val="21"/>
          <w:color w:val="auto"/>
        </w:rPr>
        <w:t>the Indemnification Tax Benefit within thirty (30) days after such benefit is actually recognized if such benefit is actually recognized after the indemnity payment is made. For this purpose, the Indemnified Person shall be deemed to recognize a Tax benefit (“</w:t>
      </w:r>
      <w:r>
        <w:rPr>
          <w:rFonts w:ascii="Times New Roman" w:cs="Times New Roman" w:eastAsia="Times New Roman" w:hAnsi="Times New Roman"/>
          <w:sz w:val="21"/>
          <w:szCs w:val="21"/>
          <w:u w:val="single" w:color="auto"/>
          <w:color w:val="auto"/>
        </w:rPr>
        <w:t>Indemnification Tax Benefit</w:t>
      </w:r>
      <w:r>
        <w:rPr>
          <w:rFonts w:ascii="Times New Roman" w:cs="Times New Roman" w:eastAsia="Times New Roman" w:hAnsi="Times New Roman"/>
          <w:sz w:val="21"/>
          <w:szCs w:val="21"/>
          <w:color w:val="auto"/>
        </w:rPr>
        <w:t>”) with respect to a Taxable year if, and to the extent that, the Indemnified Person’s liability for Taxes for such Taxable year, calculated by excluding any Tax items attributed to the Losses, exceeds the Indemnified Person’s actual liability for Taxes for such Taxable year, calculated by taking into account any Tax items attributed to the Losses.</w:t>
      </w:r>
    </w:p>
    <w:p>
      <w:pPr>
        <w:spacing w:after="0" w:line="164" w:lineRule="exact"/>
        <w:rPr>
          <w:sz w:val="20"/>
          <w:szCs w:val="20"/>
          <w:color w:val="auto"/>
        </w:rPr>
      </w:pPr>
    </w:p>
    <w:p>
      <w:pPr>
        <w:jc w:val="both"/>
        <w:ind w:firstLine="1952"/>
        <w:spacing w:after="0" w:line="256" w:lineRule="auto"/>
        <w:tabs>
          <w:tab w:leader="none" w:pos="258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Indemnifying Person be liable to any Indemnified Person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7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9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Indemnified Person shall be entitled to recover from the Indemnifying Person under this Agreement more than once in respect of the same claim or the same Losses. Any liability of the Indemnifying Person under this Agreement shall be determined without duplication of recovery by reason of the state of facts giving rise to such liability constituting a breach of more than one representation, warranty, covenant or agreement.</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Person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not be liable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for any Losses based upon or arising out of any inaccuracy in or breach of any of the representations or warranties of Seller contained in this Agreement if Purchaser had Knowledge of such inaccuracy or breach prior to the date hereof.</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Indemnifying Person shall be liable for any Losses arising from: (A) any Taxes of the Company incurred on the Closing Date after the Closing that are outside the ordinary course of business of the Company or inconsistent with past practices; (B) any Taxes of Purchaser (including the Company) attributable to a Tax period other than a Pre-Closing Tax Period; or (C) the amount, value or condition of, or any limitations on, any Tax asset or attribute of the Company (e.g., net operating loss or net operating carryforward), to the extent such assets or attributes are relevant to the ability of Seller or any of its Affiliates (including the Company) to utilize such Tax assets or Tax attributes in any Tax period other than a Pre-Closing Tax Period.</w:t>
      </w:r>
    </w:p>
    <w:p>
      <w:pPr>
        <w:spacing w:after="0" w:line="18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8.5</w:t>
      </w:r>
      <w:r>
        <w:rPr>
          <w:sz w:val="20"/>
          <w:szCs w:val="20"/>
          <w:color w:val="auto"/>
        </w:rPr>
        <w:tab/>
      </w:r>
      <w:r>
        <w:rPr>
          <w:rFonts w:ascii="Times New Roman" w:cs="Times New Roman" w:eastAsia="Times New Roman" w:hAnsi="Times New Roman"/>
          <w:sz w:val="21"/>
          <w:szCs w:val="21"/>
          <w:u w:val="single" w:color="auto"/>
          <w:color w:val="auto"/>
        </w:rPr>
        <w:t>Indemnification Procedures</w:t>
      </w:r>
    </w:p>
    <w:p>
      <w:pPr>
        <w:spacing w:after="0" w:line="220" w:lineRule="exact"/>
        <w:rPr>
          <w:sz w:val="20"/>
          <w:szCs w:val="20"/>
          <w:color w:val="auto"/>
        </w:rPr>
      </w:pPr>
    </w:p>
    <w:p>
      <w:pPr>
        <w:jc w:val="both"/>
        <w:ind w:firstLine="1952"/>
        <w:spacing w:after="0" w:line="257" w:lineRule="auto"/>
        <w:tabs>
          <w:tab w:leader="none" w:pos="258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by an Indemnified Person on account of any Losses which does not result from a Third-Party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shall be asserted (and may only be asserted) by the Indemnified Person by giving the Indemnifying Person prompt written notice thereof. Such notice by the Indemnified Person shall describe the Direct Claim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48" w:lineRule="auto"/>
        <w:rPr>
          <w:sz w:val="20"/>
          <w:szCs w:val="20"/>
          <w:color w:val="auto"/>
        </w:rPr>
      </w:pPr>
      <w:r>
        <w:rPr>
          <w:rFonts w:ascii="Times New Roman" w:cs="Times New Roman" w:eastAsia="Times New Roman" w:hAnsi="Times New Roman"/>
          <w:sz w:val="22"/>
          <w:szCs w:val="22"/>
          <w:color w:val="auto"/>
        </w:rPr>
        <w:t>reasonable detail, shall include copies of all written evidence thereof and shall indicate the estimated amount, if reasonably practicable, of the Losses that have been or may be sustained by the Indemnified Person. The Indemnifying Person shall have fifteen (15) Business Days after its receipt of such notice to respond in writing to such Direct Claim. During such fifteen (15) Business Day-period, the Indemnified Person shall allow the Indemnifying Person and its advisors to investigate the matter or circumstance alleged to give rise to the Direct Claim, and whether and to what extent any amount is payable in respect of the Direct Claim and the Indemnified Person shall reasonably assist the Indemnifying Person’s investigation by giving such information and assistance (including access to their premises and personnel and the right to examine and copy any accounts, documents or records) as the Indemnifying Person, or any of its advisors, may reasonably request. If the Indemnifying Person does not so respond within such fifteen (15) Business Day-period, the Indemnifying Person shall be deemed to have rejected such Direct Claim, in which case the Indemnified Person may pursue such other remedies as may be available for the benefit of the Indemnified Person on the terms and subject to the provisions of this Agreement.</w:t>
      </w:r>
    </w:p>
    <w:p>
      <w:pPr>
        <w:spacing w:after="0" w:line="189" w:lineRule="exact"/>
        <w:rPr>
          <w:sz w:val="20"/>
          <w:szCs w:val="20"/>
          <w:color w:val="auto"/>
        </w:rPr>
      </w:pPr>
    </w:p>
    <w:p>
      <w:pPr>
        <w:jc w:val="both"/>
        <w:ind w:firstLine="1952"/>
        <w:spacing w:after="0" w:line="247" w:lineRule="auto"/>
        <w:tabs>
          <w:tab w:leader="none" w:pos="258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Indemnified Person receives notice of the assertion or commencement of any action, suit, claim or other legal proceeding made or brought by any Person who is not a Party to this Agreement or an Affiliate of a Party to this Agreement or a Representative of the foregoing (a “</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against such Indemnified Person with respect to which the Indemnifying Person is obligated to provide indemnification under this Agreement, the Indemnified Person shall give the Indemnifying Person prompt written notice thereof. The failure to give such prompt written notice shall not, in and of itself, however, relieve the Indemnifying Person of its indemnification obligations, except and only to the extent that the Indemnifying Person forfeits rights or defenses by reason of such failure. Such notice by the Indemnified Person shall describe the Third-Party Claim in reasonable detail, shall include copies of all material written evidence thereof and shall indicate the estimated amount, if reasonably practicable, of the Losses that have been or may be sustained by the Indemnified Person. The Indemnifying Person shall have the right to participate in, or by giving written notice to the Indemnified Person, to assume the defense of any Third-Party Claim (to the extent permitted by applicable Law) at the Indemnifying Person’s expense and by the Indemnifying Person’s own counsel, and the Indemnified Person shall cooperate in good faith in such defense. In the event that the Indemnifying Person assumes the defense of any Third-Party Claim, it shall promptly notify the Indemnified Person, and the Indemnifying Person shall have the right to take such action as it deems necessary to avoid, dispute, defend, appeal or make counterclaims pertaining to any such Third-Party Claim in the name and on behalf of the Indemnified Person. If the Indemnifying Person elects not to compromise or defend such Third-Party Claim or fails to promptly notify the Indemnified Person in writing of its election to defend as provided in this Agreement, the Indemnified Person may pay, compromise, defend such Third-Party Claim and seek indemnification for any and all Losses based upon, arising from or relating to such Third-Party Claim and for which the Indemnifying Person would otherwise be liable for under this Agreement. So long as one Party controls the defense of a Third-Party Claim, the other Party shall have the right, at its own cost and expense, to participate in the defense of the Third-Party Claim with counsel selected by such other Party. The Indemnifying Person and the Indemnified Person shall cooperate with each other in all reasonable respects in connection with the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57" w:lineRule="auto"/>
        <w:rPr>
          <w:sz w:val="20"/>
          <w:szCs w:val="20"/>
          <w:color w:val="auto"/>
        </w:rPr>
      </w:pPr>
      <w:r>
        <w:rPr>
          <w:rFonts w:ascii="Times New Roman" w:cs="Times New Roman" w:eastAsia="Times New Roman" w:hAnsi="Times New Roman"/>
          <w:sz w:val="22"/>
          <w:szCs w:val="22"/>
          <w:color w:val="auto"/>
        </w:rPr>
        <w:t>of any Third-Party Claim, including making available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w:t>
      </w:r>
    </w:p>
    <w:p>
      <w:pPr>
        <w:spacing w:after="0" w:line="186" w:lineRule="exact"/>
        <w:rPr>
          <w:sz w:val="20"/>
          <w:szCs w:val="20"/>
          <w:color w:val="auto"/>
        </w:rPr>
      </w:pPr>
    </w:p>
    <w:p>
      <w:pPr>
        <w:jc w:val="both"/>
        <w:ind w:right="20" w:firstLine="1952"/>
        <w:spacing w:after="0" w:line="257" w:lineRule="auto"/>
        <w:tabs>
          <w:tab w:leader="none" w:pos="258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Indemnifying Person shall not enter into settlement of any Third-Party Claim without the prior written consent of the Indemnified Person, which shall not be unreasonably withheld.</w:t>
      </w:r>
    </w:p>
    <w:p>
      <w:pPr>
        <w:spacing w:after="0" w:line="17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8.6</w:t>
      </w:r>
      <w:r>
        <w:rPr>
          <w:sz w:val="20"/>
          <w:szCs w:val="20"/>
          <w:color w:val="auto"/>
        </w:rPr>
        <w:tab/>
      </w:r>
      <w:r>
        <w:rPr>
          <w:rFonts w:ascii="Times New Roman" w:cs="Times New Roman" w:eastAsia="Times New Roman" w:hAnsi="Times New Roman"/>
          <w:sz w:val="21"/>
          <w:szCs w:val="21"/>
          <w:u w:val="single" w:color="auto"/>
          <w:color w:val="auto"/>
        </w:rPr>
        <w:t>Payments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Once a Loss is agreed to by the Indemnifying Person or finally adjudicated to be payable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Indemnifying Person shall satisfy its obligations within fifteen (15) Business Days of such final, non-appealable adjudication by wire transfer of immediately available funds.</w:t>
      </w:r>
    </w:p>
    <w:p>
      <w:pPr>
        <w:spacing w:after="0" w:line="16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8.7</w:t>
      </w:r>
      <w:r>
        <w:rPr>
          <w:sz w:val="20"/>
          <w:szCs w:val="20"/>
          <w:color w:val="auto"/>
        </w:rPr>
        <w:tab/>
      </w:r>
      <w:r>
        <w:rPr>
          <w:rFonts w:ascii="Times New Roman" w:cs="Times New Roman" w:eastAsia="Times New Roman" w:hAnsi="Times New Roman"/>
          <w:sz w:val="21"/>
          <w:szCs w:val="21"/>
          <w:u w:val="single" w:color="auto"/>
          <w:color w:val="auto"/>
        </w:rPr>
        <w:t>Tax Consequences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All payments (if any) made pursuant to any indemnification obligations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will be treated as an adjustment to the Purchase Price for Tax purposes and such agreed treatment will govern for purposes of this Agreement, unless otherwise required by applicable Law. Seller shall be responsible for any application or filing with the competent Taxing Authority for any Tax deduction or return due to such adjustment to the Purchase Price, and Purchaser shall provide reasonable assistance.</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8.8</w:t>
      </w:r>
      <w:r>
        <w:rPr>
          <w:sz w:val="20"/>
          <w:szCs w:val="20"/>
          <w:color w:val="auto"/>
        </w:rPr>
        <w:tab/>
      </w:r>
      <w:r>
        <w:rPr>
          <w:rFonts w:ascii="Times New Roman" w:cs="Times New Roman" w:eastAsia="Times New Roman" w:hAnsi="Times New Roman"/>
          <w:sz w:val="21"/>
          <w:szCs w:val="21"/>
          <w:u w:val="single" w:color="auto"/>
          <w:color w:val="auto"/>
        </w:rPr>
        <w:t>Pre-Closing Tax Indemnity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regardless of whether there is any breach of the representations, warranties, agreement or covenants of any Seller, and whether disclosed or not, Seller shall indemnify Purchaser (and its Representatives) against, and shall hold Purchaser (and its Representatives) harmless from and against, any and all Losses incurred or sustained by, or imposed upon, Purchaser (and its Representatives) for:</w:t>
      </w:r>
    </w:p>
    <w:p>
      <w:pPr>
        <w:spacing w:after="0" w:line="176" w:lineRule="exact"/>
        <w:rPr>
          <w:sz w:val="20"/>
          <w:szCs w:val="20"/>
          <w:color w:val="auto"/>
        </w:rPr>
      </w:pPr>
    </w:p>
    <w:p>
      <w:pPr>
        <w:ind w:left="2600" w:hanging="648"/>
        <w:spacing w:after="0"/>
        <w:tabs>
          <w:tab w:leader="none" w:pos="26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of the Company for any Pre-Closing Tax Period;</w:t>
      </w:r>
    </w:p>
    <w:p>
      <w:pPr>
        <w:spacing w:after="0" w:line="219" w:lineRule="exact"/>
        <w:rPr>
          <w:rFonts w:ascii="Times New Roman" w:cs="Times New Roman" w:eastAsia="Times New Roman" w:hAnsi="Times New Roman"/>
          <w:sz w:val="22"/>
          <w:szCs w:val="22"/>
          <w:color w:val="auto"/>
        </w:rPr>
      </w:pPr>
    </w:p>
    <w:p>
      <w:pPr>
        <w:ind w:firstLine="1952"/>
        <w:spacing w:after="0" w:line="295" w:lineRule="auto"/>
        <w:tabs>
          <w:tab w:leader="none" w:pos="2587"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PRC Withholding Taxes owed with respect to the transactions contemplated by this Agreement to the extent such PRC Withholding Taxes are not withheld from amounts otherwise payable pursuant to this Agreement.</w:t>
      </w:r>
    </w:p>
    <w:p>
      <w:pPr>
        <w:spacing w:after="0" w:line="14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Seller shall not be required to indemnify Purchaser (or its Representatives) for any Taxes taken into account in the calculation of the Actual Working Capital Amount.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8.9</w:t>
      </w:r>
      <w:r>
        <w:rPr>
          <w:sz w:val="20"/>
          <w:szCs w:val="20"/>
          <w:color w:val="auto"/>
        </w:rPr>
        <w:tab/>
      </w:r>
      <w:r>
        <w:rPr>
          <w:rFonts w:ascii="Times New Roman" w:cs="Times New Roman" w:eastAsia="Times New Roman" w:hAnsi="Times New Roman"/>
          <w:sz w:val="21"/>
          <w:szCs w:val="21"/>
          <w:u w:val="single" w:color="auto"/>
          <w:color w:val="auto"/>
        </w:rPr>
        <w:t>Exclusive Remedy</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the Parties acknowledge and agree that from and after Closing their sole and exclusive remedy with respect to any and all claims (other than claims arising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Fraud) for Losses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In furtherance of the foregoing, except with respect to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each Party hereby waives, from and after Closing, to the fullest extent permitted under Law, any and all rights, claims and causes of action for Losses for any breach of any representation, warranty, covenant, agreement or obligation set forth herein or otherwise relating to the subject matter of this Agreement it may have against the other Party and their Affiliates and each of their respective Representatives arising under or based upon any Law, except pursuant to the indemnification provisions set forth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xml:space="preserve"> shall limit any Person’s right to seek and obtain any remedy in the nature of specific performance, injunctive relief or protective order to which any Person shall be entitled pursuant to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or to seek any remedy on account of Fraud by any Party hereto.</w:t>
      </w:r>
    </w:p>
    <w:p>
      <w:pPr>
        <w:spacing w:after="0" w:line="17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8.10</w:t>
      </w:r>
      <w:r>
        <w:rPr>
          <w:sz w:val="20"/>
          <w:szCs w:val="20"/>
          <w:color w:val="auto"/>
        </w:rPr>
        <w:tab/>
      </w:r>
      <w:r>
        <w:rPr>
          <w:rFonts w:ascii="Times New Roman" w:cs="Times New Roman" w:eastAsia="Times New Roman" w:hAnsi="Times New Roman"/>
          <w:sz w:val="21"/>
          <w:szCs w:val="21"/>
          <w:u w:val="single" w:color="auto"/>
          <w:color w:val="auto"/>
        </w:rPr>
        <w:t>Determination of Losses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Solely for purposes of determining the amount of any Losses arising out of, relating to or resulting from any failure of any representation or warranty to be true and correct (but not for purposes of whether or not any representation or warranty is true and correct), such representations and warranties shall be considered without giving effect to “materiality,” “material,” “Company Material Adverse Effect,” “in all material respects” or similar qualification (but not including Knowledge of Seller).</w:t>
      </w:r>
    </w:p>
    <w:p>
      <w:pPr>
        <w:spacing w:after="0" w:line="1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9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Release</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Effective as of the Closing, Purchaser, for itself and the Company, and their respective Affiliates and their respective successors, assigns, executors, heirs, officers, directors, managers, partners and employees (each a “</w:t>
      </w:r>
      <w:r>
        <w:rPr>
          <w:rFonts w:ascii="Times New Roman" w:cs="Times New Roman" w:eastAsia="Times New Roman" w:hAnsi="Times New Roman"/>
          <w:sz w:val="22"/>
          <w:szCs w:val="22"/>
          <w:u w:val="single" w:color="auto"/>
          <w:color w:val="auto"/>
        </w:rPr>
        <w:t>Purchaser Releasor</w:t>
      </w:r>
      <w:r>
        <w:rPr>
          <w:rFonts w:ascii="Times New Roman" w:cs="Times New Roman" w:eastAsia="Times New Roman" w:hAnsi="Times New Roman"/>
          <w:sz w:val="22"/>
          <w:szCs w:val="22"/>
          <w:color w:val="auto"/>
        </w:rPr>
        <w:t>”), hereby irrevocably, knowingly and voluntarily releases, discharges and forever waives and relinquishes all claims, demands, obligations, liabilities, defenses, affirmative defenses, setoffs, counterclaims, Actions and causes of action of whatever kind or nature, whether known or unknown, which any of Purchaser Releasors has, might have or might assert now or in the future, against Seller and any of its Affiliates and their respective successors, assigns, officers, directors, managers, partners and employees or any of their respective heirs or executors (in each case in their capacity as such) (each, a “</w:t>
      </w:r>
      <w:r>
        <w:rPr>
          <w:rFonts w:ascii="Times New Roman" w:cs="Times New Roman" w:eastAsia="Times New Roman" w:hAnsi="Times New Roman"/>
          <w:sz w:val="22"/>
          <w:szCs w:val="22"/>
          <w:u w:val="single" w:color="auto"/>
          <w:color w:val="auto"/>
        </w:rPr>
        <w:t>Seller Releasee</w:t>
      </w:r>
      <w:r>
        <w:rPr>
          <w:rFonts w:ascii="Times New Roman" w:cs="Times New Roman" w:eastAsia="Times New Roman" w:hAnsi="Times New Roman"/>
          <w:sz w:val="22"/>
          <w:szCs w:val="22"/>
          <w:color w:val="auto"/>
        </w:rPr>
        <w:t xml:space="preserve">”), arising out of, based upon or resulting from any Contract, transaction, event, circumstance, action, failure to act or occurrence of any sort or type, whether known or unknown, and which occurred, existed or was taken or permitted at or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contained in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release, waive, discharge, relinquish or otherwise affect the rights or obligations of any party to the extent arising out of: (a) this Agreement and the Ancillary Agreements; or (b) any Contracts or other claims, demands, obligations, liabilities, defenses, affirmative defenses, setoffs, counterclaims, Actions and causes of action as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of the Seller Disclosure Letter. Purchaser shall, and shall cause the Company to, refrain from, directly or indirectly, asserting any claim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1" w:right="339" w:bottom="1440" w:gutter="0" w:footer="0" w:header="0"/>
        </w:sectPr>
      </w:pPr>
    </w:p>
    <w:bookmarkStart w:id="144" w:name="page145"/>
    <w:bookmarkEnd w:id="144"/>
    <w:p>
      <w:pPr>
        <w:spacing w:after="0" w:line="271" w:lineRule="auto"/>
        <w:rPr>
          <w:sz w:val="20"/>
          <w:szCs w:val="20"/>
          <w:color w:val="auto"/>
        </w:rPr>
      </w:pPr>
      <w:r>
        <w:rPr>
          <w:rFonts w:ascii="Times New Roman" w:cs="Times New Roman" w:eastAsia="Times New Roman" w:hAnsi="Times New Roman"/>
          <w:sz w:val="22"/>
          <w:szCs w:val="22"/>
          <w:color w:val="auto"/>
        </w:rPr>
        <w:t xml:space="preserve">demand, or commencing, instituting or causing to be commenced any legal proceeding, of any kind against a Seller Releasee based upon any matter released pursuant to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1"/>
          <w:szCs w:val="21"/>
          <w:u w:val="single" w:color="auto"/>
          <w:color w:val="auto"/>
        </w:rPr>
        <w:t>Disclosure</w:t>
      </w:r>
    </w:p>
    <w:p>
      <w:pPr>
        <w:spacing w:after="0" w:line="233" w:lineRule="exact"/>
        <w:rPr>
          <w:sz w:val="20"/>
          <w:szCs w:val="20"/>
          <w:color w:val="auto"/>
        </w:rPr>
      </w:pPr>
    </w:p>
    <w:p>
      <w:pPr>
        <w:jc w:val="both"/>
        <w:ind w:firstLine="1952"/>
        <w:spacing w:after="0" w:line="246" w:lineRule="auto"/>
        <w:tabs>
          <w:tab w:leader="none" w:pos="258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Disclosure Letter</w:t>
      </w:r>
      <w:r>
        <w:rPr>
          <w:rFonts w:ascii="Times New Roman" w:cs="Times New Roman" w:eastAsia="Times New Roman" w:hAnsi="Times New Roman"/>
          <w:sz w:val="22"/>
          <w:szCs w:val="22"/>
          <w:color w:val="auto"/>
        </w:rPr>
        <w:t>. The Seller Disclosure Letter and the Exhibits attached hereto and thereto shall be construed with, and as an integral part of, this Agreement. Each capitalized term used in any Exhibit or Seller Disclosure Letter but not otherwise defined therein shall be defined as set forth in this Agreement. The Seller Disclosure Letter has been arranged in numbered and lettered sections and subsections corresponding to the applicable numbered and lettered sections and subsections contained in this Agreement. Each item disclosed in the Seller Disclosure Letter shall constitute an exception to, or as applicable, disclosure for the purposes of, the representations and warranties (or covenants, as applicable) to which it makes reference and shall also be deemed to be constructively disclosed or set forth in any other section in the Seller Disclosure Letter relating to other sections of this Agreement to the extent a cross-reference is expressly made to such other section in the Seller Disclosure Letter or to the extent that the relevance of such item as an exception to, or as applicable, disclosure for the purposes of, another section of this Agreement is reasonably apparent from the face of such disclosure that such disclosure also qualifies or applies to, or is disclosed for the purposes of, such other section of this Agreement. The fact that any item of information is disclosed in the Seller Disclosure Letter shall not be construed to mean that such information is required to be disclosed by this Agreement. Such information and the dollar thresholds set forth herein shall not be used as a basis for interpreting the terms “material” or “Company Material Adverse Effect,” “Seller Material Adverse Effect,” “Purchaser Material Adverse Effect” or other similar terms in this Agreement. The inclusion of any item on the Seller Disclosure Letter shall not constitute an admission by the Company, Seller or Purchaser, as applicable, that such item is or is not material. No disclosure in the Seller Disclosure Letter relating to any possible breach or violation of any Contract, Law or Order shall be construed as an admission or indication that any such breach or violation exists or has actually occurred. The Seller Disclosure Letter and the information contained in the Seller Disclosure Letter are intended only to qualify or provide disclosure for the purposes of the applicable representations, warranties and covenants contained in this Agreement and shall not be deemed to expand in any way the scope or effect of any of such representations, warranties or covenants.</w:t>
      </w:r>
    </w:p>
    <w:p>
      <w:pPr>
        <w:spacing w:after="0" w:line="21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Disclosure</w:t>
      </w:r>
      <w:r>
        <w:rPr>
          <w:rFonts w:ascii="Times New Roman" w:cs="Times New Roman" w:eastAsia="Times New Roman" w:hAnsi="Times New Roman"/>
          <w:sz w:val="22"/>
          <w:szCs w:val="22"/>
          <w:color w:val="auto"/>
        </w:rPr>
        <w:t>. By way of general disclosure, the following matters are disclosed or deemed disclosed to Purchaser and shall be deemed to qualify in their entirety the representations and warranties given by Seller hereunder: (i) all circumstances, facts and matters that are described or provided for in the Original Agreement, this Agreement and the Ancillary Agreements; (ii) all documents and information contained in the VDR and made available to Purchaser or its Representatives no later than two (2) Business Days immediately prior to the date of the Original Agreement in connection with the purchase and sale of the Purchased Interest and the transactions contemplated hereby; and (iii) all circumstances, facts and matters that would be revealed by an online search of the files of the Company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1" w:right="339" w:bottom="1440" w:gutter="0" w:footer="0" w:header="0"/>
        </w:sectPr>
      </w:pPr>
    </w:p>
    <w:bookmarkStart w:id="145" w:name="page146"/>
    <w:bookmarkEnd w:id="145"/>
    <w:p>
      <w:pPr>
        <w:jc w:val="center"/>
        <w:ind w:right="2780"/>
        <w:spacing w:after="0"/>
        <w:rPr>
          <w:sz w:val="20"/>
          <w:szCs w:val="20"/>
          <w:color w:val="auto"/>
        </w:rPr>
      </w:pPr>
      <w:r>
        <w:rPr>
          <w:rFonts w:ascii="Times New Roman" w:cs="Times New Roman" w:eastAsia="Times New Roman" w:hAnsi="Times New Roman"/>
          <w:sz w:val="21"/>
          <w:szCs w:val="21"/>
          <w:color w:val="auto"/>
        </w:rPr>
        <w:t>websites maintained by the PRC Governmental Authorities at the date of the Original Agreement.</w:t>
      </w:r>
    </w:p>
    <w:p>
      <w:pPr>
        <w:spacing w:after="0" w:line="231" w:lineRule="exact"/>
        <w:rPr>
          <w:sz w:val="20"/>
          <w:szCs w:val="20"/>
          <w:color w:val="auto"/>
        </w:rPr>
      </w:pPr>
    </w:p>
    <w:p>
      <w:pPr>
        <w:jc w:val="center"/>
        <w:ind w:right="2620"/>
        <w:spacing w:after="0"/>
        <w:tabs>
          <w:tab w:leader="none" w:pos="32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No Other Representations or Warranties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Except as expressly set forth herein, no Party makes any representation or warranty, express or implied, at law or in equity, with respect to itself, the Company or the assets, liabilities or operations of the foregoing, including with respect to merchantability or fitness for any particular purpose, and any such other representations or warranties are hereby expressly disclaimed and, in any event, any such other representations or warranties may not be relied upon by the other Party or any of its Affiliates and Representatives. No Person has been authorized by any Party to make any representation or warranty on its behalf and to the extent of any such purported representation and warranty it cannot be relied upon in any manner.</w:t>
      </w:r>
    </w:p>
    <w:p>
      <w:pPr>
        <w:spacing w:after="0" w:line="195"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9.4</w:t>
      </w:r>
      <w:r>
        <w:rPr>
          <w:sz w:val="20"/>
          <w:szCs w:val="20"/>
          <w:color w:val="auto"/>
        </w:rPr>
        <w:tab/>
      </w:r>
      <w:r>
        <w:rPr>
          <w:rFonts w:ascii="Times New Roman" w:cs="Times New Roman" w:eastAsia="Times New Roman" w:hAnsi="Times New Roman"/>
          <w:sz w:val="21"/>
          <w:szCs w:val="21"/>
          <w:u w:val="single" w:color="auto"/>
          <w:color w:val="auto"/>
        </w:rPr>
        <w:t>Amendments; No Waivers</w:t>
      </w:r>
    </w:p>
    <w:p>
      <w:pPr>
        <w:spacing w:after="0" w:line="220" w:lineRule="exact"/>
        <w:rPr>
          <w:sz w:val="20"/>
          <w:szCs w:val="20"/>
          <w:color w:val="auto"/>
        </w:rPr>
      </w:pPr>
    </w:p>
    <w:p>
      <w:pPr>
        <w:jc w:val="both"/>
        <w:ind w:firstLine="1952"/>
        <w:spacing w:after="0" w:line="251" w:lineRule="auto"/>
        <w:tabs>
          <w:tab w:leader="none" w:pos="258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may be amended or waived prior to the Closing Date, if, and only if, such amendment or waiver is in writing and signed, in the case of an amendment, by Seller and Purchaser, or in the case of a waiver, by the Party against whom the waiver is to be effective. Each Party hereby acknowledges and agrees that, notwithstanding the entrance into this Agreement by the Parties and the restatement of the Original Agreement hereby, the Seller Payment Guarantee and the Purchaser Corporate Guarantee, each executed and delivered as of the date of the Original Agreement, shall each remain in full force and effect pursuant to the terms and conditions of each thereof.</w:t>
      </w:r>
    </w:p>
    <w:p>
      <w:pPr>
        <w:spacing w:after="0" w:line="181"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at Law or in equity.</w:t>
      </w:r>
    </w:p>
    <w:p>
      <w:pPr>
        <w:spacing w:after="0" w:line="19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All notices, consents, requests, demands or other communications required or permitted hereunder shall be: (a) in writing and (b) sent by email or by overnight courier or delivered by hand to the addresses set forth below (or at such other address as such Party may designate by fifteen (15) days’ advance written notice to the other Party to this Agreement given in accordance with this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Where a notice is sent by overnight courier service, service of the notice shall be deemed to have been effected by properly addressing, pre-paying and sending the notice by an overnight service through an internationally-recognized courier upon the earlier of (i) delivery and (ii) (or when delivery is refused) expiration of two (2) Business Days after the notice is sent as aforesaid. Where a notice is sent by electronic mail, service of the notice shall be deemed to be effected by properly addressing, and sending such notice through a transmitting organization, with a written confirmation of delivery, upon the day the same is sent as aforesaid, if such day is a Business Day and if sent during normal business hours of the recipient, otherwise the next Business Day. Notwithstanding the foregoing, to the extent a “with a copy to”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1" w:right="339" w:bottom="1440" w:gutter="0" w:footer="0" w:header="0"/>
        </w:sectPr>
      </w:pPr>
    </w:p>
    <w:bookmarkStart w:id="146" w:name="page147"/>
    <w:bookmarkEnd w:id="146"/>
    <w:p>
      <w:pPr>
        <w:ind w:right="20"/>
        <w:spacing w:after="0" w:line="271" w:lineRule="auto"/>
        <w:rPr>
          <w:sz w:val="20"/>
          <w:szCs w:val="20"/>
          <w:color w:val="auto"/>
        </w:rPr>
      </w:pPr>
      <w:r>
        <w:rPr>
          <w:rFonts w:ascii="Times New Roman" w:cs="Times New Roman" w:eastAsia="Times New Roman" w:hAnsi="Times New Roman"/>
          <w:sz w:val="22"/>
          <w:szCs w:val="22"/>
          <w:color w:val="auto"/>
        </w:rPr>
        <w:t>is designated, notice must also be given to such address in the manner above for such notice, request, consent or other communication hereunder to be effective.</w:t>
      </w:r>
    </w:p>
    <w:p>
      <w:pPr>
        <w:spacing w:after="0" w:line="158" w:lineRule="exact"/>
        <w:rPr>
          <w:sz w:val="20"/>
          <w:szCs w:val="20"/>
          <w:color w:val="auto"/>
        </w:rPr>
      </w:pPr>
    </w:p>
    <w:p>
      <w:pPr>
        <w:ind w:left="2600" w:hanging="648"/>
        <w:spacing w:after="0"/>
        <w:tabs>
          <w:tab w:leader="none" w:pos="26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Purchaser, or, following the Closing, to the Company, to:</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0" w:hanging="648"/>
        <w:spacing w:after="0"/>
        <w:tabs>
          <w:tab w:leader="none" w:pos="26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Seller, or, prior to the Closing, to the Company, to:</w:t>
      </w:r>
    </w:p>
    <w:p>
      <w:pPr>
        <w:spacing w:after="0" w:line="21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63"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9.6</w:t>
      </w:r>
      <w:r>
        <w:rPr>
          <w:sz w:val="20"/>
          <w:szCs w:val="20"/>
          <w:color w:val="auto"/>
        </w:rPr>
        <w:tab/>
      </w:r>
      <w:r>
        <w:rPr>
          <w:rFonts w:ascii="Times New Roman" w:cs="Times New Roman" w:eastAsia="Times New Roman" w:hAnsi="Times New Roman"/>
          <w:sz w:val="21"/>
          <w:szCs w:val="21"/>
          <w:u w:val="single" w:color="auto"/>
          <w:color w:val="auto"/>
        </w:rPr>
        <w:t>Successors and Assigns</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This Agreement shall be binding upon and inure to the benefit of the Parties hereto and their respective successors and permitted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Party may assign, delegate or otherwise transfer any of its rights or obligations pursuant to this Agreement without the prior written consent of the other Party. Any attempted assignment of this Agreement not in accordance with the terms of this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9.7</w:t>
      </w:r>
      <w:r>
        <w:rPr>
          <w:sz w:val="20"/>
          <w:szCs w:val="20"/>
          <w:color w:val="auto"/>
        </w:rPr>
        <w:tab/>
      </w:r>
      <w:r>
        <w:rPr>
          <w:rFonts w:ascii="Times New Roman" w:cs="Times New Roman" w:eastAsia="Times New Roman" w:hAnsi="Times New Roman"/>
          <w:sz w:val="21"/>
          <w:szCs w:val="21"/>
          <w:u w:val="single" w:color="auto"/>
          <w:color w:val="auto"/>
        </w:rPr>
        <w:t>Governing Law</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This Agreement, and any and all claims arising directly or indirectly out of or otherwise concerning this Agreement (whether based in contract, tort or otherwise) shall be governed by, and construed and enforced in accordance with, the Laws of the PRC, except as set forth in </w:t>
      </w:r>
      <w:r>
        <w:rPr>
          <w:rFonts w:ascii="Times New Roman" w:cs="Times New Roman" w:eastAsia="Times New Roman" w:hAnsi="Times New Roman"/>
          <w:sz w:val="22"/>
          <w:szCs w:val="22"/>
          <w:u w:val="single" w:color="auto"/>
          <w:color w:val="auto"/>
        </w:rPr>
        <w:t>Section 9.8(b)</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9.8</w:t>
      </w:r>
      <w:r>
        <w:rPr>
          <w:sz w:val="20"/>
          <w:szCs w:val="20"/>
          <w:color w:val="auto"/>
        </w:rPr>
        <w:tab/>
      </w:r>
      <w:r>
        <w:rPr>
          <w:rFonts w:ascii="Times New Roman" w:cs="Times New Roman" w:eastAsia="Times New Roman" w:hAnsi="Times New Roman"/>
          <w:sz w:val="21"/>
          <w:szCs w:val="21"/>
          <w:u w:val="single" w:color="auto"/>
          <w:color w:val="auto"/>
        </w:rPr>
        <w:t>Dispute Resolution</w:t>
      </w:r>
    </w:p>
    <w:p>
      <w:pPr>
        <w:spacing w:after="0" w:line="220" w:lineRule="exact"/>
        <w:rPr>
          <w:sz w:val="20"/>
          <w:szCs w:val="20"/>
          <w:color w:val="auto"/>
        </w:rPr>
      </w:pPr>
    </w:p>
    <w:p>
      <w:pPr>
        <w:jc w:val="both"/>
        <w:ind w:firstLine="1952"/>
        <w:spacing w:after="0" w:line="256" w:lineRule="auto"/>
        <w:tabs>
          <w:tab w:leader="none" w:pos="258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controversy, difference or claim (each, a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rFonts w:ascii="Times New Roman" w:cs="Times New Roman" w:eastAsia="Times New Roman" w:hAnsi="Times New Roman"/>
          <w:sz w:val="22"/>
          <w:szCs w:val="22"/>
          <w:u w:val="single" w:color="auto"/>
          <w:color w:val="auto"/>
        </w:rPr>
        <w:t>HKIAC</w:t>
      </w:r>
      <w:r>
        <w:rPr>
          <w:rFonts w:ascii="Times New Roman" w:cs="Times New Roman" w:eastAsia="Times New Roman" w:hAnsi="Times New Roman"/>
          <w:sz w:val="22"/>
          <w:szCs w:val="22"/>
          <w:color w:val="auto"/>
        </w:rPr>
        <w:t>”) under the HKIAC Administered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1" w:right="339" w:bottom="1440" w:gutter="0" w:footer="0" w:header="0"/>
        </w:sectPr>
      </w:pPr>
    </w:p>
    <w:bookmarkStart w:id="147" w:name="page148"/>
    <w:bookmarkEnd w:id="147"/>
    <w:p>
      <w:pPr>
        <w:ind w:right="20"/>
        <w:spacing w:after="0" w:line="271" w:lineRule="auto"/>
        <w:rPr>
          <w:sz w:val="20"/>
          <w:szCs w:val="20"/>
          <w:color w:val="auto"/>
        </w:rPr>
      </w:pPr>
      <w:r>
        <w:rPr>
          <w:rFonts w:ascii="Times New Roman" w:cs="Times New Roman" w:eastAsia="Times New Roman" w:hAnsi="Times New Roman"/>
          <w:sz w:val="22"/>
          <w:szCs w:val="22"/>
          <w:color w:val="auto"/>
        </w:rPr>
        <w:t>Arbitration Rules in force when the Notice of Arbitration is submitted in accordance with the HKIAC Administered Arbitration Rules.</w:t>
      </w:r>
    </w:p>
    <w:p>
      <w:pPr>
        <w:spacing w:after="0" w:line="158" w:lineRule="exact"/>
        <w:rPr>
          <w:sz w:val="20"/>
          <w:szCs w:val="20"/>
          <w:color w:val="auto"/>
        </w:rPr>
      </w:pPr>
    </w:p>
    <w:p>
      <w:pPr>
        <w:ind w:firstLine="1952"/>
        <w:spacing w:after="0" w:line="284" w:lineRule="auto"/>
        <w:tabs>
          <w:tab w:leader="none" w:pos="258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Law of this arbitration clause shall be Hong Kong Law. The seat of arbitration shall be Hong Kong. The number of arbitrators shall be three. The arbitration proceedings shall be conducted in English.</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the arbitration shall cooperate with each other party to the arbitration in making full disclosure of and providing complete access to all information and documents requested by such other party in connection with such arbitral proceedings, subject only to any confidentiality obligations binding on such party.</w:t>
      </w:r>
    </w:p>
    <w:p>
      <w:pPr>
        <w:spacing w:after="0" w:line="172" w:lineRule="exact"/>
        <w:rPr>
          <w:rFonts w:ascii="Times New Roman" w:cs="Times New Roman" w:eastAsia="Times New Roman" w:hAnsi="Times New Roman"/>
          <w:sz w:val="22"/>
          <w:szCs w:val="22"/>
          <w:color w:val="auto"/>
        </w:rPr>
      </w:pPr>
    </w:p>
    <w:p>
      <w:pPr>
        <w:jc w:val="both"/>
        <w:ind w:firstLine="1952"/>
        <w:spacing w:after="0" w:line="226" w:lineRule="auto"/>
        <w:tabs>
          <w:tab w:leader="none" w:pos="258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together with WDT, if applicable) shall be entitled to (jointly) appoint one (1) arbitrator, Purchaser (and together with STATS ChipPAC) shall be entitled to (jointly) appoint one (1) arbitrator, while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arbitrator who shall be the presiding arbitrator, shall be jointly appointed the first two arbitrators and shall be qualified to practice Law in Hong Kong and the PRC. If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arbitrator has not been appointed within thirty (30) days after the Notice of Arbitration is given, the relevant appointment shall be made by the Secretary General of HKIAC.</w:t>
      </w:r>
    </w:p>
    <w:p>
      <w:pPr>
        <w:spacing w:after="0" w:line="190" w:lineRule="exact"/>
        <w:rPr>
          <w:rFonts w:ascii="Times New Roman" w:cs="Times New Roman" w:eastAsia="Times New Roman" w:hAnsi="Times New Roman"/>
          <w:sz w:val="22"/>
          <w:szCs w:val="22"/>
          <w:color w:val="auto"/>
        </w:rPr>
      </w:pPr>
    </w:p>
    <w:p>
      <w:pPr>
        <w:ind w:firstLine="1952"/>
        <w:spacing w:after="0" w:line="271" w:lineRule="auto"/>
        <w:tabs>
          <w:tab w:leader="none" w:pos="258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of the arbitral tribunal shall be final and binding upon the parties thereto, and the prevailing party may apply to a court of competent jurisdiction for enforcement of such award.</w:t>
      </w:r>
    </w:p>
    <w:p>
      <w:pPr>
        <w:spacing w:after="0" w:line="17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9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arbitral tribunal shall decide any Dispute submitted by the parties to the arbitration strictly in accordance with the substantive Laws of the PRC (without regard to principles of conflict of Laws thereunder) and shall not apply any other substantive Law.</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to the Dispute shall be entitled to seek preliminary injunctive relief, if possible, from any court of competent jurisdiction pending the constitution of the arbitral tribunal.</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course of the arbitral tribunal’s adjudication of the Dispute, this Agreement shall continue to be performed except with respect to the part in dispute and under adjudication.</w:t>
      </w:r>
    </w:p>
    <w:p>
      <w:pPr>
        <w:spacing w:after="0" w:line="15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Action is commenced or threatened by any Party to enforce its rights under this Agreement against any other Person, the prevailing Party in such Action shall be reimbursed by the non-prevailing Party for all fees, costs and expenses, including reasonable attorneys’ fees, arbitration and court costs, incurred by the prevailing Party in such Action. If a Party prevails in part, and loses in part, in such Action, the court, arbitrator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1" w:right="339" w:bottom="1440" w:gutter="0" w:footer="0" w:header="0"/>
        </w:sectPr>
      </w:pPr>
    </w:p>
    <w:bookmarkStart w:id="148" w:name="page149"/>
    <w:bookmarkEnd w:id="14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adjudicator presiding over such Action will award a reimbursement of the fees, costs and expenses incurred by the prevailing Party on an equitable basis.</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9.9</w:t>
      </w:r>
      <w:r>
        <w:rPr>
          <w:sz w:val="20"/>
          <w:szCs w:val="20"/>
          <w:color w:val="auto"/>
        </w:rPr>
        <w:tab/>
      </w:r>
      <w:r>
        <w:rPr>
          <w:rFonts w:ascii="Times New Roman" w:cs="Times New Roman" w:eastAsia="Times New Roman" w:hAnsi="Times New Roman"/>
          <w:sz w:val="21"/>
          <w:szCs w:val="21"/>
          <w:u w:val="single" w:color="auto"/>
          <w:color w:val="auto"/>
        </w:rPr>
        <w:t>Privilege; Counsel</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O’Melveny &amp; Myers LLP has been engaged by Seller to represent it in connection with the transactions contemplated hereby. Purchaser (on its behalf and on behalf of its Affiliates) hereby: (a) agrees that, in the event that a dispute arises after the Closing between Purchaser and/or any of its Affiliates, on the one hand, and Seller and/or any of its Affiliates, on the other hand, O’Melveny &amp; Myers LLP may represent Seller or such Affiliate(s) in such dispute even though the interests of Seller or such Affiliate(s) may be directly adverse to Purchaser, the Company or any of their Affiliates and even though O’Melveny &amp; Myers LLP may have represented the Company in a matter substantially related to such dispute, or may be handling ongoing matters for Purchaser or the Company; and (b) waives any conflict in connection therewith. Purchaser (on its behalf and on behalf of its Affiliates) further agrees that, notwithstanding anything in this Agreement to the contrary, as to all communications among O’Melveny &amp; Myers LLP, Seller and/or the Company (including any of their respective directors, officers, managers, employees or agents) that relate in any way to this Agreement, the Ancillary Agreements or the transactions contemplated hereby or thereby or the negotiation of the same, the attorney-client privilege and the expectation of client confidence belongs to Seller and shall be controlled by Seller and shall not pass to or be claimed by Purchaser, the Company or any of their Affiliates after the Closing. Purchaser (on its behalf and on behalf of its Affiliates) further understands and agrees that the Parties have each undertaken reasonable efforts to prevent the disclosure of confidential or attorney-client privileged information. Notwithstanding those efforts, Purchaser (on its behalf and on behalf of its Affiliates) further understands and agrees that the consummation of the transactions contemplated by this Agreement may result in the inadvertent disclosure of information that may be confidential and/or subject to a claim of privilege. Purchaser (on its behalf and on behalf of its Affiliates) further understands and agrees that any disclosure of information that may be confidential and/or subject to a claim of privilege shall not prejudice or otherwise constitute a waiver of any claim of privilege. Purchaser (on its behalf and on behalf of its Affiliates) agrees to use reasonable best efforts to return promptly any inadvertently disclosed information to the appropriate Person upon becoming aware of its existence. Notwithstanding the foregoing, in the event that a dispute arises after the Closing between Purchaser, the Company or any of their Affiliates and a third Person other than a Party to this Agreement, the Company may assert the attorney-client privilege to prevent disclosure of confidential communications by O’Melveny &amp; Myers LLP to such third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may not waive such privilege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1" w:right="339" w:bottom="1440" w:gutter="0" w:footer="0" w:header="0"/>
        </w:sectPr>
      </w:pPr>
    </w:p>
    <w:bookmarkStart w:id="149" w:name="page150"/>
    <w:bookmarkEnd w:id="149"/>
    <w:p>
      <w:pPr>
        <w:spacing w:after="0" w:line="271" w:lineRule="auto"/>
        <w:rPr>
          <w:sz w:val="20"/>
          <w:szCs w:val="20"/>
          <w:color w:val="auto"/>
        </w:rPr>
      </w:pPr>
      <w:r>
        <w:rPr>
          <w:rFonts w:ascii="Times New Roman" w:cs="Times New Roman" w:eastAsia="Times New Roman" w:hAnsi="Times New Roman"/>
          <w:sz w:val="22"/>
          <w:szCs w:val="22"/>
          <w:color w:val="auto"/>
        </w:rPr>
        <w:t xml:space="preserve">the prior written consent of Seller. O’Melveny &amp; Myers LLP shall be a third-party beneficiary for the purposes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9.10</w:t>
      </w:r>
      <w:r>
        <w:rPr>
          <w:sz w:val="20"/>
          <w:szCs w:val="20"/>
          <w:color w:val="auto"/>
        </w:rPr>
        <w:tab/>
      </w:r>
      <w:r>
        <w:rPr>
          <w:rFonts w:ascii="Times New Roman" w:cs="Times New Roman" w:eastAsia="Times New Roman" w:hAnsi="Times New Roman"/>
          <w:sz w:val="21"/>
          <w:szCs w:val="21"/>
          <w:u w:val="single" w:color="auto"/>
          <w:color w:val="auto"/>
        </w:rPr>
        <w:t>Counterparts; Effectiveness</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five (5) or more counterparts, each of which together shall be deemed an original, and all of which together shall constitute one and the same instrument.</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9.11</w:t>
      </w:r>
      <w:r>
        <w:rPr>
          <w:sz w:val="20"/>
          <w:szCs w:val="20"/>
          <w:color w:val="auto"/>
        </w:rPr>
        <w:tab/>
      </w:r>
      <w:r>
        <w:rPr>
          <w:rFonts w:ascii="Times New Roman" w:cs="Times New Roman" w:eastAsia="Times New Roman" w:hAnsi="Times New Roman"/>
          <w:sz w:val="21"/>
          <w:szCs w:val="21"/>
          <w:u w:val="single" w:color="auto"/>
          <w:color w:val="auto"/>
        </w:rPr>
        <w:t>Entire Agreement</w:t>
      </w:r>
    </w:p>
    <w:p>
      <w:pPr>
        <w:spacing w:after="0" w:line="220" w:lineRule="exact"/>
        <w:rPr>
          <w:sz w:val="20"/>
          <w:szCs w:val="20"/>
          <w:color w:val="auto"/>
        </w:rPr>
      </w:pPr>
    </w:p>
    <w:p>
      <w:pPr>
        <w:jc w:val="both"/>
        <w:ind w:firstLine="1952"/>
        <w:spacing w:after="0" w:line="265" w:lineRule="auto"/>
        <w:tabs>
          <w:tab w:leader="none" w:pos="258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(including, without limitation, the Seller Disclosure Letter and the Exhibits, schedules, and annexes hereto and thereto) and the Ancillary Agreements constitute the entire agreement among the Parties with respect to the subject matter of this Agreement and supersede and cancel all prior agreements, negotiations, correspondence, undertakings, understandings and communications of the Parties, whether oral or written, with respect to the subject matter hereof and thereof, including without limitation, the Original Agreement, which shall be deemed amended, restated and superseded in its entirety by this Agreement, with effect from the execution and delivery of the Original Agreement.</w:t>
      </w:r>
    </w:p>
    <w:p>
      <w:pPr>
        <w:spacing w:after="0" w:line="168" w:lineRule="exact"/>
        <w:rPr>
          <w:rFonts w:ascii="Times New Roman" w:cs="Times New Roman" w:eastAsia="Times New Roman" w:hAnsi="Times New Roman"/>
          <w:sz w:val="21"/>
          <w:szCs w:val="21"/>
          <w:color w:val="auto"/>
        </w:rPr>
      </w:pPr>
    </w:p>
    <w:p>
      <w:pPr>
        <w:jc w:val="both"/>
        <w:ind w:firstLine="1952"/>
        <w:spacing w:after="0" w:line="251" w:lineRule="auto"/>
        <w:tabs>
          <w:tab w:leader="none" w:pos="258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execution of the Original Agreement and prior to the AMR Submission Date, Seller and Purchaser agree to execute the Equity Interest Transfer Agreement summarizing the material terms of this Agreement in the form agreed by the Parties (the “</w:t>
      </w:r>
      <w:r>
        <w:rPr>
          <w:rFonts w:ascii="Times New Roman" w:cs="Times New Roman" w:eastAsia="Times New Roman" w:hAnsi="Times New Roman"/>
          <w:sz w:val="22"/>
          <w:szCs w:val="22"/>
          <w:u w:val="single" w:color="auto"/>
          <w:color w:val="auto"/>
        </w:rPr>
        <w:t>Registration ETA</w:t>
      </w:r>
      <w:r>
        <w:rPr>
          <w:rFonts w:ascii="Times New Roman" w:cs="Times New Roman" w:eastAsia="Times New Roman" w:hAnsi="Times New Roman"/>
          <w:sz w:val="22"/>
          <w:szCs w:val="22"/>
          <w:color w:val="auto"/>
        </w:rPr>
        <w:t>”), which will be submitted to the appropriate PRC Governmental Authority for the purpose of obtaining the AMR Approval and SAFE Registration Voucher and completing the required Tax reporting and filing. For the avoidance of doubt, should any provision of the Registration ETA conflict with the provisions under this Agreement, this Agreement shall prevail.</w:t>
      </w:r>
    </w:p>
    <w:p>
      <w:pPr>
        <w:spacing w:after="0" w:line="18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9.12</w:t>
      </w:r>
      <w:r>
        <w:rPr>
          <w:sz w:val="20"/>
          <w:szCs w:val="20"/>
          <w:color w:val="auto"/>
        </w:rPr>
        <w:tab/>
      </w:r>
      <w:r>
        <w:rPr>
          <w:rFonts w:ascii="Times New Roman" w:cs="Times New Roman" w:eastAsia="Times New Roman" w:hAnsi="Times New Roman"/>
          <w:sz w:val="21"/>
          <w:szCs w:val="21"/>
          <w:u w:val="single" w:color="auto"/>
          <w:color w:val="auto"/>
        </w:rPr>
        <w:t>Third-Party Beneficiaries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Except as expressly provided herein, this Agreement is for the sole benefit of the Parties and their successors and permitted assigns and nothing herein expressed or implied shall give or be construed to give any Person, other than the Parties and such successors and permitted assigns, any legal or equitable rights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Parties hereto specifically acknowledge and agree that: (a) the provisions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are intended to be for the benefit of, and shall be enforceable by, each Seller Releasee; and (b) the provisions of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are intended to be for the benefit of, and shall be enforceable by, O’Melveny &amp; Myers LLP.</w:t>
      </w:r>
    </w:p>
    <w:p>
      <w:pPr>
        <w:spacing w:after="0" w:line="181"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Severability</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3" w:lineRule="auto"/>
        <w:rPr>
          <w:sz w:val="20"/>
          <w:szCs w:val="20"/>
          <w:color w:val="auto"/>
        </w:rPr>
      </w:pPr>
      <w:r>
        <w:rPr>
          <w:rFonts w:ascii="Times New Roman" w:cs="Times New Roman" w:eastAsia="Times New Roman" w:hAnsi="Times New Roman"/>
          <w:sz w:val="22"/>
          <w:szCs w:val="22"/>
          <w:color w:val="auto"/>
        </w:rPr>
        <w:t>the transactions contemplated hereby is not affected in any manner materially adverse to any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9.14</w:t>
      </w:r>
      <w:r>
        <w:rPr>
          <w:sz w:val="20"/>
          <w:szCs w:val="20"/>
          <w:color w:val="auto"/>
        </w:rPr>
        <w:tab/>
      </w:r>
      <w:r>
        <w:rPr>
          <w:rFonts w:ascii="Times New Roman" w:cs="Times New Roman" w:eastAsia="Times New Roman" w:hAnsi="Times New Roman"/>
          <w:sz w:val="21"/>
          <w:szCs w:val="21"/>
          <w:u w:val="single" w:color="auto"/>
          <w:color w:val="auto"/>
        </w:rPr>
        <w:t>Specific Performance</w:t>
      </w:r>
    </w:p>
    <w:p>
      <w:pPr>
        <w:spacing w:after="0" w:line="220" w:lineRule="exact"/>
        <w:rPr>
          <w:sz w:val="20"/>
          <w:szCs w:val="20"/>
          <w:color w:val="auto"/>
        </w:rPr>
      </w:pPr>
    </w:p>
    <w:p>
      <w:pPr>
        <w:jc w:val="both"/>
        <w:ind w:firstLine="1952"/>
        <w:spacing w:after="0" w:line="248" w:lineRule="auto"/>
        <w:tabs>
          <w:tab w:leader="none" w:pos="258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irreparable damage, for which monetary damages (even if available) would not be an adequate remedy, shall occur in the event that the Parties do not perform the provisions of this Agreement (including failing to take such actions as are required of them hereunder to consummate the transactions contemplated hereby) in accordance with its specified terms or otherwise breach such provisions. Accordingly, subject to </w:t>
      </w:r>
      <w:r>
        <w:rPr>
          <w:rFonts w:ascii="Times New Roman" w:cs="Times New Roman" w:eastAsia="Times New Roman" w:hAnsi="Times New Roman"/>
          <w:sz w:val="22"/>
          <w:szCs w:val="22"/>
          <w:u w:val="single" w:color="auto"/>
          <w:color w:val="auto"/>
        </w:rPr>
        <w:t>Section 9.14(b)</w:t>
      </w:r>
      <w:r>
        <w:rPr>
          <w:rFonts w:ascii="Times New Roman" w:cs="Times New Roman" w:eastAsia="Times New Roman" w:hAnsi="Times New Roman"/>
          <w:sz w:val="22"/>
          <w:szCs w:val="22"/>
          <w:color w:val="auto"/>
        </w:rPr>
        <w:t>, the Parties acknowledge and agree that the Parties shall be entitled to an injunction, specific performance or other similar relief to prevent breaches or threatened breaches of this Agreement, or to enforce compliance with, the Parties’ covenants and obligations under this Agreement, and to enforce specifically the terms and provisions hereof, in addition to any other remedy to which they are entitled at Law or in equity. Each of the Parties agrees that it shall not raise any objections to the availability of the remedy of specific performance to prevent or restrain breaches or threatened breaches of this Agreement, and to specifically enforce the terms and provisions of this Agreement, and shall not oppose the granting of an injunction, specific performance and/or other similar relief on any basis, including the basis that any other Party has an adequate remedy at Law or that any award of an injunction, specific performance and/or other similar relief is not an appropriate remedy for any reason at Law or in equity. Any Party seeking: (i) an injunction or injunctions to prevent or restrain breaches or threatened breaches of this Agreement; (ii) to enforce specifically the terms and provisions of this Agreement; and/or (iii) other similar relief, shall not be required to show proof of actual damages or to provide any bond or other security in connection with any such remedy.</w:t>
      </w:r>
    </w:p>
    <w:p>
      <w:pPr>
        <w:spacing w:after="0" w:line="182" w:lineRule="exact"/>
        <w:rPr>
          <w:rFonts w:ascii="Times New Roman" w:cs="Times New Roman" w:eastAsia="Times New Roman" w:hAnsi="Times New Roman"/>
          <w:sz w:val="22"/>
          <w:szCs w:val="22"/>
          <w:color w:val="auto"/>
        </w:rPr>
      </w:pPr>
    </w:p>
    <w:p>
      <w:pPr>
        <w:jc w:val="both"/>
        <w:ind w:firstLine="1952"/>
        <w:spacing w:after="0" w:line="265" w:lineRule="auto"/>
        <w:tabs>
          <w:tab w:leader="none" w:pos="2587"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to the contrary, however, the Parties hereby acknowledge and agree that Seller shall be entitled to specific performance to cause Purchaser to effect the Closing in accordance with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only if all conditions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have been satisfied (other than any condition the failure of which to be satisfied is attributable, in whole or in substantial part, to a breach by Purchaser of its representations, warranties, covenants or agreements contained in this Agreement and other than conditions that, by their nature, are to be satisfied at the Closing and which were, at the time Seller is seeking specific performance, capable of being satisfied).</w:t>
      </w:r>
    </w:p>
    <w:p>
      <w:pPr>
        <w:spacing w:after="0" w:line="168" w:lineRule="exact"/>
        <w:rPr>
          <w:rFonts w:ascii="Times New Roman" w:cs="Times New Roman" w:eastAsia="Times New Roman" w:hAnsi="Times New Roman"/>
          <w:sz w:val="21"/>
          <w:szCs w:val="21"/>
          <w:color w:val="auto"/>
        </w:rPr>
      </w:pPr>
    </w:p>
    <w:p>
      <w:pPr>
        <w:jc w:val="both"/>
        <w:ind w:firstLine="1952"/>
        <w:spacing w:after="0" w:line="257" w:lineRule="auto"/>
        <w:tabs>
          <w:tab w:leader="none" w:pos="258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remedies available to either Party pursuant to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shall be in addition to any other remedy to collect the Termination Fee pursuant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or any other remedy to which it is entitled at Law or in equity, and the election to pursue an injunction or specific performance shall not restrict, impair or otherwise limit Seller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1" w:right="339" w:bottom="1440" w:gutter="0" w:footer="0" w:header="0"/>
        </w:sectPr>
      </w:pPr>
    </w:p>
    <w:bookmarkStart w:id="151" w:name="page152"/>
    <w:bookmarkEnd w:id="15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seeking to collect or collecting the Termination Fee pursuant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or any other remedy to which it is entitled at Law or in equity.</w:t>
      </w:r>
    </w:p>
    <w:p>
      <w:pPr>
        <w:spacing w:after="0" w:line="158"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u w:val="single" w:color="auto"/>
          <w:color w:val="auto"/>
        </w:rPr>
        <w:t>No Setoff</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Each of the Parties hereto acknowledges and agrees (on its own behalf and on behalf of its Affiliates) that, except as provided under </w:t>
      </w:r>
      <w:r>
        <w:rPr>
          <w:rFonts w:ascii="Times New Roman" w:cs="Times New Roman" w:eastAsia="Times New Roman" w:hAnsi="Times New Roman"/>
          <w:sz w:val="21"/>
          <w:szCs w:val="21"/>
          <w:u w:val="single" w:color="auto"/>
          <w:color w:val="auto"/>
        </w:rPr>
        <w:t>Section 2.4(d)</w:t>
      </w:r>
      <w:r>
        <w:rPr>
          <w:rFonts w:ascii="Times New Roman" w:cs="Times New Roman" w:eastAsia="Times New Roman" w:hAnsi="Times New Roman"/>
          <w:sz w:val="21"/>
          <w:szCs w:val="21"/>
          <w:color w:val="auto"/>
        </w:rPr>
        <w:t>, it and its Affiliates shall have no right hereunder, under any Ancillary Agreement or pursuant to applicable Law to, and shall not, offset any amounts due and owing (or that becomes due and owing) pursuant to this Agreement or any Ancillary Agreement to any other party hereto or thereto or such other party’s Affiliates against any amounts due and owing to such party or such party’s Affiliates pursuant to this Agreement, the Ancillary Agreements or any other Contract.</w:t>
      </w:r>
    </w:p>
    <w:p>
      <w:pPr>
        <w:spacing w:after="0" w:line="179"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9.16</w:t>
      </w:r>
      <w:r>
        <w:rPr>
          <w:sz w:val="20"/>
          <w:szCs w:val="20"/>
          <w:color w:val="auto"/>
        </w:rPr>
        <w:tab/>
      </w:r>
      <w:r>
        <w:rPr>
          <w:rFonts w:ascii="Times New Roman" w:cs="Times New Roman" w:eastAsia="Times New Roman" w:hAnsi="Times New Roman"/>
          <w:sz w:val="21"/>
          <w:szCs w:val="21"/>
          <w:u w:val="single" w:color="auto"/>
          <w:color w:val="auto"/>
        </w:rPr>
        <w:t>Construction</w:t>
      </w:r>
    </w:p>
    <w:p>
      <w:pPr>
        <w:spacing w:after="0" w:line="220" w:lineRule="exact"/>
        <w:rPr>
          <w:sz w:val="20"/>
          <w:szCs w:val="20"/>
          <w:color w:val="auto"/>
        </w:rPr>
      </w:pPr>
    </w:p>
    <w:p>
      <w:pPr>
        <w:jc w:val="both"/>
        <w:ind w:firstLine="1952"/>
        <w:spacing w:after="0" w:line="258" w:lineRule="auto"/>
        <w:tabs>
          <w:tab w:leader="none" w:pos="2589"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headings contained in this Agreement are solely for the purpose of reference, are not part of the agreement of the Parties and shall not in any way affect the meaning or interpretation of this Agreement. As used in this Agreement: (i) words in the singular shall be held to include the plural and vice versa and words of one gender shall be held to include the other genders as the context requires; (ii) the words “hereof,” “herein,” and “herewith” and words of similar import shall, unless the context otherwise states or requires, refer to this Agreement as a whole (including the Seller Disclosure Letter and the Exhibits, schedules and annexes hereto and thereto) and not to any particular provision of this Agreement, and all references to the preamble, recitals, Sections, Articles, Exhibits or Seller Disclosure Letter are to the preamble, recitals, Sections, Articles, Exhibits or Seller Disclosure Letter of, or to, this Agreement; (iii) the word “or” shall not be exclusive; (iv) the words “date hereof” shall mean the date of this Agreement, as set forth in the preamble hereto; (v) Purchaser and Seller shall be referred to herein individually as a “Party” and collectively as “Parties” (except where the context otherwise requires); (vi) any reference to any federal, state, local or non-U.S. statute or other Law shall be deemed also to refer to all rules and regulations promulgated thereunder; (vii)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last calendar day of such period is a non-Business Day, the period in question shall end on the next succeeding Business Day; (viii) the measure of a period of one (1) month or year for the purposes of this Agreement shall be the date of the following month or year corresponding to the starting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no corresponding date exists, then the end date of such period being measured shall be the next actual date of the following month or year (for example, one (1) month following February 18 is March 18 and one (1) month following March 31 is May 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last calendar day of such period is a non-Business Day, then the period in question shall end on the next succeeding Business Day; and (ix) for the purposes of this Agreement, references to the term “delivered by Seller,” “delivered to Purchaser,” “furnished to Purchaser,” “made available to Purchaser” or similar expressions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mean that Seller has:</w:t>
      </w:r>
    </w:p>
    <w:p>
      <w:pPr>
        <w:spacing w:after="0" w:line="1" w:lineRule="exact"/>
        <w:rPr>
          <w:rFonts w:ascii="Times New Roman" w:cs="Times New Roman" w:eastAsia="Times New Roman" w:hAnsi="Times New Roman"/>
          <w:sz w:val="21"/>
          <w:szCs w:val="21"/>
          <w:color w:val="auto"/>
        </w:rPr>
      </w:pPr>
    </w:p>
    <w:p>
      <w:pPr>
        <w:ind w:firstLine="8"/>
        <w:spacing w:after="0" w:line="259" w:lineRule="auto"/>
        <w:tabs>
          <w:tab w:leader="none" w:pos="36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posted such materials to the VDR, in a manner that enables viewing of such materials by Purchaser and its Representatives no later than two (2)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1"/>
          <w:szCs w:val="21"/>
          <w:color w:val="auto"/>
        </w:rPr>
        <w:t>immediately prior to the date of the Original Agreement or (B) set forth a copy of such materials in the Seller Disclosure Letter.</w:t>
      </w:r>
    </w:p>
    <w:p>
      <w:pPr>
        <w:spacing w:after="0" w:line="231" w:lineRule="exact"/>
        <w:rPr>
          <w:sz w:val="20"/>
          <w:szCs w:val="20"/>
          <w:color w:val="auto"/>
        </w:rPr>
      </w:pPr>
    </w:p>
    <w:p>
      <w:pPr>
        <w:jc w:val="both"/>
        <w:ind w:firstLine="1952"/>
        <w:spacing w:after="0" w:line="256" w:lineRule="auto"/>
        <w:tabs>
          <w:tab w:leader="none" w:pos="258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76"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9.17</w:t>
      </w:r>
      <w:r>
        <w:rPr>
          <w:sz w:val="20"/>
          <w:szCs w:val="20"/>
          <w:color w:val="auto"/>
        </w:rPr>
        <w:tab/>
      </w:r>
      <w:r>
        <w:rPr>
          <w:rFonts w:ascii="Times New Roman" w:cs="Times New Roman" w:eastAsia="Times New Roman" w:hAnsi="Times New Roman"/>
          <w:sz w:val="21"/>
          <w:szCs w:val="21"/>
          <w:u w:val="single" w:color="auto"/>
          <w:color w:val="auto"/>
        </w:rPr>
        <w:t>No Recourse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Purchaser acknowledges and agrees that no recourse under this Agreement or any documents or instruments delivered in connection with this Agreement (including, without limitation, the Ancillary Agreements) shall be had against any past, present or future director, officer, agent, employee, member, partner, shareholder, Affiliate or Representative of Seller or of any of its Affiliate or assignee thereof, as such,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past, present or future director, officer, agent, employee, member, partner, shareholder, Affiliate or Representative of Seller or of any of its Affiliate or assignee thereof, as such, for any obligation of Seller under this Agreement or any documents or instruments delivered in connection with this Agreement for any claim based on, in respect of or by reason of such obligations or their creation.</w:t>
      </w:r>
    </w:p>
    <w:p>
      <w:pPr>
        <w:spacing w:after="0" w:line="180" w:lineRule="exact"/>
        <w:rPr>
          <w:sz w:val="20"/>
          <w:szCs w:val="20"/>
          <w:color w:val="auto"/>
        </w:rPr>
      </w:pPr>
    </w:p>
    <w:p>
      <w:pPr>
        <w:ind w:left="192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9.18</w:t>
      </w:r>
      <w:r>
        <w:rPr>
          <w:sz w:val="20"/>
          <w:szCs w:val="20"/>
          <w:color w:val="auto"/>
        </w:rPr>
        <w:tab/>
      </w:r>
      <w:r>
        <w:rPr>
          <w:rFonts w:ascii="Times New Roman" w:cs="Times New Roman" w:eastAsia="Times New Roman" w:hAnsi="Times New Roman"/>
          <w:sz w:val="21"/>
          <w:szCs w:val="21"/>
          <w:u w:val="single" w:color="auto"/>
          <w:color w:val="auto"/>
        </w:rPr>
        <w:t>Currency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Whenever conversion of values to or from any foreign currency for a particular date or period shall be required pursuant to this Agreement, such conversion shall be made using the closing mid-point rate for exchanges between those currencies quoted on the website of the People’s Bank of China (e.g., for conversion between RMB and USD) for (a) the nearest Business Day for which that rate is so quoted on or prior to the Business Day of the conversion for all amounts (the “</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22"/>
          <w:szCs w:val="22"/>
          <w:color w:val="auto"/>
        </w:rPr>
        <w:t xml:space="preserve">When calculating whether or not a Loss exceeds the thresholds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Losses shall be converted into U.S. Dollar by applying the Exchange Rate as of the date that the applicable indemnification claim is being made by a Party pursuant to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153" w:name="page154"/>
    <w:bookmarkEnd w:id="153"/>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Party hereto has caused this Agreement to be duly executed by its authorized signatory as of the date first written above.</w:t>
      </w:r>
    </w:p>
    <w:p>
      <w:pPr>
        <w:spacing w:after="0" w:line="18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b w:val="1"/>
          <w:bCs w:val="1"/>
          <w:color w:val="auto"/>
        </w:rPr>
        <w:t>SanDisk China Limited</w:t>
      </w:r>
    </w:p>
    <w:p>
      <w:pPr>
        <w:spacing w:after="0" w:line="200" w:lineRule="exact"/>
        <w:rPr>
          <w:sz w:val="20"/>
          <w:szCs w:val="20"/>
          <w:color w:val="auto"/>
        </w:rPr>
      </w:pPr>
    </w:p>
    <w:p>
      <w:pPr>
        <w:spacing w:after="0" w:line="3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By: /s/ Brandi Steege</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Name: Brandi Steege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-160020</wp:posOffset>
            </wp:positionV>
            <wp:extent cx="2168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Title: Director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Amended and Restated Equity Purchase Agreement]</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Party hereto has caused this Agreement to be duly executed by its authorized signatory as of the date first written above.</w:t>
      </w:r>
    </w:p>
    <w:p>
      <w:pPr>
        <w:spacing w:after="0" w:line="142" w:lineRule="exact"/>
        <w:rPr>
          <w:sz w:val="20"/>
          <w:szCs w:val="20"/>
          <w:color w:val="auto"/>
        </w:rPr>
      </w:pPr>
    </w:p>
    <w:p>
      <w:pPr>
        <w:ind w:left="6300"/>
        <w:spacing w:after="0" w:line="268" w:lineRule="exact"/>
        <w:rPr>
          <w:sz w:val="20"/>
          <w:szCs w:val="20"/>
          <w:color w:val="auto"/>
        </w:rPr>
      </w:pPr>
      <w:r>
        <w:rPr>
          <w:rFonts w:ascii="Times New Roman" w:cs="Times New Roman" w:eastAsia="Times New Roman" w:hAnsi="Times New Roman"/>
          <w:sz w:val="22"/>
          <w:szCs w:val="22"/>
          <w:b w:val="1"/>
          <w:bCs w:val="1"/>
          <w:color w:val="auto"/>
        </w:rPr>
        <w:t>JCET Management Co., Ltd. (</w:t>
      </w:r>
      <w:r>
        <w:rPr>
          <w:rFonts w:ascii="SimSun" w:cs="SimSun" w:eastAsia="SimSun" w:hAnsi="SimSun"/>
          <w:sz w:val="22"/>
          <w:szCs w:val="22"/>
          <w:color w:val="auto"/>
          <w:highlight w:val="black"/>
        </w:rPr>
        <w:t>长电</w:t>
      </w:r>
    </w:p>
    <w:p>
      <w:pPr>
        <w:ind w:left="6300"/>
        <w:spacing w:after="0" w:line="268" w:lineRule="exact"/>
        <w:rPr>
          <w:sz w:val="20"/>
          <w:szCs w:val="20"/>
          <w:color w:val="auto"/>
        </w:rPr>
      </w:pPr>
      <w:r>
        <w:rPr>
          <w:rFonts w:ascii="SimSun" w:cs="SimSun" w:eastAsia="SimSun" w:hAnsi="SimSun"/>
          <w:sz w:val="22"/>
          <w:szCs w:val="22"/>
          <w:color w:val="auto"/>
          <w:highlight w:val="black"/>
        </w:rPr>
        <w:t>科技管理有限公司</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b w:val="1"/>
          <w:bCs w:val="1"/>
          <w:color w:val="auto"/>
        </w:rPr>
        <w:t>(Company Chop)</w:t>
      </w:r>
    </w:p>
    <w:p>
      <w:pPr>
        <w:spacing w:after="0" w:line="29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By: /s/ Li Zheng</w:t>
      </w:r>
    </w:p>
    <w:p>
      <w:pPr>
        <w:spacing w:after="0" w:line="31" w:lineRule="exact"/>
        <w:rPr>
          <w:sz w:val="20"/>
          <w:szCs w:val="20"/>
          <w:color w:val="auto"/>
        </w:rPr>
      </w:pPr>
    </w:p>
    <w:p>
      <w:pPr>
        <w:ind w:left="6300"/>
        <w:spacing w:after="0" w:line="268" w:lineRule="exact"/>
        <w:rPr>
          <w:sz w:val="20"/>
          <w:szCs w:val="20"/>
          <w:color w:val="auto"/>
        </w:rPr>
      </w:pPr>
      <w:r>
        <w:rPr>
          <w:rFonts w:ascii="Times New Roman" w:cs="Times New Roman" w:eastAsia="Times New Roman" w:hAnsi="Times New Roman"/>
          <w:sz w:val="22"/>
          <w:szCs w:val="22"/>
          <w:color w:val="auto"/>
        </w:rPr>
        <w:t>Name: Li Zheng (</w:t>
      </w:r>
      <w:r>
        <w:rPr>
          <w:rFonts w:ascii="SimSun" w:cs="SimSun" w:eastAsia="SimSun" w:hAnsi="SimSun"/>
          <w:sz w:val="22"/>
          <w:szCs w:val="22"/>
          <w:color w:val="auto"/>
        </w:rPr>
        <w:t>郑力</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-168910</wp:posOffset>
            </wp:positionV>
            <wp:extent cx="2168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Amended and Restated Equity Purchase Agreement]</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Without becoming a party to this Agreement, Western Digital Technologies, Inc. (“</w:t>
      </w:r>
      <w:r>
        <w:rPr>
          <w:rFonts w:ascii="Times New Roman" w:cs="Times New Roman" w:eastAsia="Times New Roman" w:hAnsi="Times New Roman"/>
          <w:sz w:val="22"/>
          <w:szCs w:val="22"/>
          <w:u w:val="single" w:color="auto"/>
          <w:color w:val="auto"/>
        </w:rPr>
        <w:t>WDT</w:t>
      </w:r>
      <w:r>
        <w:rPr>
          <w:rFonts w:ascii="Times New Roman" w:cs="Times New Roman" w:eastAsia="Times New Roman" w:hAnsi="Times New Roman"/>
          <w:sz w:val="22"/>
          <w:szCs w:val="22"/>
          <w:color w:val="auto"/>
        </w:rPr>
        <w:t>”) hereby assumes joint and several liability with Seller for any amounts payable by Seller to Purchaser hereunder (the “</w:t>
      </w:r>
      <w:r>
        <w:rPr>
          <w:rFonts w:ascii="Times New Roman" w:cs="Times New Roman" w:eastAsia="Times New Roman" w:hAnsi="Times New Roman"/>
          <w:sz w:val="22"/>
          <w:szCs w:val="22"/>
          <w:u w:val="single" w:color="auto"/>
          <w:color w:val="auto"/>
        </w:rPr>
        <w:t>Seller Payment Guarantee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WDT shall be permitted to assign and transfer the Seller Payment Guarantee to the proposed successor in interest of the flash business in connection with the Flash Spin-off (the “</w:t>
      </w:r>
      <w:r>
        <w:rPr>
          <w:rFonts w:ascii="Times New Roman" w:cs="Times New Roman" w:eastAsia="Times New Roman" w:hAnsi="Times New Roman"/>
          <w:sz w:val="22"/>
          <w:szCs w:val="22"/>
          <w:u w:val="single" w:color="auto"/>
          <w:color w:val="auto"/>
        </w:rPr>
        <w:t>Flash Spin-off Successor</w:t>
      </w:r>
      <w:r>
        <w:rPr>
          <w:rFonts w:ascii="Times New Roman" w:cs="Times New Roman" w:eastAsia="Times New Roman" w:hAnsi="Times New Roman"/>
          <w:sz w:val="22"/>
          <w:szCs w:val="22"/>
          <w:color w:val="auto"/>
        </w:rPr>
        <w:t>”) so long as such assignee has credibility for performing such undertaking and has consolidated net assets of no less than One Billion U.S. Dollars (US$1,000,000,000). In connection with such assignment, the Flash Spin-off Successor shall execute and deliver a written undertaking to Purchaser expressly assuming the Seller Payment Guarantee and upon delivery thereof, WDT shall be fully relieved of the Seller Payment Guarantee and have no continuing obligations hereunder.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WDT warrants and undertakes to Purchaser as below:</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WDT has the requisite corporate or other similar power, as applicable, and has the authority to execute and deliver this Agreement, and to provide the Seller Payment Guarantee. The execution and delivery of this undertaking and the consummation of the obligation contemplated herein has been duly and validly authorized by all requisite corporate, partnership or limited liability company or other similar action, as applicable on the part of WDT. This undertaking shall upon such execution and delivery by WDT to Purchaser, be the legal, valid and binding obligations of WDT, enforceable against WDT in accordance with it terms.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WDT acknowledges and accepts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(Governing Law) and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(Dispute Resolution), and such provisions are binding and enforceable against WDT as if it were a party thereto.</w:t>
      </w:r>
    </w:p>
    <w:p>
      <w:pPr>
        <w:spacing w:after="0" w:line="18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b w:val="1"/>
          <w:bCs w:val="1"/>
          <w:color w:val="auto"/>
        </w:rPr>
        <w:t>Western Digital Technologies, Inc.</w:t>
      </w:r>
    </w:p>
    <w:p>
      <w:pPr>
        <w:spacing w:after="0" w:line="200" w:lineRule="exact"/>
        <w:rPr>
          <w:sz w:val="20"/>
          <w:szCs w:val="20"/>
          <w:color w:val="auto"/>
        </w:rPr>
      </w:pPr>
    </w:p>
    <w:p>
      <w:pPr>
        <w:spacing w:after="0" w:line="3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By: /s/ Brandi Steege</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Name: Brandi Steege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-160020</wp:posOffset>
            </wp:positionV>
            <wp:extent cx="21685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Amended and Restated Equity Purchase Agreement]</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Without becoming a party to this Agreement, STATS ChipPAC Pte. Ltd. (“</w:t>
      </w:r>
      <w:r>
        <w:rPr>
          <w:rFonts w:ascii="Times New Roman" w:cs="Times New Roman" w:eastAsia="Times New Roman" w:hAnsi="Times New Roman"/>
          <w:sz w:val="22"/>
          <w:szCs w:val="22"/>
          <w:u w:val="single" w:color="auto"/>
          <w:color w:val="auto"/>
        </w:rPr>
        <w:t>STATS ChipPAC</w:t>
      </w:r>
      <w:r>
        <w:rPr>
          <w:rFonts w:ascii="Times New Roman" w:cs="Times New Roman" w:eastAsia="Times New Roman" w:hAnsi="Times New Roman"/>
          <w:sz w:val="22"/>
          <w:szCs w:val="22"/>
          <w:color w:val="auto"/>
        </w:rPr>
        <w:t>”) hereby assumes joint and several liability with Purchaser for the Purchaser Termination Fee payable by Purchaser to Seller hereunder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Guarantee</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STATS ChipPAC warrants and undertakes to Seller as below:</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STATS ChipPAC has the requisite corporate or other similar power, as applicable, and has the authority to execute and deliver this guarantee, and to provide the Purchaser Corporate Guarantee. The execution and delivery of this undertaking and the consummation of the obligation contemplated herein has been duly and validly authorized by all requisite corporate, partnership or limited liability company or other similar action, as applicable on the part of STATS ChipPAC. This undertaking shall upon such execution and delivery by STATS ChipPAC to Seller, be the legal, valid and binding obligation of STATS ChipPAC, enforceable against STATS ChipPAC in accordance with it terms.</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STATS ChipPAC acknowledges and accepts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(Governing Law) and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(Dispute Resolution), and such provisions are binding and enforceable against STATS ChipPAC as if it were a party thereto.</w:t>
      </w:r>
    </w:p>
    <w:p>
      <w:pPr>
        <w:spacing w:after="0" w:line="18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b w:val="1"/>
          <w:bCs w:val="1"/>
          <w:color w:val="auto"/>
        </w:rPr>
        <w:t>STATS ChipPAC Pte. Ltd.</w:t>
      </w:r>
    </w:p>
    <w:p>
      <w:pPr>
        <w:spacing w:after="0" w:line="200" w:lineRule="exact"/>
        <w:rPr>
          <w:sz w:val="20"/>
          <w:szCs w:val="20"/>
          <w:color w:val="auto"/>
        </w:rPr>
      </w:pPr>
    </w:p>
    <w:p>
      <w:pPr>
        <w:spacing w:after="0" w:line="3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By: /s/ Li Zheng</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Name: Li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-160020</wp:posOffset>
            </wp:positionV>
            <wp:extent cx="2168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Title: Director and Chief Executive</w:t>
      </w:r>
    </w:p>
    <w:p>
      <w:pPr>
        <w:ind w:left="630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Amended and Restated Equity Purchase Agreement]</w:t>
      </w:r>
    </w:p>
    <w:p>
      <w:pPr>
        <w:sectPr>
          <w:pgSz w:w="11900" w:h="16838" w:orient="portrait"/>
          <w:cols w:equalWidth="0" w:num="1">
            <w:col w:w="11240"/>
          </w:cols>
          <w:pgMar w:left="320" w:top="144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ectPr>
          <w:pgSz w:w="11900" w:h="16838" w:orient="portrait"/>
          <w:cols w:equalWidth="0" w:num="1">
            <w:col w:w="11240"/>
          </w:cols>
          <w:pgMar w:left="320" w:top="88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Wissam Jabre, certify that:</w:t>
      </w:r>
    </w:p>
    <w:p>
      <w:pPr>
        <w:spacing w:after="0" w:line="104" w:lineRule="exact"/>
        <w:rPr>
          <w:sz w:val="20"/>
          <w:szCs w:val="20"/>
          <w:color w:val="auto"/>
        </w:rPr>
      </w:pPr>
    </w:p>
    <w:p>
      <w:pPr>
        <w:ind w:left="520" w:hanging="188"/>
        <w:spacing w:after="0"/>
        <w:tabs>
          <w:tab w:leader="none" w:pos="5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ectPr>
          <w:pgSz w:w="11900" w:h="16838" w:orient="portrait"/>
          <w:cols w:equalWidth="0" w:num="1">
            <w:col w:w="11240"/>
          </w:cols>
          <w:pgMar w:left="320" w:top="887" w:right="339" w:bottom="1440" w:gutter="0" w:footer="0" w:header="0"/>
        </w:sectPr>
      </w:pPr>
    </w:p>
    <w:bookmarkStart w:id="159" w:name="page160"/>
    <w:bookmarkEnd w:id="15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60" w:firstLine="332"/>
        <w:spacing w:after="0" w:line="282" w:lineRule="auto"/>
        <w:tabs>
          <w:tab w:leader="none" w:pos="53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September 27, 2024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ectPr>
          <w:pgSz w:w="11900" w:h="16838" w:orient="portrait"/>
          <w:cols w:equalWidth="0" w:num="1">
            <w:col w:w="11240"/>
          </w:cols>
          <w:pgMar w:left="320" w:top="887" w:right="339" w:bottom="1440" w:gutter="0" w:footer="0" w:header="0"/>
        </w:sectPr>
      </w:pPr>
    </w:p>
    <w:bookmarkStart w:id="160" w:name="page161"/>
    <w:bookmarkEnd w:id="16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60" w:firstLine="332"/>
        <w:spacing w:after="0" w:line="282" w:lineRule="auto"/>
        <w:tabs>
          <w:tab w:leader="none" w:pos="53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September 27, 2024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1)"/>
      <w:numFmt w:val="decimal"/>
      <w:start w:val="1"/>
    </w:lvl>
  </w:abstractNum>
  <w:abstractNum w:abstractNumId="4">
    <w:nsid w:val="14E17E33"/>
    <w:multiLevelType w:val="hybridMultilevel"/>
    <w:lvl w:ilvl="0">
      <w:lvlJc w:val="left"/>
      <w:lvlText w:val="(%1)"/>
      <w:numFmt w:val="decimal"/>
      <w:start w:val="1"/>
    </w:lvl>
  </w:abstractNum>
  <w:abstractNum w:abstractNumId="5">
    <w:nsid w:val="3222E7CD"/>
    <w:multiLevelType w:val="hybridMultilevel"/>
    <w:lvl w:ilvl="0">
      <w:lvlJc w:val="left"/>
      <w:lvlText w:val="(%1)"/>
      <w:numFmt w:val="decimal"/>
      <w:start w:val="1"/>
    </w:lvl>
  </w:abstractNum>
  <w:abstractNum w:abstractNumId="6">
    <w:nsid w:val="74DE0EE3"/>
    <w:multiLevelType w:val="hybridMultilevel"/>
    <w:lvl w:ilvl="0">
      <w:lvlJc w:val="left"/>
      <w:lvlText w:val="(%1)"/>
      <w:numFmt w:val="decimal"/>
      <w:start w:val="1"/>
    </w:lvl>
  </w:abstractNum>
  <w:abstractNum w:abstractNumId="7">
    <w:nsid w:val="68EBC550"/>
    <w:multiLevelType w:val="hybridMultilevel"/>
    <w:lvl w:ilvl="0">
      <w:lvlJc w:val="left"/>
      <w:lvlText w:val="(%1)"/>
      <w:numFmt w:val="decimal"/>
      <w:start w:val="1"/>
    </w:lvl>
  </w:abstractNum>
  <w:abstractNum w:abstractNumId="8">
    <w:nsid w:val="2DF6D648"/>
    <w:multiLevelType w:val="hybridMultilevel"/>
    <w:lvl w:ilvl="0">
      <w:lvlJc w:val="left"/>
      <w:lvlText w:val="(%1)"/>
      <w:numFmt w:val="decimal"/>
      <w:start w:val="1"/>
    </w:lvl>
  </w:abstractNum>
  <w:abstractNum w:abstractNumId="9">
    <w:nsid w:val="46B7D447"/>
    <w:multiLevelType w:val="hybridMultilevel"/>
    <w:lvl w:ilvl="0">
      <w:lvlJc w:val="left"/>
      <w:lvlText w:val="(%1)"/>
      <w:numFmt w:val="lowerRoman"/>
      <w:start w:val="2"/>
    </w:lvl>
  </w:abstractNum>
  <w:abstractNum w:abstractNumId="10">
    <w:nsid w:val="4A2AC315"/>
    <w:multiLevelType w:val="hybridMultilevel"/>
    <w:lvl w:ilvl="0">
      <w:lvlJc w:val="left"/>
      <w:lvlText w:val="(%1)"/>
      <w:numFmt w:val="lowerRoman"/>
      <w:start w:val="4"/>
    </w:lvl>
  </w:abstractNum>
  <w:abstractNum w:abstractNumId="11">
    <w:nsid w:val="39EE015C"/>
    <w:multiLevelType w:val="hybridMultilevel"/>
    <w:lvl w:ilvl="0">
      <w:lvlJc w:val="left"/>
      <w:lvlText w:val="†"/>
      <w:numFmt w:val="bullet"/>
      <w:start w:val="1"/>
    </w:lvl>
    <w:lvl w:ilvl="1">
      <w:lvlJc w:val="left"/>
      <w:lvlText w:val="%2"/>
      <w:numFmt w:val="decimal"/>
      <w:start w:val="104"/>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1."/>
      <w:numFmt w:val="decimal"/>
      <w:start w:val="1"/>
    </w:lvl>
  </w:abstractNum>
  <w:abstractNum w:abstractNumId="15">
    <w:nsid w:val="60EF0119"/>
    <w:multiLevelType w:val="hybridMultilevel"/>
    <w:lvl w:ilvl="0">
      <w:lvlJc w:val="left"/>
      <w:lvlText w:val="%1."/>
      <w:numFmt w:val="decimal"/>
      <w:start w:val="2"/>
    </w:lvl>
    <w:lvl w:ilvl="1">
      <w:lvlJc w:val="left"/>
      <w:lvlText w:val="(%2)"/>
      <w:numFmt w:val="lowerLetter"/>
      <w:start w:val="1"/>
    </w:lvl>
  </w:abstractNum>
  <w:abstractNum w:abstractNumId="16">
    <w:nsid w:val="26F324BA"/>
    <w:multiLevelType w:val="hybridMultilevel"/>
    <w:lvl w:ilvl="0">
      <w:lvlJc w:val="left"/>
      <w:lvlText w:val="(%1)"/>
      <w:numFmt w:val="lowerRoman"/>
      <w:start w:val="1"/>
    </w:lvl>
  </w:abstractNum>
  <w:abstractNum w:abstractNumId="17">
    <w:nsid w:val="7F01579B"/>
    <w:multiLevelType w:val="hybridMultilevel"/>
    <w:lvl w:ilvl="0">
      <w:lvlJc w:val="left"/>
      <w:lvlText w:val="(%1)"/>
      <w:numFmt w:val="lowerRoman"/>
      <w:start w:val="2"/>
    </w:lvl>
  </w:abstractNum>
  <w:abstractNum w:abstractNumId="18">
    <w:nsid w:val="49DA307D"/>
    <w:multiLevelType w:val="hybridMultilevel"/>
    <w:lvl w:ilvl="0">
      <w:lvlJc w:val="left"/>
      <w:lvlText w:val="%1"/>
      <w:numFmt w:val="decimal"/>
      <w:start w:val="1"/>
    </w:lvl>
    <w:lvl w:ilvl="1">
      <w:lvlJc w:val="left"/>
      <w:lvlText w:val="(%2)"/>
      <w:numFmt w:val="lowerLetter"/>
      <w:start w:val="4"/>
    </w:lvl>
  </w:abstractNum>
  <w:abstractNum w:abstractNumId="19">
    <w:nsid w:val="7055A5F5"/>
    <w:multiLevelType w:val="hybridMultilevel"/>
    <w:lvl w:ilvl="0">
      <w:lvlJc w:val="left"/>
      <w:lvlText w:val="%1."/>
      <w:numFmt w:val="decimal"/>
      <w:start w:val="3"/>
    </w:lvl>
    <w:lvl w:ilvl="1">
      <w:lvlJc w:val="left"/>
      <w:lvlText w:val="(%2)"/>
      <w:numFmt w:val="lowerLetter"/>
      <w:start w:val="1"/>
    </w:lvl>
  </w:abstractNum>
  <w:abstractNum w:abstractNumId="20">
    <w:nsid w:val="5FB8370B"/>
    <w:multiLevelType w:val="hybridMultilevel"/>
    <w:lvl w:ilvl="0">
      <w:lvlJc w:val="left"/>
      <w:lvlText w:val="%1"/>
      <w:numFmt w:val="decimal"/>
      <w:start w:val="1"/>
    </w:lvl>
    <w:lvl w:ilvl="1">
      <w:lvlJc w:val="left"/>
      <w:lvlText w:val="(%2)"/>
      <w:numFmt w:val="lowerLetter"/>
      <w:start w:val="2"/>
    </w:lvl>
  </w:abstractNum>
  <w:abstractNum w:abstractNumId="21">
    <w:nsid w:val="50801EE1"/>
    <w:multiLevelType w:val="hybridMultilevel"/>
    <w:lvl w:ilvl="0">
      <w:lvlJc w:val="left"/>
      <w:lvlText w:val="%1."/>
      <w:numFmt w:val="decimal"/>
      <w:start w:val="4"/>
    </w:lvl>
    <w:lvl w:ilvl="1">
      <w:lvlJc w:val="left"/>
      <w:lvlText w:val="%2"/>
      <w:numFmt w:val="lowerLetter"/>
      <w:start w:val="1"/>
    </w:lvl>
  </w:abstractNum>
  <w:abstractNum w:abstractNumId="22">
    <w:nsid w:val="488AC1A"/>
    <w:multiLevelType w:val="hybridMultilevel"/>
    <w:lvl w:ilvl="0">
      <w:lvlJc w:val="left"/>
      <w:lvlText w:val="%1."/>
      <w:numFmt w:val="decimal"/>
      <w:start w:val="5"/>
    </w:lvl>
  </w:abstractNum>
  <w:abstractNum w:abstractNumId="23">
    <w:nsid w:val="5FB8011C"/>
    <w:multiLevelType w:val="hybridMultilevel"/>
    <w:lvl w:ilvl="0">
      <w:lvlJc w:val="left"/>
      <w:lvlText w:val="%1."/>
      <w:numFmt w:val="decimal"/>
      <w:start w:val="6"/>
    </w:lvl>
  </w:abstractNum>
  <w:abstractNum w:abstractNumId="24">
    <w:nsid w:val="6AA78F7F"/>
    <w:multiLevelType w:val="hybridMultilevel"/>
    <w:lvl w:ilvl="0">
      <w:lvlJc w:val="left"/>
      <w:lvlText w:val="%1."/>
      <w:numFmt w:val="decimal"/>
      <w:start w:val="7"/>
    </w:lvl>
  </w:abstractNum>
  <w:abstractNum w:abstractNumId="25">
    <w:nsid w:val="7672BD23"/>
    <w:multiLevelType w:val="hybridMultilevel"/>
    <w:lvl w:ilvl="0">
      <w:lvlJc w:val="left"/>
      <w:lvlText w:val="%1."/>
      <w:numFmt w:val="decimal"/>
      <w:start w:val="8"/>
    </w:lvl>
  </w:abstractNum>
  <w:abstractNum w:abstractNumId="26">
    <w:nsid w:val="6FC75AF8"/>
    <w:multiLevelType w:val="hybridMultilevel"/>
    <w:lvl w:ilvl="0">
      <w:lvlJc w:val="left"/>
      <w:lvlText w:val="%1."/>
      <w:numFmt w:val="decimal"/>
      <w:start w:val="9"/>
    </w:lvl>
    <w:lvl w:ilvl="1">
      <w:lvlJc w:val="left"/>
      <w:lvlText w:val="(%2)"/>
      <w:numFmt w:val="lowerLetter"/>
      <w:start w:val="1"/>
    </w:lvl>
  </w:abstractNum>
  <w:abstractNum w:abstractNumId="27">
    <w:nsid w:val="6A5F7029"/>
    <w:multiLevelType w:val="hybridMultilevel"/>
    <w:lvl w:ilvl="0">
      <w:lvlJc w:val="left"/>
      <w:lvlText w:val="%1."/>
      <w:numFmt w:val="decimal"/>
      <w:start w:val="11"/>
    </w:lvl>
  </w:abstractNum>
  <w:abstractNum w:abstractNumId="28">
    <w:nsid w:val="7D5E18F8"/>
    <w:multiLevelType w:val="hybridMultilevel"/>
    <w:lvl w:ilvl="0">
      <w:lvlJc w:val="left"/>
      <w:lvlText w:val="%1."/>
      <w:numFmt w:val="decimal"/>
      <w:start w:val="12"/>
    </w:lvl>
  </w:abstractNum>
  <w:abstractNum w:abstractNumId="29">
    <w:nsid w:val="5F3534A4"/>
    <w:multiLevelType w:val="hybridMultilevel"/>
    <w:lvl w:ilvl="0">
      <w:lvlJc w:val="left"/>
      <w:lvlText w:val="%1."/>
      <w:numFmt w:val="decimal"/>
      <w:start w:val="1"/>
    </w:lvl>
  </w:abstractNum>
  <w:abstractNum w:abstractNumId="30">
    <w:nsid w:val="73A1821B"/>
    <w:multiLevelType w:val="hybridMultilevel"/>
    <w:lvl w:ilvl="0">
      <w:lvlJc w:val="left"/>
      <w:lvlText w:val="%1."/>
      <w:numFmt w:val="decimal"/>
      <w:start w:val="2"/>
    </w:lvl>
  </w:abstractNum>
  <w:abstractNum w:abstractNumId="31">
    <w:nsid w:val="7DE67713"/>
    <w:multiLevelType w:val="hybridMultilevel"/>
    <w:lvl w:ilvl="0">
      <w:lvlJc w:val="left"/>
      <w:lvlText w:val="%1."/>
      <w:numFmt w:val="decimal"/>
      <w:start w:val="3"/>
    </w:lvl>
  </w:abstractNum>
  <w:abstractNum w:abstractNumId="32">
    <w:nsid w:val="555C55B5"/>
    <w:multiLevelType w:val="hybridMultilevel"/>
    <w:lvl w:ilvl="0">
      <w:lvlJc w:val="left"/>
      <w:lvlText w:val="%1"/>
      <w:numFmt w:val="decimal"/>
      <w:start w:val="1"/>
    </w:lvl>
    <w:lvl w:ilvl="1">
      <w:lvlJc w:val="left"/>
      <w:lvlText w:val="(%2)"/>
      <w:numFmt w:val="lowerLetter"/>
      <w:start w:val="1"/>
    </w:lvl>
  </w:abstractNum>
  <w:abstractNum w:abstractNumId="33">
    <w:nsid w:val="3FA62ACA"/>
    <w:multiLevelType w:val="hybridMultilevel"/>
    <w:lvl w:ilvl="0">
      <w:lvlJc w:val="left"/>
      <w:lvlText w:val="%1."/>
      <w:numFmt w:val="decimal"/>
      <w:start w:val="4"/>
    </w:lvl>
    <w:lvl w:ilvl="1">
      <w:lvlJc w:val="left"/>
      <w:lvlText w:val="%2"/>
      <w:numFmt w:val="lowerLetter"/>
      <w:start w:val="1"/>
    </w:lvl>
  </w:abstractNum>
  <w:abstractNum w:abstractNumId="34">
    <w:nsid w:val="14FCE74E"/>
    <w:multiLevelType w:val="hybridMultilevel"/>
    <w:lvl w:ilvl="0">
      <w:lvlJc w:val="left"/>
      <w:lvlText w:val="(%1)"/>
      <w:numFmt w:val="lowerLetter"/>
      <w:start w:val="1"/>
    </w:lvl>
  </w:abstractNum>
  <w:abstractNum w:abstractNumId="35">
    <w:nsid w:val="6A3DD3E8"/>
    <w:multiLevelType w:val="hybridMultilevel"/>
    <w:lvl w:ilvl="0">
      <w:lvlJc w:val="left"/>
      <w:lvlText w:val="%1"/>
      <w:numFmt w:val="decimal"/>
      <w:start w:val="1"/>
    </w:lvl>
    <w:lvl w:ilvl="1">
      <w:lvlJc w:val="left"/>
      <w:lvlText w:val="(%2)"/>
      <w:numFmt w:val="lowerLetter"/>
      <w:start w:val="7"/>
    </w:lvl>
  </w:abstractNum>
  <w:abstractNum w:abstractNumId="36">
    <w:nsid w:val="71C91298"/>
    <w:multiLevelType w:val="hybridMultilevel"/>
    <w:lvl w:ilvl="0">
      <w:lvlJc w:val="left"/>
      <w:lvlText w:val="%1."/>
      <w:numFmt w:val="decimal"/>
      <w:start w:val="5"/>
    </w:lvl>
    <w:lvl w:ilvl="1">
      <w:lvlJc w:val="left"/>
      <w:lvlText w:val="%2"/>
      <w:numFmt w:val="lowerLetter"/>
      <w:start w:val="1"/>
    </w:lvl>
  </w:abstractNum>
  <w:abstractNum w:abstractNumId="37">
    <w:nsid w:val="9DAF632"/>
    <w:multiLevelType w:val="hybridMultilevel"/>
    <w:lvl w:ilvl="0">
      <w:lvlJc w:val="left"/>
      <w:lvlText w:val="%1."/>
      <w:numFmt w:val="decimal"/>
      <w:start w:val="6"/>
    </w:lvl>
  </w:abstractNum>
  <w:abstractNum w:abstractNumId="38">
    <w:nsid w:val="53299938"/>
    <w:multiLevelType w:val="hybridMultilevel"/>
    <w:lvl w:ilvl="0">
      <w:lvlJc w:val="left"/>
      <w:lvlText w:val="%1."/>
      <w:numFmt w:val="decimal"/>
      <w:start w:val="7"/>
    </w:lvl>
  </w:abstractNum>
  <w:abstractNum w:abstractNumId="39">
    <w:nsid w:val="1FBFE8E0"/>
    <w:multiLevelType w:val="hybridMultilevel"/>
    <w:lvl w:ilvl="0">
      <w:lvlJc w:val="left"/>
      <w:lvlText w:val="%1."/>
      <w:numFmt w:val="decimal"/>
      <w:start w:val="8"/>
    </w:lvl>
  </w:abstractNum>
  <w:abstractNum w:abstractNumId="40">
    <w:nsid w:val="5092CA79"/>
    <w:multiLevelType w:val="hybridMultilevel"/>
    <w:lvl w:ilvl="0">
      <w:lvlJc w:val="left"/>
      <w:lvlText w:val="(%1)"/>
      <w:numFmt w:val="lowerRoman"/>
      <w:start w:val="1"/>
    </w:lvl>
  </w:abstractNum>
  <w:abstractNum w:abstractNumId="41">
    <w:nsid w:val="1D545C4D"/>
    <w:multiLevelType w:val="hybridMultilevel"/>
    <w:lvl w:ilvl="0">
      <w:lvlJc w:val="left"/>
      <w:lvlText w:val="(%1)"/>
      <w:numFmt w:val="lowerLetter"/>
      <w:start w:val="1"/>
    </w:lvl>
  </w:abstractNum>
  <w:abstractNum w:abstractNumId="42">
    <w:nsid w:val="59ADEA3D"/>
    <w:multiLevelType w:val="hybridMultilevel"/>
    <w:lvl w:ilvl="0">
      <w:lvlJc w:val="left"/>
      <w:lvlText w:val="(%1)"/>
      <w:numFmt w:val="lowerLetter"/>
      <w:start w:val="2"/>
    </w:lvl>
  </w:abstractNum>
  <w:abstractNum w:abstractNumId="43">
    <w:nsid w:val="288F1A34"/>
    <w:multiLevelType w:val="hybridMultilevel"/>
    <w:lvl w:ilvl="0">
      <w:lvlJc w:val="left"/>
      <w:lvlText w:val="(%1)"/>
      <w:numFmt w:val="lowerLetter"/>
      <w:start w:val="9"/>
    </w:lvl>
  </w:abstractNum>
  <w:abstractNum w:abstractNumId="44">
    <w:nsid w:val="2A155DBC"/>
    <w:multiLevelType w:val="hybridMultilevel"/>
    <w:lvl w:ilvl="0">
      <w:lvlJc w:val="left"/>
      <w:lvlText w:val="(%1)"/>
      <w:numFmt w:val="lowerLetter"/>
      <w:start w:val="2"/>
    </w:lvl>
  </w:abstractNum>
  <w:abstractNum w:abstractNumId="45">
    <w:nsid w:val="1D9F6E5F"/>
    <w:multiLevelType w:val="hybridMultilevel"/>
    <w:lvl w:ilvl="0">
      <w:lvlJc w:val="left"/>
      <w:lvlText w:val="(%1)"/>
      <w:numFmt w:val="lowerRoman"/>
      <w:start w:val="2"/>
    </w:lvl>
  </w:abstractNum>
  <w:abstractNum w:abstractNumId="46">
    <w:nsid w:val="97E1B4E"/>
    <w:multiLevelType w:val="hybridMultilevel"/>
    <w:lvl w:ilvl="0">
      <w:lvlJc w:val="left"/>
      <w:lvlText w:val="(%1)"/>
      <w:numFmt w:val="lowerLetter"/>
      <w:start w:val="2"/>
    </w:lvl>
  </w:abstractNum>
  <w:abstractNum w:abstractNumId="47">
    <w:nsid w:val="51088277"/>
    <w:multiLevelType w:val="hybridMultilevel"/>
    <w:lvl w:ilvl="0">
      <w:lvlJc w:val="left"/>
      <w:lvlText w:val="(%1)"/>
      <w:numFmt w:val="lowerLetter"/>
      <w:start w:val="1"/>
    </w:lvl>
  </w:abstractNum>
  <w:abstractNum w:abstractNumId="48">
    <w:nsid w:val="1CA0C5FA"/>
    <w:multiLevelType w:val="hybridMultilevel"/>
    <w:lvl w:ilvl="0">
      <w:lvlJc w:val="left"/>
      <w:lvlText w:val="(%1)"/>
      <w:numFmt w:val="lowerLetter"/>
      <w:start w:val="1"/>
    </w:lvl>
    <w:lvl w:ilvl="1">
      <w:lvlJc w:val="left"/>
      <w:lvlText w:val="(%2)"/>
      <w:numFmt w:val="lowerRoman"/>
      <w:start w:val="1"/>
    </w:lvl>
  </w:abstractNum>
  <w:abstractNum w:abstractNumId="49">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0">
    <w:nsid w:val="415E286C"/>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4"/>
    </w:lvl>
  </w:abstractNum>
  <w:abstractNum w:abstractNumId="51">
    <w:nsid w:val="7C58FD05"/>
    <w:multiLevelType w:val="hybridMultilevel"/>
    <w:lvl w:ilvl="0">
      <w:lvlJc w:val="left"/>
      <w:lvlText w:val="(%1)"/>
      <w:numFmt w:val="lowerLetter"/>
      <w:start w:val="1"/>
    </w:lvl>
  </w:abstractNum>
  <w:abstractNum w:abstractNumId="52">
    <w:nsid w:val="23D86AAC"/>
    <w:multiLevelType w:val="hybridMultilevel"/>
    <w:lvl w:ilvl="0">
      <w:lvlJc w:val="left"/>
      <w:lvlText w:val="(%1)"/>
      <w:numFmt w:val="lowerLetter"/>
      <w:start w:val="1"/>
    </w:lvl>
    <w:lvl w:ilvl="1">
      <w:lvlJc w:val="left"/>
      <w:lvlText w:val="(%2)"/>
      <w:numFmt w:val="lowerRoman"/>
      <w:start w:val="1"/>
    </w:lvl>
  </w:abstractNum>
  <w:abstractNum w:abstractNumId="53">
    <w:nsid w:val="45E6D486"/>
    <w:multiLevelType w:val="hybridMultilevel"/>
    <w:lvl w:ilvl="0">
      <w:lvlJc w:val="left"/>
      <w:lvlText w:val="(%1)"/>
      <w:numFmt w:val="lowerLetter"/>
      <w:start w:val="3"/>
    </w:lvl>
  </w:abstractNum>
  <w:abstractNum w:abstractNumId="54">
    <w:nsid w:val="5C10FE21"/>
    <w:multiLevelType w:val="hybridMultilevel"/>
    <w:lvl w:ilvl="0">
      <w:lvlJc w:val="left"/>
      <w:lvlText w:val="(%1)"/>
      <w:numFmt w:val="lowerLetter"/>
      <w:start w:val="1"/>
    </w:lvl>
  </w:abstractNum>
  <w:abstractNum w:abstractNumId="55">
    <w:nsid w:val="E7FFA2B"/>
    <w:multiLevelType w:val="hybridMultilevel"/>
    <w:lvl w:ilvl="0">
      <w:lvlJc w:val="left"/>
      <w:lvlText w:val="(%1)"/>
      <w:numFmt w:val="lowerLetter"/>
      <w:start w:val="2"/>
    </w:lvl>
  </w:abstractNum>
  <w:abstractNum w:abstractNumId="56">
    <w:nsid w:val="3C5991AA"/>
    <w:multiLevelType w:val="hybridMultilevel"/>
    <w:lvl w:ilvl="0">
      <w:lvlJc w:val="left"/>
      <w:lvlText w:val="(%1)"/>
      <w:numFmt w:val="lowerLetter"/>
      <w:start w:val="3"/>
    </w:lvl>
  </w:abstractNum>
  <w:abstractNum w:abstractNumId="57">
    <w:nsid w:val="4BD8591A"/>
    <w:multiLevelType w:val="hybridMultilevel"/>
    <w:lvl w:ilvl="0">
      <w:lvlJc w:val="left"/>
      <w:lvlText w:val="(%1)"/>
      <w:numFmt w:val="lowerLetter"/>
      <w:start w:val="1"/>
    </w:lvl>
  </w:abstractNum>
  <w:abstractNum w:abstractNumId="58">
    <w:nsid w:val="78DF6A55"/>
    <w:multiLevelType w:val="hybridMultilevel"/>
    <w:lvl w:ilvl="0">
      <w:lvlJc w:val="left"/>
      <w:lvlText w:val="(%1)"/>
      <w:numFmt w:val="lowerLetter"/>
      <w:start w:val="1"/>
    </w:lvl>
    <w:lvl w:ilvl="1">
      <w:lvlJc w:val="left"/>
      <w:lvlText w:val="(%2)"/>
      <w:numFmt w:val="lowerRoman"/>
      <w:start w:val="1"/>
    </w:lvl>
  </w:abstractNum>
  <w:abstractNum w:abstractNumId="59">
    <w:nsid w:val="39B7AAA2"/>
    <w:multiLevelType w:val="hybridMultilevel"/>
    <w:lvl w:ilvl="0">
      <w:lvlJc w:val="left"/>
      <w:lvlText w:val="(%1)"/>
      <w:numFmt w:val="lowerRoman"/>
      <w:start w:val="3"/>
    </w:lvl>
  </w:abstractNum>
  <w:abstractNum w:abstractNumId="60">
    <w:nsid w:val="2B0D8DBE"/>
    <w:multiLevelType w:val="hybridMultilevel"/>
    <w:lvl w:ilvl="0">
      <w:lvlJc w:val="left"/>
      <w:lvlText w:val="(%1)"/>
      <w:numFmt w:val="lowerLetter"/>
      <w:start w:val="1"/>
    </w:lvl>
    <w:lvl w:ilvl="1">
      <w:lvlJc w:val="left"/>
      <w:lvlText w:val="(%2)"/>
      <w:numFmt w:val="lowerRoman"/>
      <w:start w:val="1"/>
    </w:lvl>
  </w:abstractNum>
  <w:abstractNum w:abstractNumId="61">
    <w:nsid w:val="6C80EC70"/>
    <w:multiLevelType w:val="hybridMultilevel"/>
    <w:lvl w:ilvl="0">
      <w:lvlJc w:val="left"/>
      <w:lvlText w:val="(%1)"/>
      <w:numFmt w:val="lowerLetter"/>
      <w:start w:val="1"/>
    </w:lvl>
  </w:abstractNum>
  <w:abstractNum w:abstractNumId="62">
    <w:nsid w:val="379E21B5"/>
    <w:multiLevelType w:val="hybridMultilevel"/>
    <w:lvl w:ilvl="0">
      <w:lvlJc w:val="left"/>
      <w:lvlText w:val="(%1)"/>
      <w:numFmt w:val="lowerLetter"/>
      <w:start w:val="1"/>
    </w:lvl>
  </w:abstractNum>
  <w:abstractNum w:abstractNumId="63">
    <w:nsid w:val="69E373"/>
    <w:multiLevelType w:val="hybridMultilevel"/>
    <w:lvl w:ilvl="0">
      <w:lvlJc w:val="left"/>
      <w:lvlText w:val="(%1)"/>
      <w:numFmt w:val="lowerLetter"/>
      <w:start w:val="1"/>
    </w:lvl>
  </w:abstractNum>
  <w:abstractNum w:abstractNumId="64">
    <w:nsid w:val="2C27173B"/>
    <w:multiLevelType w:val="hybridMultilevel"/>
    <w:lvl w:ilvl="0">
      <w:lvlJc w:val="left"/>
      <w:lvlText w:val="(%1)"/>
      <w:numFmt w:val="lowerLetter"/>
      <w:start w:val="2"/>
    </w:lvl>
  </w:abstractNum>
  <w:abstractNum w:abstractNumId="65">
    <w:nsid w:val="4C9B0904"/>
    <w:multiLevelType w:val="hybridMultilevel"/>
    <w:lvl w:ilvl="0">
      <w:lvlJc w:val="left"/>
      <w:lvlText w:val="(%1)"/>
      <w:numFmt w:val="lowerLetter"/>
      <w:start w:val="1"/>
    </w:lvl>
  </w:abstractNum>
  <w:abstractNum w:abstractNumId="66">
    <w:nsid w:val="6AA7B75C"/>
    <w:multiLevelType w:val="hybridMultilevel"/>
    <w:lvl w:ilvl="0">
      <w:lvlJc w:val="left"/>
      <w:lvlText w:val="(%1)"/>
      <w:numFmt w:val="lowerLetter"/>
      <w:start w:val="1"/>
    </w:lvl>
  </w:abstractNum>
  <w:abstractNum w:abstractNumId="67">
    <w:nsid w:val="1DF029D3"/>
    <w:multiLevelType w:val="hybridMultilevel"/>
    <w:lvl w:ilvl="0">
      <w:lvlJc w:val="left"/>
      <w:lvlText w:val="(%1)"/>
      <w:numFmt w:val="lowerLetter"/>
      <w:start w:val="1"/>
    </w:lvl>
  </w:abstractNum>
  <w:abstractNum w:abstractNumId="68">
    <w:nsid w:val="5675FF36"/>
    <w:multiLevelType w:val="hybridMultilevel"/>
    <w:lvl w:ilvl="0">
      <w:lvlJc w:val="left"/>
      <w:lvlText w:val="(%1)"/>
      <w:numFmt w:val="lowerLetter"/>
      <w:start w:val="3"/>
    </w:lvl>
  </w:abstractNum>
  <w:abstractNum w:abstractNumId="69">
    <w:nsid w:val="3DD15094"/>
    <w:multiLevelType w:val="hybridMultilevel"/>
    <w:lvl w:ilvl="0">
      <w:lvlJc w:val="left"/>
      <w:lvlText w:val="(%1)"/>
      <w:numFmt w:val="lowerLetter"/>
      <w:start w:val="1"/>
    </w:lvl>
  </w:abstractNum>
  <w:abstractNum w:abstractNumId="70">
    <w:nsid w:val="3DB012B3"/>
    <w:multiLevelType w:val="hybridMultilevel"/>
    <w:lvl w:ilvl="0">
      <w:lvlJc w:val="left"/>
      <w:lvlText w:val="(%1)"/>
      <w:numFmt w:val="lowerLetter"/>
      <w:start w:val="1"/>
    </w:lvl>
  </w:abstractNum>
  <w:abstractNum w:abstractNumId="71">
    <w:nsid w:val="2708C9AF"/>
    <w:multiLevelType w:val="hybridMultilevel"/>
    <w:lvl w:ilvl="0">
      <w:lvlJc w:val="left"/>
      <w:lvlText w:val="(%1)"/>
      <w:numFmt w:val="lowerLetter"/>
      <w:start w:val="2"/>
    </w:lvl>
  </w:abstractNum>
  <w:abstractNum w:abstractNumId="72">
    <w:nsid w:val="5B25ACE2"/>
    <w:multiLevelType w:val="hybridMultilevel"/>
    <w:lvl w:ilvl="0">
      <w:lvlJc w:val="left"/>
      <w:lvlText w:val="(%1)"/>
      <w:numFmt w:val="lowerLetter"/>
      <w:start w:val="3"/>
    </w:lvl>
  </w:abstractNum>
  <w:abstractNum w:abstractNumId="73">
    <w:nsid w:val="175DFCF0"/>
    <w:multiLevelType w:val="hybridMultilevel"/>
    <w:lvl w:ilvl="0">
      <w:lvlJc w:val="left"/>
      <w:lvlText w:val="(%1)"/>
      <w:numFmt w:val="lowerLetter"/>
      <w:start w:val="1"/>
    </w:lvl>
  </w:abstractNum>
  <w:abstractNum w:abstractNumId="74">
    <w:nsid w:val="4F97E3E4"/>
    <w:multiLevelType w:val="hybridMultilevel"/>
    <w:lvl w:ilvl="0">
      <w:lvlJc w:val="left"/>
      <w:lvlText w:val="(%1)"/>
      <w:numFmt w:val="lowerLetter"/>
      <w:start w:val="1"/>
    </w:lvl>
  </w:abstractNum>
  <w:abstractNum w:abstractNumId="75">
    <w:nsid w:val="53B0A9E"/>
    <w:multiLevelType w:val="hybridMultilevel"/>
    <w:lvl w:ilvl="0">
      <w:lvlJc w:val="left"/>
      <w:lvlText w:val="(%1)"/>
      <w:numFmt w:val="lowerLetter"/>
      <w:start w:val="6"/>
    </w:lvl>
  </w:abstractNum>
  <w:abstractNum w:abstractNumId="76">
    <w:nsid w:val="34FD6B4F"/>
    <w:multiLevelType w:val="hybridMultilevel"/>
    <w:lvl w:ilvl="0">
      <w:lvlJc w:val="left"/>
      <w:lvlText w:val="(%1)"/>
      <w:numFmt w:val="lowerLetter"/>
      <w:start w:val="1"/>
    </w:lvl>
  </w:abstractNum>
  <w:abstractNum w:abstractNumId="77">
    <w:nsid w:val="5915FF32"/>
    <w:multiLevelType w:val="hybridMultilevel"/>
    <w:lvl w:ilvl="0">
      <w:lvlJc w:val="left"/>
      <w:lvlText w:val="(%1)"/>
      <w:numFmt w:val="lowerLetter"/>
      <w:start w:val="1"/>
    </w:lvl>
  </w:abstractNum>
  <w:abstractNum w:abstractNumId="78">
    <w:nsid w:val="56438D15"/>
    <w:multiLevelType w:val="hybridMultilevel"/>
    <w:lvl w:ilvl="0">
      <w:lvlJc w:val="left"/>
      <w:lvlText w:val="(%1)"/>
      <w:numFmt w:val="lowerLetter"/>
      <w:start w:val="2"/>
    </w:lvl>
  </w:abstractNum>
  <w:abstractNum w:abstractNumId="79">
    <w:nsid w:val="519E3149"/>
    <w:multiLevelType w:val="hybridMultilevel"/>
    <w:lvl w:ilvl="0">
      <w:lvlJc w:val="left"/>
      <w:lvlText w:val="(%1)"/>
      <w:numFmt w:val="lowerLetter"/>
      <w:start w:val="6"/>
    </w:lvl>
  </w:abstractNum>
  <w:abstractNum w:abstractNumId="80">
    <w:nsid w:val="2C6E4AFD"/>
    <w:multiLevelType w:val="hybridMultilevel"/>
    <w:lvl w:ilvl="0">
      <w:lvlJc w:val="left"/>
      <w:lvlText w:val="(%1)"/>
      <w:numFmt w:val="lowerLetter"/>
      <w:start w:val="1"/>
    </w:lvl>
  </w:abstractNum>
  <w:abstractNum w:abstractNumId="81">
    <w:nsid w:val="17A1B582"/>
    <w:multiLevelType w:val="hybridMultilevel"/>
    <w:lvl w:ilvl="0">
      <w:lvlJc w:val="left"/>
      <w:lvlText w:val="(%1)"/>
      <w:numFmt w:val="lowerLetter"/>
      <w:start w:val="1"/>
    </w:lvl>
  </w:abstractNum>
  <w:abstractNum w:abstractNumId="82">
    <w:nsid w:val="4DF72E4E"/>
    <w:multiLevelType w:val="hybridMultilevel"/>
    <w:lvl w:ilvl="0">
      <w:lvlJc w:val="left"/>
      <w:lvlText w:val="(%1)"/>
      <w:numFmt w:val="lowerLetter"/>
      <w:start w:val="1"/>
    </w:lvl>
    <w:lvl w:ilvl="1">
      <w:lvlJc w:val="left"/>
      <w:lvlText w:val="(%2)"/>
      <w:numFmt w:val="lowerRoman"/>
      <w:start w:val="1"/>
    </w:lvl>
  </w:abstractNum>
  <w:abstractNum w:abstractNumId="83">
    <w:nsid w:val="5046B5A9"/>
    <w:multiLevelType w:val="hybridMultilevel"/>
    <w:lvl w:ilvl="0">
      <w:lvlJc w:val="left"/>
      <w:lvlText w:val="(%1)"/>
      <w:numFmt w:val="lowerRoman"/>
      <w:start w:val="2"/>
    </w:lvl>
  </w:abstractNum>
  <w:abstractNum w:abstractNumId="84">
    <w:nsid w:val="5D888A08"/>
    <w:multiLevelType w:val="hybridMultilevel"/>
    <w:lvl w:ilvl="0">
      <w:lvlJc w:val="left"/>
      <w:lvlText w:val="(%1)"/>
      <w:numFmt w:val="lowerLetter"/>
      <w:start w:val="1"/>
    </w:lvl>
  </w:abstractNum>
  <w:abstractNum w:abstractNumId="85">
    <w:nsid w:val="2A082C70"/>
    <w:multiLevelType w:val="hybridMultilevel"/>
    <w:lvl w:ilvl="0">
      <w:lvlJc w:val="left"/>
      <w:lvlText w:val="(%1)"/>
      <w:numFmt w:val="lowerRoman"/>
      <w:start w:val="1"/>
    </w:lvl>
  </w:abstractNum>
  <w:abstractNum w:abstractNumId="86">
    <w:nsid w:val="5EC6AFD4"/>
    <w:multiLevelType w:val="hybridMultilevel"/>
    <w:lvl w:ilvl="0">
      <w:lvlJc w:val="left"/>
      <w:lvlText w:val="(%1)"/>
      <w:numFmt w:val="lowerRoman"/>
      <w:start w:val="11"/>
    </w:lvl>
  </w:abstractNum>
  <w:abstractNum w:abstractNumId="87">
    <w:nsid w:val="19E21BB2"/>
    <w:multiLevelType w:val="hybridMultilevel"/>
    <w:lvl w:ilvl="0">
      <w:lvlJc w:val="left"/>
      <w:lvlText w:val="(%1)"/>
      <w:numFmt w:val="lowerLetter"/>
      <w:start w:val="2"/>
    </w:lvl>
  </w:abstractNum>
  <w:abstractNum w:abstractNumId="88">
    <w:nsid w:val="75E0858A"/>
    <w:multiLevelType w:val="hybridMultilevel"/>
    <w:lvl w:ilvl="0">
      <w:lvlJc w:val="left"/>
      <w:lvlText w:val="(%1)"/>
      <w:numFmt w:val="lowerLetter"/>
      <w:start w:val="1"/>
    </w:lvl>
  </w:abstractNum>
  <w:abstractNum w:abstractNumId="89">
    <w:nsid w:val="57A61A29"/>
    <w:multiLevelType w:val="hybridMultilevel"/>
    <w:lvl w:ilvl="0">
      <w:lvlJc w:val="left"/>
      <w:lvlText w:val="(%1)"/>
      <w:numFmt w:val="lowerLetter"/>
      <w:start w:val="3"/>
    </w:lvl>
  </w:abstractNum>
  <w:abstractNum w:abstractNumId="90">
    <w:nsid w:val="5399C654"/>
    <w:multiLevelType w:val="hybridMultilevel"/>
    <w:lvl w:ilvl="0">
      <w:lvlJc w:val="left"/>
      <w:lvlText w:val="(%1)"/>
      <w:numFmt w:val="lowerLetter"/>
      <w:start w:val="1"/>
    </w:lvl>
  </w:abstractNum>
  <w:abstractNum w:abstractNumId="91">
    <w:nsid w:val="20EE1348"/>
    <w:multiLevelType w:val="hybridMultilevel"/>
    <w:lvl w:ilvl="0">
      <w:lvlJc w:val="left"/>
      <w:lvlText w:val="(%1)"/>
      <w:numFmt w:val="lowerLetter"/>
      <w:start w:val="1"/>
    </w:lvl>
    <w:lvl w:ilvl="1">
      <w:lvlJc w:val="left"/>
      <w:lvlText w:val="(%2)"/>
      <w:numFmt w:val="lowerRoman"/>
      <w:start w:val="1"/>
    </w:lvl>
  </w:abstractNum>
  <w:abstractNum w:abstractNumId="92">
    <w:nsid w:val="4427069A"/>
    <w:multiLevelType w:val="hybridMultilevel"/>
    <w:lvl w:ilvl="0">
      <w:lvlJc w:val="left"/>
      <w:lvlText w:val="(%1)"/>
      <w:numFmt w:val="lowerLetter"/>
      <w:start w:val="1"/>
    </w:lvl>
  </w:abstractNum>
  <w:abstractNum w:abstractNumId="93">
    <w:nsid w:val="B37E80A"/>
    <w:multiLevelType w:val="hybridMultilevel"/>
    <w:lvl w:ilvl="0">
      <w:lvlJc w:val="left"/>
      <w:lvlText w:val="(%1)"/>
      <w:numFmt w:val="lowerLetter"/>
      <w:start w:val="2"/>
    </w:lvl>
  </w:abstractNum>
  <w:abstractNum w:abstractNumId="94">
    <w:nsid w:val="2157F6BC"/>
    <w:multiLevelType w:val="hybridMultilevel"/>
    <w:lvl w:ilvl="0">
      <w:lvlJc w:val="left"/>
      <w:lvlText w:val="(%1)"/>
      <w:numFmt w:val="lowerLetter"/>
      <w:start w:val="1"/>
    </w:lvl>
  </w:abstractNum>
  <w:abstractNum w:abstractNumId="95">
    <w:nsid w:val="704E1DD5"/>
    <w:multiLevelType w:val="hybridMultilevel"/>
    <w:lvl w:ilvl="0">
      <w:lvlJc w:val="left"/>
      <w:lvlText w:val="(%1)"/>
      <w:numFmt w:val="lowerLetter"/>
      <w:start w:val="2"/>
    </w:lvl>
  </w:abstractNum>
  <w:abstractNum w:abstractNumId="96">
    <w:nsid w:val="57D2F10E"/>
    <w:multiLevelType w:val="hybridMultilevel"/>
    <w:lvl w:ilvl="0">
      <w:lvlJc w:val="left"/>
      <w:lvlText w:val="(%1)"/>
      <w:numFmt w:val="lowerLetter"/>
      <w:start w:val="1"/>
    </w:lvl>
  </w:abstractNum>
  <w:abstractNum w:abstractNumId="97">
    <w:nsid w:val="BFFAE18"/>
    <w:multiLevelType w:val="hybridMultilevel"/>
    <w:lvl w:ilvl="0">
      <w:lvlJc w:val="left"/>
      <w:lvlText w:val="(%1)"/>
      <w:numFmt w:val="lowerLetter"/>
      <w:start w:val="1"/>
    </w:lvl>
    <w:lvl w:ilvl="1">
      <w:lvlJc w:val="left"/>
      <w:lvlText w:val="(%2)"/>
      <w:numFmt w:val="lowerRoman"/>
      <w:start w:val="1"/>
    </w:lvl>
  </w:abstractNum>
  <w:abstractNum w:abstractNumId="98">
    <w:nsid w:val="E3E47A8"/>
    <w:multiLevelType w:val="hybridMultilevel"/>
    <w:lvl w:ilvl="0">
      <w:lvlJc w:val="left"/>
      <w:lvlText w:val="(%1)"/>
      <w:numFmt w:val="lowerRoman"/>
      <w:start w:val="4"/>
    </w:lvl>
  </w:abstractNum>
  <w:abstractNum w:abstractNumId="99">
    <w:nsid w:val="2E48F044"/>
    <w:multiLevelType w:val="hybridMultilevel"/>
    <w:lvl w:ilvl="0">
      <w:lvlJc w:val="left"/>
      <w:lvlText w:val="(%1)"/>
      <w:numFmt w:val="lowerRoman"/>
      <w:start w:val="10"/>
    </w:lvl>
  </w:abstractNum>
  <w:abstractNum w:abstractNumId="100">
    <w:nsid w:val="49D0FEAC"/>
    <w:multiLevelType w:val="hybridMultilevel"/>
    <w:lvl w:ilvl="0">
      <w:lvlJc w:val="left"/>
      <w:lvlText w:val="%1"/>
      <w:numFmt w:val="upperLetter"/>
      <w:start w:val="1"/>
    </w:lvl>
    <w:lvl w:ilvl="1">
      <w:lvlJc w:val="left"/>
      <w:lvlText w:val="(%2)"/>
      <w:numFmt w:val="lowerLetter"/>
      <w:start w:val="1"/>
    </w:lvl>
  </w:abstractNum>
  <w:abstractNum w:abstractNumId="101">
    <w:nsid w:val="4BEE5A5B"/>
    <w:multiLevelType w:val="hybridMultilevel"/>
    <w:lvl w:ilvl="0">
      <w:lvlJc w:val="left"/>
      <w:lvlText w:val="(%1)"/>
      <w:numFmt w:val="upperLetter"/>
      <w:start w:val="1"/>
    </w:lvl>
    <w:lvl w:ilvl="1">
      <w:lvlJc w:val="left"/>
      <w:lvlText w:val="%2"/>
      <w:numFmt w:val="lowerLetter"/>
      <w:start w:val="1"/>
    </w:lvl>
  </w:abstractNum>
  <w:abstractNum w:abstractNumId="102">
    <w:nsid w:val="5551B9F3"/>
    <w:multiLevelType w:val="hybridMultilevel"/>
    <w:lvl w:ilvl="0">
      <w:lvlJc w:val="left"/>
      <w:lvlText w:val="(%1)"/>
      <w:numFmt w:val="lowerLetter"/>
      <w:start w:val="2"/>
    </w:lvl>
  </w:abstractNum>
  <w:abstractNum w:abstractNumId="103">
    <w:nsid w:val="24F6AB8E"/>
    <w:multiLevelType w:val="hybridMultilevel"/>
    <w:lvl w:ilvl="0">
      <w:lvlJc w:val="left"/>
      <w:lvlText w:val="(%1)"/>
      <w:numFmt w:val="lowerLetter"/>
      <w:start w:val="1"/>
    </w:lvl>
  </w:abstractNum>
  <w:abstractNum w:abstractNumId="104">
    <w:nsid w:val="634C574C"/>
    <w:multiLevelType w:val="hybridMultilevel"/>
    <w:lvl w:ilvl="0">
      <w:lvlJc w:val="left"/>
      <w:lvlText w:val="(%1)"/>
      <w:numFmt w:val="lowerLetter"/>
      <w:start w:val="3"/>
    </w:lvl>
  </w:abstractNum>
  <w:abstractNum w:abstractNumId="105">
    <w:nsid w:val="24E99DD7"/>
    <w:multiLevelType w:val="hybridMultilevel"/>
    <w:lvl w:ilvl="0">
      <w:lvlJc w:val="left"/>
      <w:lvlText w:val="(%1)"/>
      <w:numFmt w:val="lowerLetter"/>
      <w:start w:val="7"/>
    </w:lvl>
  </w:abstractNum>
  <w:abstractNum w:abstractNumId="106">
    <w:nsid w:val="2A31B62D"/>
    <w:multiLevelType w:val="hybridMultilevel"/>
    <w:lvl w:ilvl="0">
      <w:lvlJc w:val="left"/>
      <w:lvlText w:val="(%1)"/>
      <w:numFmt w:val="lowerLetter"/>
      <w:start w:val="10"/>
    </w:lvl>
  </w:abstractNum>
  <w:abstractNum w:abstractNumId="107">
    <w:nsid w:val="1849C29B"/>
    <w:multiLevelType w:val="hybridMultilevel"/>
    <w:lvl w:ilvl="0">
      <w:lvlJc w:val="left"/>
      <w:lvlText w:val="%1"/>
      <w:numFmt w:val="lowerLetter"/>
      <w:start w:val="1"/>
    </w:lvl>
    <w:lvl w:ilvl="1">
      <w:lvlJc w:val="left"/>
      <w:lvlText w:val="(%2)"/>
      <w:numFmt w:val="lowerLetter"/>
      <w:start w:val="1"/>
    </w:lvl>
  </w:abstractNum>
  <w:abstractNum w:abstractNumId="108">
    <w:nsid w:val="7DFF9D09"/>
    <w:multiLevelType w:val="hybridMultilevel"/>
    <w:lvl w:ilvl="0">
      <w:lvlJc w:val="left"/>
      <w:lvlText w:val="(%1)"/>
      <w:numFmt w:val="lowerLetter"/>
      <w:start w:val="9"/>
    </w:lvl>
    <w:lvl w:ilvl="1">
      <w:lvlJc w:val="left"/>
      <w:lvlText w:val="%2"/>
      <w:numFmt w:val="lowerLetter"/>
      <w:start w:val="1"/>
    </w:lvl>
  </w:abstractNum>
  <w:abstractNum w:abstractNumId="109">
    <w:nsid w:val="754342"/>
    <w:multiLevelType w:val="hybridMultilevel"/>
    <w:lvl w:ilvl="0">
      <w:lvlJc w:val="left"/>
      <w:lvlText w:val="(%1)"/>
      <w:numFmt w:val="lowerLetter"/>
      <w:start w:val="2"/>
    </w:lvl>
    <w:lvl w:ilvl="1">
      <w:lvlJc w:val="left"/>
      <w:lvlText w:val="(%2)"/>
      <w:numFmt w:val="lowerRoman"/>
      <w:start w:val="1"/>
    </w:lvl>
  </w:abstractNum>
  <w:abstractNum w:abstractNumId="110">
    <w:nsid w:val="69E7F3E5"/>
    <w:multiLevelType w:val="hybridMultilevel"/>
    <w:lvl w:ilvl="0">
      <w:lvlJc w:val="left"/>
      <w:lvlText w:val="(%1)"/>
      <w:numFmt w:val="lowerLetter"/>
      <w:start w:val="5"/>
    </w:lvl>
  </w:abstractNum>
  <w:abstractNum w:abstractNumId="111">
    <w:nsid w:val="2A6DE80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12">
    <w:nsid w:val="1816F8C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13">
    <w:nsid w:val="37DF2233"/>
    <w:multiLevelType w:val="hybridMultilevel"/>
    <w:lvl w:ilvl="0">
      <w:lvlJc w:val="left"/>
      <w:lvlText w:val="%1"/>
      <w:numFmt w:val="lowerLetter"/>
      <w:start w:val="1"/>
    </w:lvl>
    <w:lvl w:ilvl="1">
      <w:lvlJc w:val="left"/>
      <w:lvlText w:val="(%2)"/>
      <w:numFmt w:val="lowerLetter"/>
      <w:start w:val="35"/>
    </w:lvl>
  </w:abstractNum>
  <w:abstractNum w:abstractNumId="114">
    <w:nsid w:val="7AB49DAF"/>
    <w:multiLevelType w:val="hybridMultilevel"/>
    <w:lvl w:ilvl="0">
      <w:lvlJc w:val="left"/>
      <w:lvlText w:val="(%1)"/>
      <w:numFmt w:val="lowerLetter"/>
      <w:start w:val="2"/>
    </w:lvl>
    <w:lvl w:ilvl="1">
      <w:lvlJc w:val="left"/>
      <w:lvlText w:val="(%2)"/>
      <w:numFmt w:val="lowerLetter"/>
      <w:start w:val="9"/>
    </w:lvl>
  </w:abstractNum>
  <w:abstractNum w:abstractNumId="115">
    <w:nsid w:val="759F82CD"/>
    <w:multiLevelType w:val="hybridMultilevel"/>
    <w:lvl w:ilvl="0">
      <w:lvlJc w:val="left"/>
      <w:lvlText w:val="(%1)"/>
      <w:numFmt w:val="lowerRoman"/>
      <w:start w:val="2"/>
    </w:lvl>
  </w:abstractNum>
  <w:abstractNum w:abstractNumId="116">
    <w:nsid w:val="61E74EA3"/>
    <w:multiLevelType w:val="hybridMultilevel"/>
    <w:lvl w:ilvl="0">
      <w:lvlJc w:val="left"/>
      <w:lvlText w:val="(%1)"/>
      <w:numFmt w:val="lowerLetter"/>
      <w:start w:val="1"/>
    </w:lvl>
  </w:abstractNum>
  <w:abstractNum w:abstractNumId="117">
    <w:nsid w:val="597B4D84"/>
    <w:multiLevelType w:val="hybridMultilevel"/>
    <w:lvl w:ilvl="0">
      <w:lvlJc w:val="left"/>
      <w:lvlText w:val="(%1)"/>
      <w:numFmt w:val="lowerLetter"/>
      <w:start w:val="3"/>
    </w:lvl>
  </w:abstractNum>
  <w:abstractNum w:abstractNumId="118">
    <w:nsid w:val="F819E7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19">
    <w:nsid w:val="57C7D42D"/>
    <w:multiLevelType w:val="hybridMultilevel"/>
    <w:lvl w:ilvl="0">
      <w:lvlJc w:val="left"/>
      <w:lvlText w:val="%1"/>
      <w:numFmt w:val="lowerLetter"/>
      <w:start w:val="1"/>
    </w:lvl>
    <w:lvl w:ilvl="1">
      <w:lvlJc w:val="left"/>
      <w:lvlText w:val="(%2)"/>
      <w:numFmt w:val="upperLetter"/>
      <w:start w:val="5"/>
    </w:lvl>
  </w:abstractNum>
  <w:abstractNum w:abstractNumId="120">
    <w:nsid w:val="312167AD"/>
    <w:multiLevelType w:val="hybridMultilevel"/>
    <w:lvl w:ilvl="0">
      <w:lvlJc w:val="left"/>
      <w:lvlText w:val="(%1)"/>
      <w:numFmt w:val="lowerLetter"/>
      <w:start w:val="7"/>
    </w:lvl>
    <w:lvl w:ilvl="1">
      <w:lvlJc w:val="left"/>
      <w:lvlText w:val="%2"/>
      <w:numFmt w:val="upperLetter"/>
      <w:start w:val="1"/>
    </w:lvl>
  </w:abstractNum>
  <w:abstractNum w:abstractNumId="121">
    <w:nsid w:val="631B64D4"/>
    <w:multiLevelType w:val="hybridMultilevel"/>
    <w:lvl w:ilvl="0">
      <w:lvlJc w:val="left"/>
      <w:lvlText w:val="(%1)"/>
      <w:numFmt w:val="lowerLetter"/>
      <w:start w:val="10"/>
    </w:lvl>
  </w:abstractNum>
  <w:abstractNum w:abstractNumId="122">
    <w:nsid w:val="78B5E776"/>
    <w:multiLevelType w:val="hybridMultilevel"/>
    <w:lvl w:ilvl="0">
      <w:lvlJc w:val="left"/>
      <w:lvlText w:val="(%1)"/>
      <w:numFmt w:val="lowerLetter"/>
      <w:start w:val="1"/>
    </w:lvl>
  </w:abstractNum>
  <w:abstractNum w:abstractNumId="123">
    <w:nsid w:val="75486E47"/>
    <w:multiLevelType w:val="hybridMultilevel"/>
    <w:lvl w:ilvl="0">
      <w:lvlJc w:val="left"/>
      <w:lvlText w:val="(%1)"/>
      <w:numFmt w:val="lowerLetter"/>
      <w:start w:val="1"/>
    </w:lvl>
  </w:abstractNum>
  <w:abstractNum w:abstractNumId="124">
    <w:nsid w:val="6E534CDE"/>
    <w:multiLevelType w:val="hybridMultilevel"/>
    <w:lvl w:ilvl="0">
      <w:lvlJc w:val="left"/>
      <w:lvlText w:val="(%1)"/>
      <w:numFmt w:val="lowerLetter"/>
      <w:start w:val="2"/>
    </w:lvl>
  </w:abstractNum>
  <w:abstractNum w:abstractNumId="125">
    <w:nsid w:val="1A0DDE32"/>
    <w:multiLevelType w:val="hybridMultilevel"/>
    <w:lvl w:ilvl="0">
      <w:lvlJc w:val="left"/>
      <w:lvlText w:val="(%1)"/>
      <w:numFmt w:val="lowerRoman"/>
      <w:start w:val="1"/>
    </w:lvl>
  </w:abstractNum>
  <w:abstractNum w:abstractNumId="126">
    <w:nsid w:val="65968C1C"/>
    <w:multiLevelType w:val="hybridMultilevel"/>
    <w:lvl w:ilvl="0">
      <w:lvlJc w:val="left"/>
      <w:lvlText w:val="(%1)"/>
      <w:numFmt w:val="lowerLetter"/>
      <w:start w:val="1"/>
    </w:lvl>
  </w:abstractNum>
  <w:abstractNum w:abstractNumId="127">
    <w:nsid w:val="46263DEC"/>
    <w:multiLevelType w:val="hybridMultilevel"/>
    <w:lvl w:ilvl="0">
      <w:lvlJc w:val="left"/>
      <w:lvlText w:val="(%1)"/>
      <w:numFmt w:val="lowerLetter"/>
      <w:start w:val="4"/>
    </w:lvl>
  </w:abstractNum>
  <w:abstractNum w:abstractNumId="128">
    <w:nsid w:val="260D8C4A"/>
    <w:multiLevelType w:val="hybridMultilevel"/>
    <w:lvl w:ilvl="0">
      <w:lvlJc w:val="left"/>
      <w:lvlText w:val="(%1)"/>
      <w:numFmt w:val="lowerLetter"/>
      <w:start w:val="1"/>
    </w:lvl>
  </w:abstractNum>
  <w:abstractNum w:abstractNumId="129">
    <w:nsid w:val="73D4D3C4"/>
    <w:multiLevelType w:val="hybridMultilevel"/>
    <w:lvl w:ilvl="0">
      <w:lvlJc w:val="left"/>
      <w:lvlText w:val="(%1)"/>
      <w:numFmt w:val="lowerLetter"/>
      <w:start w:val="1"/>
    </w:lvl>
  </w:abstractNum>
  <w:abstractNum w:abstractNumId="130">
    <w:nsid w:val="746F2E30"/>
    <w:multiLevelType w:val="hybridMultilevel"/>
    <w:lvl w:ilvl="0">
      <w:lvlJc w:val="left"/>
      <w:lvlText w:val="(%1)"/>
      <w:numFmt w:val="lowerLetter"/>
      <w:start w:val="1"/>
    </w:lvl>
  </w:abstractNum>
  <w:abstractNum w:abstractNumId="131">
    <w:nsid w:val="6FDE8AF6"/>
    <w:multiLevelType w:val="hybridMultilevel"/>
    <w:lvl w:ilvl="0">
      <w:lvlJc w:val="left"/>
      <w:lvlText w:val="(%1)"/>
      <w:numFmt w:val="lowerLetter"/>
      <w:start w:val="2"/>
    </w:lvl>
  </w:abstractNum>
  <w:abstractNum w:abstractNumId="132">
    <w:nsid w:val="3FC32E20"/>
    <w:multiLevelType w:val="hybridMultilevel"/>
    <w:lvl w:ilvl="0">
      <w:lvlJc w:val="left"/>
      <w:lvlText w:val="(%1)"/>
      <w:numFmt w:val="lowerLetter"/>
      <w:start w:val="1"/>
    </w:lvl>
  </w:abstractNum>
  <w:abstractNum w:abstractNumId="133">
    <w:nsid w:val="49C0E823"/>
    <w:multiLevelType w:val="hybridMultilevel"/>
    <w:lvl w:ilvl="0">
      <w:lvlJc w:val="left"/>
      <w:lvlText w:val="(%1)"/>
      <w:numFmt w:val="lowerLetter"/>
      <w:start w:val="1"/>
    </w:lvl>
    <w:lvl w:ilvl="1">
      <w:lvlJc w:val="left"/>
      <w:lvlText w:val="(%2)"/>
      <w:numFmt w:val="lowerLetter"/>
      <w:start w:val="9"/>
    </w:lvl>
  </w:abstractNum>
  <w:abstractNum w:abstractNumId="134">
    <w:nsid w:val="14D53685"/>
    <w:multiLevelType w:val="hybridMultilevel"/>
    <w:lvl w:ilvl="0">
      <w:lvlJc w:val="left"/>
      <w:lvlText w:val="%1"/>
      <w:numFmt w:val="lowerLetter"/>
      <w:start w:val="1"/>
    </w:lvl>
    <w:lvl w:ilvl="1">
      <w:lvlJc w:val="left"/>
      <w:lvlText w:val="(%2)"/>
      <w:numFmt w:val="lowerLetter"/>
      <w:start w:val="35"/>
    </w:lvl>
  </w:abstractNum>
  <w:abstractNum w:abstractNumId="135">
    <w:nsid w:val="230F856C"/>
    <w:multiLevelType w:val="hybridMultilevel"/>
    <w:lvl w:ilvl="0">
      <w:lvlJc w:val="left"/>
      <w:lvlText w:val="(%1)"/>
      <w:numFmt w:val="lowerLetter"/>
      <w:start w:val="2"/>
    </w:lvl>
    <w:lvl w:ilvl="1">
      <w:lvlJc w:val="left"/>
      <w:lvlText w:val="%2"/>
      <w:numFmt w:val="lowerLetter"/>
      <w:start w:val="1"/>
    </w:lvl>
  </w:abstractNum>
  <w:abstractNum w:abstractNumId="136">
    <w:nsid w:val="6EAA85FB"/>
    <w:multiLevelType w:val="hybridMultilevel"/>
    <w:lvl w:ilvl="0">
      <w:lvlJc w:val="left"/>
      <w:lvlText w:val="(%1)"/>
      <w:numFmt w:val="lowerLetter"/>
      <w:start w:val="8"/>
    </w:lvl>
  </w:abstractNum>
  <w:abstractNum w:abstractNumId="137">
    <w:nsid w:val="3F06ECB2"/>
    <w:multiLevelType w:val="hybridMultilevel"/>
    <w:lvl w:ilvl="0">
      <w:lvlJc w:val="left"/>
      <w:lvlText w:val="(%1)"/>
      <w:numFmt w:val="lowerLetter"/>
      <w:start w:val="1"/>
    </w:lvl>
  </w:abstractNum>
  <w:abstractNum w:abstractNumId="138">
    <w:nsid w:val="3B59480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9">
    <w:nsid w:val="6CAA230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0">
    <w:nsid w:val="3F7C2FF4"/>
    <w:multiLevelType w:val="hybridMultilevel"/>
    <w:lvl w:ilvl="0">
      <w:lvlJc w:val="left"/>
      <w:lvlText w:val="(%1)"/>
      <w:numFmt w:val="lowerLetter"/>
      <w:start w:val="4"/>
    </w:lvl>
  </w:abstractNum>
  <w:abstractNum w:abstractNumId="141">
    <w:nsid w:val="25413B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2">
    <w:nsid w:val="17180B0B"/>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143">
    <w:nsid w:val="579328B9"/>
    <w:multiLevelType w:val="hybridMultilevel"/>
    <w:lvl w:ilvl="0">
      <w:lvlJc w:val="left"/>
      <w:lvlText w:val="(%1)"/>
      <w:numFmt w:val="lowerLetter"/>
      <w:start w:val="1"/>
    </w:lvl>
  </w:abstractNum>
  <w:abstractNum w:abstractNumId="144">
    <w:nsid w:val="5D205E20"/>
    <w:multiLevelType w:val="hybridMultilevel"/>
    <w:lvl w:ilvl="0">
      <w:lvlJc w:val="left"/>
      <w:lvlText w:val="(%1)"/>
      <w:numFmt w:val="lowerLetter"/>
      <w:start w:val="2"/>
    </w:lvl>
  </w:abstractNum>
  <w:abstractNum w:abstractNumId="145">
    <w:nsid w:val="11CCA8BA"/>
    <w:multiLevelType w:val="hybridMultilevel"/>
    <w:lvl w:ilvl="0">
      <w:lvlJc w:val="left"/>
      <w:lvlText w:val="(%1)"/>
      <w:numFmt w:val="lowerLetter"/>
      <w:start w:val="1"/>
    </w:lvl>
  </w:abstractNum>
  <w:abstractNum w:abstractNumId="146">
    <w:nsid w:val="4D32AB86"/>
    <w:multiLevelType w:val="hybridMultilevel"/>
    <w:lvl w:ilvl="0">
      <w:lvlJc w:val="left"/>
      <w:lvlText w:val="%1"/>
      <w:numFmt w:val="lowerLetter"/>
      <w:start w:val="1"/>
    </w:lvl>
    <w:lvl w:ilvl="1">
      <w:lvlJc w:val="left"/>
      <w:lvlText w:val="(%2)"/>
      <w:numFmt w:val="lowerRoman"/>
      <w:start w:val="1"/>
    </w:lvl>
  </w:abstractNum>
  <w:abstractNum w:abstractNumId="147">
    <w:nsid w:val="3F07ACC3"/>
    <w:multiLevelType w:val="hybridMultilevel"/>
    <w:lvl w:ilvl="0">
      <w:lvlJc w:val="left"/>
      <w:lvlText w:val="(%1)"/>
      <w:numFmt w:val="lowerLetter"/>
      <w:start w:val="2"/>
    </w:lvl>
    <w:lvl w:ilvl="1">
      <w:lvlJc w:val="left"/>
      <w:lvlText w:val="(%2)"/>
      <w:numFmt w:val="lowerRoman"/>
      <w:start w:val="1"/>
    </w:lvl>
  </w:abstractNum>
  <w:abstractNum w:abstractNumId="148">
    <w:nsid w:val="6B47F63E"/>
    <w:multiLevelType w:val="hybridMultilevel"/>
    <w:lvl w:ilvl="0">
      <w:lvlJc w:val="left"/>
      <w:lvlText w:val="(%1)"/>
      <w:numFmt w:val="lowerLetter"/>
      <w:start w:val="1"/>
    </w:lvl>
  </w:abstractNum>
  <w:abstractNum w:abstractNumId="149">
    <w:nsid w:val="5CB44A05"/>
    <w:multiLevelType w:val="hybridMultilevel"/>
    <w:lvl w:ilvl="0">
      <w:lvlJc w:val="left"/>
      <w:lvlText w:val="(%1)"/>
      <w:numFmt w:val="lowerLetter"/>
      <w:start w:val="1"/>
    </w:lvl>
  </w:abstractNum>
  <w:abstractNum w:abstractNumId="150">
    <w:nsid w:val="16CF80F1"/>
    <w:multiLevelType w:val="hybridMultilevel"/>
    <w:lvl w:ilvl="0">
      <w:lvlJc w:val="left"/>
      <w:lvlText w:val="(%1)"/>
      <w:numFmt w:val="lowerLetter"/>
      <w:start w:val="1"/>
    </w:lvl>
  </w:abstractNum>
  <w:abstractNum w:abstractNumId="151">
    <w:nsid w:val="1C695DEC"/>
    <w:multiLevelType w:val="hybridMultilevel"/>
    <w:lvl w:ilvl="0">
      <w:lvlJc w:val="left"/>
      <w:lvlText w:val="(%1)"/>
      <w:numFmt w:val="lowerLetter"/>
      <w:start w:val="1"/>
    </w:lvl>
  </w:abstractNum>
  <w:abstractNum w:abstractNumId="152">
    <w:nsid w:val="3FCFAED9"/>
    <w:multiLevelType w:val="hybridMultilevel"/>
    <w:lvl w:ilvl="0">
      <w:lvlJc w:val="left"/>
      <w:lvlText w:val="(%1)"/>
      <w:numFmt w:val="lowerLetter"/>
      <w:start w:val="5"/>
    </w:lvl>
  </w:abstractNum>
  <w:abstractNum w:abstractNumId="153">
    <w:nsid w:val="F856867"/>
    <w:multiLevelType w:val="hybridMultilevel"/>
    <w:lvl w:ilvl="0">
      <w:lvlJc w:val="left"/>
      <w:lvlText w:val="(%1)"/>
      <w:numFmt w:val="lowerLetter"/>
      <w:start w:val="1"/>
    </w:lvl>
  </w:abstractNum>
  <w:abstractNum w:abstractNumId="154">
    <w:nsid w:val="11B1CC33"/>
    <w:multiLevelType w:val="hybridMultilevel"/>
    <w:lvl w:ilvl="0">
      <w:lvlJc w:val="left"/>
      <w:lvlText w:val="(%1)"/>
      <w:numFmt w:val="lowerLetter"/>
      <w:start w:val="2"/>
    </w:lvl>
  </w:abstractNum>
  <w:abstractNum w:abstractNumId="155">
    <w:nsid w:val="2E22FBB7"/>
    <w:multiLevelType w:val="hybridMultilevel"/>
    <w:lvl w:ilvl="0">
      <w:lvlJc w:val="left"/>
      <w:lvlText w:val="(%1)"/>
      <w:numFmt w:val="lowerLetter"/>
      <w:start w:val="3"/>
    </w:lvl>
  </w:abstractNum>
  <w:abstractNum w:abstractNumId="156">
    <w:nsid w:val="29934699"/>
    <w:multiLevelType w:val="hybridMultilevel"/>
    <w:lvl w:ilvl="0">
      <w:lvlJc w:val="left"/>
      <w:lvlText w:val="(%1)"/>
      <w:numFmt w:val="lowerLetter"/>
      <w:start w:val="1"/>
    </w:lvl>
  </w:abstractNum>
  <w:abstractNum w:abstractNumId="157">
    <w:nsid w:val="77485850"/>
    <w:multiLevelType w:val="hybridMultilevel"/>
    <w:lvl w:ilvl="0">
      <w:lvlJc w:val="left"/>
      <w:lvlText w:val="(%1)"/>
      <w:numFmt w:val="lowerLetter"/>
      <w:start w:val="1"/>
    </w:lvl>
  </w:abstractNum>
  <w:abstractNum w:abstractNumId="158">
    <w:nsid w:val="744939A3"/>
    <w:multiLevelType w:val="hybridMultilevel"/>
    <w:lvl w:ilvl="0">
      <w:lvlJc w:val="left"/>
      <w:lvlText w:val="(%1)"/>
      <w:numFmt w:val="lowerLetter"/>
      <w:start w:val="1"/>
    </w:lvl>
  </w:abstractNum>
  <w:abstractNum w:abstractNumId="159">
    <w:nsid w:val="4FA0D2E3"/>
    <w:multiLevelType w:val="hybridMultilevel"/>
    <w:lvl w:ilvl="0">
      <w:lvlJc w:val="left"/>
      <w:lvlText w:val="(%1)"/>
      <w:numFmt w:val="lowerLetter"/>
      <w:start w:val="1"/>
    </w:lvl>
  </w:abstractNum>
  <w:abstractNum w:abstractNumId="160">
    <w:nsid w:val="6B1D2C14"/>
    <w:multiLevelType w:val="hybridMultilevel"/>
    <w:lvl w:ilvl="0">
      <w:lvlJc w:val="left"/>
      <w:lvlText w:val="(%1)"/>
      <w:numFmt w:val="lowerLetter"/>
      <w:start w:val="2"/>
    </w:lvl>
  </w:abstractNum>
  <w:abstractNum w:abstractNumId="161">
    <w:nsid w:val="68B867D3"/>
    <w:multiLevelType w:val="hybridMultilevel"/>
    <w:lvl w:ilvl="0">
      <w:lvlJc w:val="left"/>
      <w:lvlText w:val="(%1)"/>
      <w:numFmt w:val="lowerLetter"/>
      <w:start w:val="1"/>
    </w:lvl>
  </w:abstractNum>
  <w:abstractNum w:abstractNumId="162">
    <w:nsid w:val="3F7F5DD9"/>
    <w:multiLevelType w:val="hybridMultilevel"/>
    <w:lvl w:ilvl="0">
      <w:lvlJc w:val="left"/>
      <w:lvlText w:val="(%1)"/>
      <w:numFmt w:val="lowerLetter"/>
      <w:start w:val="2"/>
    </w:lvl>
  </w:abstractNum>
  <w:abstractNum w:abstractNumId="163">
    <w:nsid w:val="2AE05A34"/>
    <w:multiLevelType w:val="hybridMultilevel"/>
    <w:lvl w:ilvl="0">
      <w:lvlJc w:val="left"/>
      <w:lvlText w:val="(%1)"/>
      <w:numFmt w:val="lowerLetter"/>
      <w:start w:val="1"/>
    </w:lvl>
  </w:abstractNum>
  <w:abstractNum w:abstractNumId="164">
    <w:nsid w:val="32794FF7"/>
    <w:multiLevelType w:val="hybridMultilevel"/>
    <w:lvl w:ilvl="0">
      <w:lvlJc w:val="left"/>
      <w:lvlText w:val="(%1)"/>
      <w:numFmt w:val="lowerLetter"/>
      <w:start w:val="1"/>
    </w:lvl>
  </w:abstractNum>
  <w:abstractNum w:abstractNumId="165">
    <w:nsid w:val="5454945E"/>
    <w:multiLevelType w:val="hybridMultilevel"/>
    <w:lvl w:ilvl="0">
      <w:lvlJc w:val="left"/>
      <w:lvlText w:val="%1"/>
      <w:numFmt w:val="upperLetter"/>
      <w:start w:val="1"/>
    </w:lvl>
    <w:lvl w:ilvl="1">
      <w:lvlJc w:val="left"/>
      <w:lvlText w:val="(%2)"/>
      <w:numFmt w:val="lowerLetter"/>
      <w:start w:val="1"/>
    </w:lvl>
  </w:abstractNum>
  <w:abstractNum w:abstractNumId="166">
    <w:nsid w:val="4DEFDFA0"/>
    <w:multiLevelType w:val="hybridMultilevel"/>
    <w:lvl w:ilvl="0">
      <w:lvlJc w:val="left"/>
      <w:lvlText w:val="(%1)"/>
      <w:numFmt w:val="upperLetter"/>
      <w:start w:val="1"/>
    </w:lvl>
    <w:lvl w:ilvl="1">
      <w:lvlJc w:val="left"/>
      <w:lvlText w:val="%2"/>
      <w:numFmt w:val="lowerLetter"/>
      <w:start w:val="1"/>
    </w:lvl>
  </w:abstractNum>
  <w:abstractNum w:abstractNumId="167">
    <w:nsid w:val="2123D5F2"/>
    <w:multiLevelType w:val="hybridMultilevel"/>
    <w:lvl w:ilvl="0">
      <w:lvlJc w:val="left"/>
      <w:lvlText w:val="(%1)"/>
      <w:numFmt w:val="lowerLetter"/>
      <w:start w:val="2"/>
    </w:lvl>
  </w:abstractNum>
  <w:abstractNum w:abstractNumId="168">
    <w:nsid w:val="135B8110"/>
    <w:multiLevelType w:val="hybridMultilevel"/>
    <w:lvl w:ilvl="0">
      <w:lvlJc w:val="left"/>
      <w:lvlText w:val="%1."/>
      <w:numFmt w:val="decimal"/>
      <w:start w:val="1"/>
    </w:lvl>
    <w:lvl w:ilvl="1">
      <w:lvlJc w:val="left"/>
      <w:lvlText w:val="%2."/>
      <w:numFmt w:val="lowerLetter"/>
      <w:start w:val="1"/>
    </w:lvl>
  </w:abstractNum>
  <w:abstractNum w:abstractNumId="169">
    <w:nsid w:val="94927A8"/>
    <w:multiLevelType w:val="hybridMultilevel"/>
    <w:lvl w:ilvl="0">
      <w:lvlJc w:val="left"/>
      <w:lvlText w:val="%1."/>
      <w:numFmt w:val="decimal"/>
      <w:start w:val="1"/>
    </w:lvl>
    <w:lvl w:ilvl="1">
      <w:lvlJc w:val="left"/>
      <w:lvlText w:val="%2."/>
      <w:numFmt w:val="lowerLetter"/>
      <w:start w:val="1"/>
    </w:lvl>
  </w:abstractNum>
  <w:abstractNum w:abstractNumId="170">
    <w:nsid w:val="DCDF8F6"/>
    <w:multiLevelType w:val="hybridMultilevel"/>
    <w:lvl w:ilvl="0">
      <w:lvlJc w:val="left"/>
      <w:lvlText w:val="(%1)"/>
      <w:numFmt w:val="lowerRoman"/>
      <w:start w:val="1"/>
    </w:lvl>
  </w:abstractNum>
  <w:abstractNum w:abstractNumId="171">
    <w:nsid w:val="52D7B1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jpeg"/><Relationship Id="rId120" Type="http://schemas.openxmlformats.org/officeDocument/2006/relationships/image" Target="media/image110.jpe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13" Type="http://schemas.openxmlformats.org/officeDocument/2006/relationships/hyperlink" Target="https://www.sec.gov/Archives/edgar/data/106040/000095013706001502/a17011exv3w1.htm" TargetMode="External"/><Relationship Id="rId114" Type="http://schemas.openxmlformats.org/officeDocument/2006/relationships/hyperlink" Target="https://www.sec.gov/Archives/edgar/data/106040/000119312523020502/d425756dex31.htm" TargetMode="External"/><Relationship Id="rId115" Type="http://schemas.openxmlformats.org/officeDocument/2006/relationships/hyperlink" Target="https://www.sec.gov/Archives/edgar/data/106040/000119312521041457/d128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2024-10-31T05:27:43Z</dcterms:created>
  <dcterms:modified xsi:type="dcterms:W3CDTF">2024-10-31T05:27:43Z</dcterms:modified>
</cp:coreProperties>
</file>