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-224155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-127635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April 3, 2015</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326390</wp:posOffset>
            </wp:positionV>
            <wp:extent cx="82359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3595"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167640</wp:posOffset>
            </wp:positionV>
            <wp:extent cx="272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33-0956711</w:t>
            </w:r>
          </w:p>
        </w:tc>
      </w:tr>
      <w:tr>
        <w:trPr>
          <w:trHeight w:val="180"/>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42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3355 Michelson Drive, Suite 100</w:t>
            </w:r>
          </w:p>
        </w:tc>
        <w:tc>
          <w:tcPr>
            <w:tcW w:w="3080" w:type="dxa"/>
            <w:vAlign w:val="bottom"/>
          </w:tcPr>
          <w:p>
            <w:pPr>
              <w:spacing w:after="0"/>
              <w:rPr>
                <w:sz w:val="24"/>
                <w:szCs w:val="24"/>
                <w:color w:val="auto"/>
              </w:rPr>
            </w:pPr>
          </w:p>
        </w:tc>
      </w:t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6"/>
              </w:rPr>
              <w:t>Irvine, California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92612</w:t>
            </w:r>
          </w:p>
        </w:tc>
      </w:tr>
      <w:tr>
        <w:trPr>
          <w:trHeight w:val="218"/>
        </w:trPr>
        <w:tc>
          <w:tcPr>
            <w:tcW w:w="44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(949) 672-7000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220" w:space="720"/>
            <w:col w:w="3960" w:space="720"/>
            <w:col w:w="2500" w:space="720"/>
            <w:col w:w="540"/>
          </w:cols>
          <w:pgMar w:left="240" w:top="233"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5">
            <w:col w:w="2220" w:space="720"/>
            <w:col w:w="160" w:space="100"/>
            <w:col w:w="3700" w:space="720"/>
            <w:col w:w="2500" w:space="720"/>
            <w:col w:w="540"/>
          </w:cols>
          <w:pgMar w:left="240" w:top="233" w:right="27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8620" w:space="180"/>
            <w:col w:w="260" w:space="80"/>
            <w:col w:w="160" w:space="180"/>
            <w:col w:w="1900"/>
          </w:cols>
          <w:pgMar w:left="240" w:top="233" w:right="27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As of the close of business on May 6, 2015, 230,912,060 shares of common stock, par value $.01 per share, were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4340" w:type="dxa"/>
            <w:vAlign w:val="bottom"/>
            <w:tcBorders>
              <w:bottom w:val="single" w:sz="8" w:color="0000FF"/>
            </w:tcBorders>
            <w:gridSpan w:val="11"/>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5100" w:type="dxa"/>
            <w:vAlign w:val="bottom"/>
            <w:gridSpan w:val="7"/>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378"/>
        </w:trPr>
        <w:tc>
          <w:tcPr>
            <w:tcW w:w="94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5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Balance Sheets — </w:t>
              </w:r>
            </w:hyperlink>
            <w:r>
              <w:rPr>
                <w:rFonts w:ascii="Arial" w:cs="Arial" w:eastAsia="Arial" w:hAnsi="Arial"/>
                <w:sz w:val="18"/>
                <w:szCs w:val="18"/>
                <w:color w:val="0000FF"/>
                <w:w w:val="89"/>
              </w:rPr>
              <w:t>April 3, 2015 and June 27, 2014</w:t>
            </w:r>
          </w:p>
        </w:tc>
        <w:tc>
          <w:tcPr>
            <w:tcW w:w="3560" w:type="dxa"/>
            <w:vAlign w:val="bottom"/>
            <w:gridSpan w:val="5"/>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Statements of Income — Three and Nine Months Ended April 3, 2015 and March 28, 2014</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Income — Three and Nine Months Ended April 3, 2015 and March</w:t>
              </w:r>
            </w:hyperlink>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28, 2014</w:t>
              </w:r>
            </w:hyperlink>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 </w:t>
              </w:r>
            </w:hyperlink>
            <w:r>
              <w:rPr>
                <w:rFonts w:ascii="Arial" w:cs="Arial" w:eastAsia="Arial" w:hAnsi="Arial"/>
                <w:sz w:val="18"/>
                <w:szCs w:val="18"/>
                <w:color w:val="0000FF"/>
              </w:rPr>
              <w:t>Nine Months Ended April 3, 2015 and March 28, 2014</w:t>
            </w:r>
          </w:p>
        </w:tc>
        <w:tc>
          <w:tcPr>
            <w:tcW w:w="19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340" w:type="dxa"/>
            <w:vAlign w:val="bottom"/>
          </w:tcPr>
          <w:p>
            <w:pPr>
              <w:spacing w:after="0"/>
              <w:rPr>
                <w:sz w:val="24"/>
                <w:szCs w:val="24"/>
                <w:color w:val="auto"/>
              </w:rPr>
            </w:pPr>
          </w:p>
        </w:tc>
        <w:tc>
          <w:tcPr>
            <w:tcW w:w="7940" w:type="dxa"/>
            <w:vAlign w:val="bottom"/>
            <w:tcBorders>
              <w:top w:val="single" w:sz="8" w:color="0000FF"/>
            </w:tcBorders>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160" w:type="dxa"/>
            <w:vAlign w:val="bottom"/>
            <w:gridSpan w:val="3"/>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900" w:type="dxa"/>
            <w:vAlign w:val="bottom"/>
            <w:gridSpan w:val="12"/>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2440" w:type="dxa"/>
            <w:vAlign w:val="bottom"/>
            <w:gridSpan w:val="4"/>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1800" w:type="dxa"/>
            <w:vAlign w:val="bottom"/>
            <w:gridSpan w:val="5"/>
          </w:tcPr>
          <w:p>
            <w:pPr>
              <w:ind w:left="40"/>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Controls and Procedures</w:t>
              </w:r>
            </w:hyperlink>
          </w:p>
        </w:tc>
        <w:tc>
          <w:tcPr>
            <w:tcW w:w="2580" w:type="dxa"/>
            <w:vAlign w:val="bottom"/>
            <w:gridSpan w:val="5"/>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1.</w:t>
              </w:r>
            </w:hyperlink>
          </w:p>
        </w:tc>
        <w:tc>
          <w:tcPr>
            <w:tcW w:w="2240" w:type="dxa"/>
            <w:vAlign w:val="bottom"/>
            <w:gridSpan w:val="6"/>
          </w:tcPr>
          <w:p>
            <w:pPr>
              <w:ind w:left="40"/>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6680" w:type="dxa"/>
            <w:vAlign w:val="bottom"/>
            <w:gridSpan w:val="10"/>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880" w:type="dxa"/>
            <w:vAlign w:val="bottom"/>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7560" w:type="dxa"/>
            <w:vAlign w:val="bottom"/>
            <w:gridSpan w:val="12"/>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4380" w:type="dxa"/>
            <w:vAlign w:val="bottom"/>
            <w:gridSpan w:val="10"/>
          </w:tcPr>
          <w:p>
            <w:pPr>
              <w:ind w:left="40"/>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Unregistered Sales of Equity Securities and Use of Proceeds</w:t>
              </w:r>
            </w:hyperlink>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6.</w:t>
              </w:r>
            </w:hyperlink>
          </w:p>
        </w:tc>
        <w:tc>
          <w:tcPr>
            <w:tcW w:w="640" w:type="dxa"/>
            <w:vAlign w:val="bottom"/>
            <w:gridSpan w:val="2"/>
          </w:tcPr>
          <w:p>
            <w:pPr>
              <w:ind w:left="40"/>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Exhibits</w:t>
              </w:r>
            </w:hyperlink>
          </w:p>
        </w:tc>
        <w:tc>
          <w:tcPr>
            <w:tcW w:w="3740" w:type="dxa"/>
            <w:vAlign w:val="bottom"/>
            <w:gridSpan w:val="8"/>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fiscal year ends on the Friday nearest to June 30 and typically consists of 52 weeks. Approximately every six years, we report a 53-week fiscal year to align our fiscal year with the foregoing policy. Our fiscal third quarters ended April 3, 2015 and March 28, 2014 both consisted of 13 weeks. Fiscal year 2014 was comprised of 52 weeks and ended on June 27, 2014. Fiscal year 2015 will be comprised of 53 weeks and will end on July 3, 2015. Fiscal year 2016 will be comprised of 52 weeks and will end on July 1, 2016. 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11"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WDC, a Delaware corporation, is the parent company of our storage business, which operates under two independent subsidiaries – HGST and WD. Our principal executive offices are located at 3355 Michelson Drive, Suite 100, Irvine, California 92612. Our telephone number is (949) 672-7000 and our website is www.westerndigital.com. The information on our website is not incorporated in this Quarterly Report on Form 10-Q.</w:t>
      </w:r>
    </w:p>
    <w:p>
      <w:pPr>
        <w:spacing w:after="0" w:line="1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Western Digital, WD and the WD logo are trademarks of Western Digital Technologies, Inc. and/or its affiliates. All other trademarks mentioned are the property of their respective owners.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April 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31"/>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arbitration award</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warranty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(Notes 4 and 5)</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$.01 par value; authorized — 5 shares; issued and outstanding — none</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$.01 par value; authorized — 450 shares; issued — 261 shares; outstanding — 231 and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234 shares, respectively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 common shares at cost; 30 and 27 shares, respectively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22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98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related to arbitration award</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Employee termination, asset impairment and other charges</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9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1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4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 on foreign exchange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r>
      <w:tr>
        <w:trPr>
          <w:trHeight w:val="27"/>
        </w:trPr>
        <w:tc>
          <w:tcPr>
            <w:tcW w:w="4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471"/>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from insurance recovery</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Loss on disposal of assets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portion of employee termination, asset impairment and other charges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 non-cash operating activities, net</w:t>
            </w:r>
          </w:p>
        </w:tc>
        <w:tc>
          <w:tcPr>
            <w:tcW w:w="1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arbitration award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investing activities, net</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employee stock plans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Taxes paid on vested stock awards under employee stock plans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employee stock plans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shareholders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debt</w:t>
            </w:r>
          </w:p>
        </w:tc>
        <w:tc>
          <w:tcPr>
            <w:tcW w:w="1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Accrual of cash dividend declared</w:t>
            </w: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74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accounting policies followed by Western Digital Corporation (the “Company”) are set forth in Part II, Item 8, Note 1 of the Notes to Consolidated Financial Statements included in the Company’s Annual Report on Form 10-K for the year ended June 27, 2014.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unaudited condensed consolidated financial statements should be read in conjunction with the consolidated financial statements and the notes thereto included in the Company’s Annual Report on Form 10-K for the year ended June 27, 2014. The results of operations for interim periods are not necessarily indicative of results to be expected for the full year. The Company's fiscal year ends on the Friday nearest to June 30 and typically consists of 52 weeks. Approximately every six years, the Company reports a 53-week fiscal year to align its fiscal year with the foregoing policy. The Company's fiscal third quarters ended April 3, 2015 and March 28, 2014 both consisted of 13 weeks. Fiscal year 2015 will be comprised of 53 weeks and will end on July 3, 2015.</w:t>
      </w:r>
    </w:p>
    <w:p>
      <w:pPr>
        <w:spacing w:after="0" w:line="1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Statement Data</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Inventories; Property, Plant and Equipment; and Other Intangible Assets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April 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right"/>
              <w:ind w:right="593"/>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Raw materials and component parts</w:t>
            </w:r>
          </w:p>
        </w:tc>
        <w:tc>
          <w:tcPr>
            <w:tcW w:w="1180" w:type="dxa"/>
            <w:vAlign w:val="bottom"/>
          </w:tcPr>
          <w:p>
            <w:pPr>
              <w:jc w:val="right"/>
              <w:ind w:right="97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Work-in-process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651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inventories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(5,469)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intangible assets: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 assets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Accumulated amortization</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intangible assets, net</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The warranty provision considers estimated product failure rates and trends, estimated replacement costs, estimated repair costs which include scrap costs, and estimated costs for customer compensatory claims related to product quality issues, if any. A statistical warranty tracking model is used to help prepare estimates and assist the Company in exercising judgment in determining the underlying estimates. The statistical tracking model captures specific detail on hard drive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returned products or costs of customer compensatory claims differ significantly from estimates, future results of operations could be materially affected.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warranty accrual were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w w:val="98"/>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46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39"/>
              <w:spacing w:after="0" w:line="153" w:lineRule="exact"/>
              <w:rPr>
                <w:sz w:val="20"/>
                <w:szCs w:val="20"/>
                <w:color w:val="auto"/>
              </w:rPr>
            </w:pPr>
            <w:r>
              <w:rPr>
                <w:rFonts w:ascii="Arial" w:cs="Arial" w:eastAsia="Arial" w:hAnsi="Arial"/>
                <w:sz w:val="14"/>
                <w:szCs w:val="14"/>
                <w:b w:val="1"/>
                <w:bCs w:val="1"/>
                <w:color w:val="auto"/>
              </w:rPr>
              <w:t>March 28,</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22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44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beginning of period</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w w:val="99"/>
              </w:rPr>
              <w:t>Warranty liability assumed as a result of acquisition</w:t>
            </w:r>
          </w:p>
        </w:tc>
        <w:tc>
          <w:tcPr>
            <w:tcW w:w="120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operations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Utilization</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Changes in estimate related to pre-existing warranties</w:t>
            </w: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Warranty accrual, end of period</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221</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r>
      <w:tr>
        <w:trPr>
          <w:trHeight w:val="27"/>
        </w:trPr>
        <w:tc>
          <w:tcPr>
            <w:tcW w:w="44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long-term portion of the warranty accrual classified in other liabilities was $65 million as of April 3, 2015 and $63 million as of June 27, 2014.</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by major type, the fair value and cost basis of the Company’s investments as of April 3, 2015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 (Losses)</w:t>
            </w:r>
          </w:p>
        </w:tc>
        <w:tc>
          <w:tcPr>
            <w:tcW w:w="38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204</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57"/>
        </w:trPr>
        <w:tc>
          <w:tcPr>
            <w:tcW w:w="5380" w:type="dxa"/>
            <w:vAlign w:val="bottom"/>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522</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as of April 3, 2015,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 (short-term investments):</w:t>
            </w:r>
          </w:p>
        </w:tc>
        <w:tc>
          <w:tcPr>
            <w:tcW w:w="142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Due in one to five years (included in other non-current assets):</w:t>
            </w: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294</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r>
      <w:tr>
        <w:trPr>
          <w:trHeight w:val="20"/>
        </w:trPr>
        <w:tc>
          <w:tcPr>
            <w:tcW w:w="7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by major type, the fair value and cost basis of the Company’s investments as of June 27, 2014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tcPr>
          <w:p>
            <w:pPr>
              <w:jc w:val="right"/>
              <w:ind w:right="54"/>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 (Losses)</w:t>
            </w:r>
          </w:p>
        </w:tc>
        <w:tc>
          <w:tcPr>
            <w:tcW w:w="38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165</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57"/>
        </w:trPr>
        <w:tc>
          <w:tcPr>
            <w:tcW w:w="5380" w:type="dxa"/>
            <w:vAlign w:val="bottom"/>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2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499</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440" w:type="dxa"/>
            <w:vAlign w:val="bottom"/>
          </w:tcPr>
          <w:p>
            <w:pPr>
              <w:jc w:val="right"/>
              <w:ind w:right="974"/>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as of June 27, 2014,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 (short-term investments):</w:t>
            </w:r>
          </w:p>
        </w:tc>
        <w:tc>
          <w:tcPr>
            <w:tcW w:w="142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Due in one to five years (included in other non-current assets):</w:t>
            </w: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215</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r>
      <w:tr>
        <w:trPr>
          <w:trHeight w:val="20"/>
        </w:trPr>
        <w:tc>
          <w:tcPr>
            <w:tcW w:w="7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determined no available-for-sale securities were other-than-temporarily impaired in the three and nine months ended April 3, 2015. For more information on the Company's available-for-sale securities, see Note 7 below.</w:t>
      </w:r>
    </w:p>
    <w:p>
      <w:pPr>
        <w:spacing w:after="0" w:line="18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addition, the Company enters into certain strategic investments for the promotion of business and strategic objectives. These strategic investments are recorded at cost as a component of the other non-current assets line item within the condensed consolidated balance sheets and were not material to the condensed consolidated financial statements as of April 3, 2015 and June 27, 2014.</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5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Other comprehensive income (loss) refers to revenue, expenses, gains and losses that are recorded as an element of shareholders’ equity but are excluded from net income. The Company’s other comprehensive income (loss) is comprised of unrealized gains and losses on foreign exchange contracts. There were no unrealized gains or losses on the Company's available-for-sale securities or actuarial gains and losses related to pensions in both the nine months ended April 3, 2015 and March 28, 2014. In addition, the income tax impact on components of other comprehensive income (loss) is immaterial for all periods presented.</w:t>
      </w:r>
    </w:p>
    <w:p>
      <w:pPr>
        <w:spacing w:after="0" w:line="21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for the nine months ended April 3, 2015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Actuarial Pension</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 (Loss) on</w:t>
            </w:r>
          </w:p>
        </w:tc>
        <w:tc>
          <w:tcPr>
            <w:tcW w:w="16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Foreign Exchange</w:t>
            </w: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2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 (loss)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April 3,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for the nine months ended March 28, 2014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Actuarial Pension</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 Gain (Loss) on</w:t>
            </w:r>
          </w:p>
        </w:tc>
        <w:tc>
          <w:tcPr>
            <w:tcW w:w="140" w:type="dxa"/>
            <w:vAlign w:val="bottom"/>
          </w:tcPr>
          <w:p>
            <w:pPr>
              <w:spacing w:after="0"/>
              <w:rPr>
                <w:sz w:val="14"/>
                <w:szCs w:val="14"/>
                <w:color w:val="auto"/>
              </w:rPr>
            </w:pPr>
          </w:p>
        </w:tc>
        <w:tc>
          <w:tcPr>
            <w:tcW w:w="16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Foreign Exchange</w:t>
            </w:r>
          </w:p>
        </w:tc>
        <w:tc>
          <w:tcPr>
            <w:tcW w:w="140" w:type="dxa"/>
            <w:vAlign w:val="bottom"/>
          </w:tcPr>
          <w:p>
            <w:pPr>
              <w:spacing w:after="0"/>
              <w:rPr>
                <w:sz w:val="12"/>
                <w:szCs w:val="12"/>
                <w:color w:val="auto"/>
              </w:rPr>
            </w:pPr>
          </w:p>
        </w:tc>
        <w:tc>
          <w:tcPr>
            <w:tcW w:w="16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6"/>
                <w:szCs w:val="16"/>
                <w:color w:val="auto"/>
              </w:rPr>
            </w:pPr>
          </w:p>
        </w:tc>
        <w:tc>
          <w:tcPr>
            <w:tcW w:w="166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28, 2013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24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Amounts reclassified from accumulated other comprehensive income (loss)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28,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34"/>
        </w:trPr>
        <w:tc>
          <w:tcPr>
            <w:tcW w:w="6240" w:type="dxa"/>
            <w:vAlign w:val="bottom"/>
          </w:tcPr>
          <w:p>
            <w:pPr>
              <w:ind w:left="566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Common Share</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certain dilutive outstanding employee stock options, rights to purchase shares of common stock under the Company’s Employee Stock Purchase Plan (“ESPP”) and restricted stock unit awards (“RSUs”).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computation of basic and diluted income per common share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Ended</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Employee stock options and other</w:t>
            </w:r>
          </w:p>
        </w:tc>
        <w:tc>
          <w:tcPr>
            <w:tcW w:w="38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37"/>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5.23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 common shares excluded*</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200" w:hanging="465"/>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On January 9, 2014, Western Digital Ireland, Ltd. (“WDI”) used existing cash to repay the outstanding term loan balance of $1.8 billion under its previous credit agreement, dated March 8, 2012. Also on January 9, 2014, the Company, Western Digital Technologies, Inc. (“WDT”) and WDI entered into a new credit agreement with JPMorgan Chase Bank, N.A., as administrative agent, and the lenders party thereto, which was subsequently amended on February 25, 2015 (as amended, the "Credit Agreement") to add Western Digital International, Ltd. (”WD International”) as an additional borrower. The Credit Agreement provides for $4.0 billion of unsecured loan facilities consisting of a $2.5 billion term loan facility to WDT and a $1.5 billion revolving credit facility to WDT, WDI and WD International (each, a “Borrower” and collectively, the “Borrowers”). The revolving credit facility includes a $100 million sublimit for letters of credit and a $50 million sublimit for swing line loans. Subject to certain conditions, a Borrower may elect to expand the credit facilities by, or obtain incremental term loans of, up to $1.0 billion if existing or new lenders provide additional term or revolving commitments. The loans under the Credit Agreement have a five-year term. The obligations of the Borrowers under the Credit Agreement are guaranteed by the Company and its material domestic subsidiaries, and the obligations of WDI and WD International under the Credit Agreement are also guaranteed by WDT.</w:t>
      </w:r>
    </w:p>
    <w:p>
      <w:pPr>
        <w:spacing w:after="0" w:line="11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April 3, 2015, no amounts were outstanding under the revolving credit facility and the term loan facility had an outstanding balance of $2.3 billion and a variable interest rate of 1.68%. The Company is required to make quarterly principal payments on the term loan facility totaling $31 million for the remainder of fiscal 2015, $156 million in fiscal 2016, $219 million in fiscal 2017, $250 million in fiscal 2018 and the remaining balance of $1.7 billion in fiscal 2019.</w:t>
      </w:r>
    </w:p>
    <w:p>
      <w:pPr>
        <w:spacing w:after="0" w:line="133"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Credit Agreement requires the Company to comply with a leverage ratio and an interest coverage ratio calculated on a consolidated basis for the Company and its subsidiaries. In addition, the Credit Agreement contains customary covenants, including covenants that limit or restrict the Company’s and its subsidiaries’ ability to incur liens, incur indebtedness, make certain restricted payments, merge or consolidate and enter into certain speculative hedging arrangements, and customary events of default. As of April 3, 2015, the Company was in compliance with all covenants.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25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21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HGST refers to Hitachi Global Storage Technologies Holdings Pte. Ltd. or one or more of its subsidiaries as of the HGST Closing Date, and “the Company” refers to Western Digital Corporation and all of its subsidiaries on a consolidated basis including HGST.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Intellectual Property Litigation</w:t>
      </w:r>
    </w:p>
    <w:p>
      <w:pPr>
        <w:spacing w:after="0" w:line="25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June 18, 2008, plaintiff Convolve, Inc. (“Convolve”) filed a complaint in the Eastern District of Texas against WD, HGST, and two other companies alleging infringement of U.S. Patent Nos. 6,314,473 and 4,916,635. The complaint sought unspecified monetary damages and injunctive relief. On October 10, 2008, Convolve amended its complaint to allege infringement of only the ‘473 patent. The ‘473 patent allegedly relates to interface technology to select between certain modes of a disk drive’s operations relating to speed and noise. A trial in the matter began on July 18, 2011 and concluded on July 26, 2011 with a verdict against WD and HGST in an amount that is not material to the Company’s financial position, results of operations or cash flows, for which the Company previously recorded an accrual. WD and HGST filed post-trial motions challenging the verdict. On January 17, 2014 and February 11, 2015, the Court denied WD’s and HGST’s post-trial motions. On March 13, 2015, WD and HGST filed Notices of Appeal with the United States District Court for the Federal Circuit (“Federal Circuit”). On April 16, 2015, Convolve filed a motion for reconsideration of the final judgment. WD and HGST intend to continue to defend themselves vigorously in this matter.</w:t>
      </w:r>
    </w:p>
    <w:p>
      <w:pPr>
        <w:spacing w:after="0" w:line="209"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On August 1, 2011, plaintiff Guzik Technical Enterprises (“Guzik”) filed a complaint in the Northern District of California against WD and various of its subsidiaries alleging infringement of U.S. Patent Nos. 6,023,145 and 6,785,085, breach of contract and misappropriation of trade secrets. The complaint sought injunctive relief and unspecified monetary damages, fees and costs. The patents asserted by Guzik allegedly related to devices used to test hard disk drive heads and media. On November 30, 2013, WD entered into a settlement agreement for an amount that is not material to the Company’s financial position, results of operations or cash flows, for which the Company recorded an accrual. Guzik disputed the enforceability of the agreement and on December 27, 2013, WD filed a motion to enforce the agreement. The Court granted WD’s motion to enforce the settlement agreement on March 21, 2014. On April 14, 2014, Guzik filed a Notice of Appeal with the Federal Circuit. On January 9, 2015, the Federal Circuit affirmed the Court’s decision granting WD’s motion to enforce the settlement agreement. This matter is now resolved.</w:t>
      </w:r>
    </w:p>
    <w:p>
      <w:pPr>
        <w:spacing w:after="0" w:line="179"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On March 24, 2014, plaintiff Steven F. Reiber (“Reiber”) filed a complaint in the Eastern District of California against the Company, alleging infringement of U.S. Patent Nos. 7,124,927 and 7,389,905. On September 16, 2014, Reiber filed an amended complaint in the Eastern District of California against the Company alleging infringement of three additional patents-U.S. Patent Nos. 6,935,548, 6,651,864, and 6,354,479. Reiber alleges that WD products (including hard disk drive heads, head gimbal assemblies, head stack assemblies and SSDs) infringe these patents based on the allegation that the manufacturing of these products involves the use of certain bonding tools (e.g., wire-bonding tips, capillary tips, and flip-chip handling tools) that have electrically “dissipative” properties, and which are used when bonding components, such as leads, wires and flip chips. The complaint seeks an injunction, unspecified monetary damages, interests, fees and costs. The Company intends to defend itself vigorously in this matter.</w:t>
      </w:r>
    </w:p>
    <w:p>
      <w:pPr>
        <w:spacing w:after="0" w:line="167" w:lineRule="exact"/>
        <w:rPr>
          <w:sz w:val="20"/>
          <w:szCs w:val="20"/>
          <w:color w:val="auto"/>
        </w:rPr>
      </w:pPr>
    </w:p>
    <w:p>
      <w:pPr>
        <w:ind w:right="340" w:firstLine="392"/>
        <w:spacing w:after="0" w:line="255" w:lineRule="auto"/>
        <w:rPr>
          <w:sz w:val="20"/>
          <w:szCs w:val="20"/>
          <w:color w:val="auto"/>
        </w:rPr>
      </w:pPr>
      <w:r>
        <w:rPr>
          <w:rFonts w:ascii="Arial" w:cs="Arial" w:eastAsia="Arial" w:hAnsi="Arial"/>
          <w:sz w:val="18"/>
          <w:szCs w:val="18"/>
          <w:color w:val="auto"/>
        </w:rPr>
        <w:t>On October 20, 2014, plaintiff SOTA Semiconductor LLC (“SOTA”) filed a complaint in the Central District of California against the Company, Marvell Semiconductor, Inc., Belkin International, Inc., Dell Inc., Hewlett-Packard Company, Hisense USA Corp., Konica Minolta Business Solutions U.S.A., Inc., Lenovo (United States) Inc., Netgear, Inc., Samsung Electronics America, Inc., and Seagate Technology LLC, alleging infringement of U.S. Patent No. 5,991,545. SOTA alleged that the Company’s devices that incorporate Marvell Thumb Processors, including WD’s My Cloud EX2 network attached storage devices, which include model numbers WDBVKW0080JCH, WDBVKW0060JCH, WDBVKW0040JCH and WDBVKW0000NCH, infringe the ’545 patent. The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complaint sought unspecified monetary damages, interest, fees, costs and expenses. On December 12, 2014, the Company filed an answer and counterclaims to SOTA’s complaint. On February 23, 2015, the Court dismissed the action against the Company with prejudice. This matter is now resolved.</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Seagate Matter</w:t>
      </w:r>
    </w:p>
    <w:p>
      <w:pPr>
        <w:spacing w:after="0" w:line="25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October 4, 2006, plaintiff Seagate Technology LLC ("Seagate") filed an action in the District Court of Hennepin County, Minnesota, naming as defendants WD and one of its now former employees previously employed by Seagate. The complaint in the action alleged claims based on misappropriation of trade secrets and sought injunctive relief and unspecified monetary damages, interest, fees and costs. On June 19, 2007, WD’s former employee filed a demand for arbitration with the American Arbitration Association.</w:t>
      </w:r>
    </w:p>
    <w:p>
      <w:pPr>
        <w:spacing w:after="0" w:line="1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January 23, 2012, the arbitrator issued a total final award, including pre-award interest of $630.4 million. On January 23, 2012, WD filed a petition in the District Court of Hennepin County, Minnesota to have the final arbitration award vacated, and, on October 12, 2012, the District Court of Hennepin County, Minnesota vacated, in full, the $630.4 million final arbitration award, ordering that a rehearing be held concerning the alleged trade secret claims before a new arbitrator.</w:t>
      </w:r>
    </w:p>
    <w:p>
      <w:pPr>
        <w:spacing w:after="0" w:line="1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Seagate appealed the District Court decision to the Minnesota Court of Appeals. On July 22, 2013, the Minnesota Court of Appeals reversed the District Court’s decision and remanded for entry of an order and judgment confirming the arbitration award. On August 20, 2013, the Company filed a petition for review with the Minnesota Supreme Court and, on October 15, 2013, the Minnesota Supreme Court granted the Company’s petition. On October 8, 2014, the Minnesota Supreme Court affirmed the decision of the Minnesota Court of Appeals. Because the Minnesota Supreme Court’s decision is not subject to appeal, on October 14, 2014, the Company paid Seagate $773.4 million to satisfy the full amount of the final arbitration award plus interest accrued through October 13, 2014. This amount was paid during the quarter ended January 2, 2015 by one of the Company’s foreign subsidiaries using cash held outside of the United States.</w:t>
      </w:r>
    </w:p>
    <w:p>
      <w:pPr>
        <w:spacing w:after="0" w:line="135"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Seagate disputes the method the Company used for calculating post-award interest and contends that the Company owes Seagate approximately $29 million in additional interest. The Company denies Seagate’s contention and believes it calculated interest properly in accordance with the arbitration award. On November 12, 2014, the Company filed a motion with the District Court seeking an order declaring that WD has paid to Seagate all amounts due under the arbitration award, including all pre-award and post-award interest, and all costs and disbursements assessed by the Minnesota Court of Appeals and the Minnesota Supreme Court. On December 23, 2014, Seagate filed a cross-motion seeking entry of judgment in the amount of $29 million, plus daily interest from October 15, 2014 until the date any judgment is paid. Both parties’ motions were fully briefed and, on January 9, 2015, the District Court heard oral argument on both motions. On April 7, 2015, the District Court granted the Company’s motion and declared that all amounts due and owing from the Company to Seagate have been paid, and a corresponding judgment was entered on April 8, 2015. On May 6, 2015, Seagate appealed the decision and judgment to the Minnesota Court of Appeals. The Company will continue to defend itself vigorously in this matter.</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Matters</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December 22, 2011, the German Central Organization for Private Copying Rights (Zentralstelle für private Überspielungsrechte), (“ZPÜ”), an organization consisting of several copyright collecting societies, instituted arbitration proceedings against Western Digital's German subsidiary ("WD Germany") before the Copyright Arbitration Board (“CAB”) claiming copyright levies for multimedia hard drives, external hard drives and network hard drives sold or introduced into commerce in Germany by WD Germany from January 2008 through December 2010. The CAB, which was required to issue a settlement proposal within one year of the initiation of the action, failed to do so and requested the parties consent to continue the deadline. WD Germany declined to provide consent and, on February 1,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(collectively, "Covered Products") sold or introduced into commerce from January 2008 through December 2010 based on tariffs published by ZPÜ on November 3, 2011. On May 22, 2014, oral argument on the pleadings occurred. On January 15, 2015, the Higher Court ruled in favor of ZPÜ. In its ruling, the Higher Court declared that WD Germany must pay certain levies on certain WD products which it sold in Germany between January 1, 2008 and December 31, 2010. The judgment specifies levy amounts on certain WD products sold from 2008 to 2010 and directs WD Germany to provide applicable sales data to the ZPÜ. The exact amount of the judgment has not been determined. ZPÜ and WD Germany filed appeals with the German Federal Court of Justice on February 18 and February 20, 2015, respectively. WD intends to defend itself vigorously in this matter.</w:t>
      </w:r>
    </w:p>
    <w:p>
      <w:pPr>
        <w:spacing w:after="0" w:line="13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On December 11, 2014, ZPÜ submitted a pleading to the CAB seeking copyright levies for multimedia hard drives, external hard drives and network hard drives sold or introduced into commerce in Germany by WD Germany from January 1, 2012 to December 31, 2013. WD intends to defend itself vigorously in this matter.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$90 million, including the amounts accrued.</w:t>
      </w:r>
    </w:p>
    <w:p>
      <w:pPr>
        <w:spacing w:after="0" w:line="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and is therefore not predictable with assurance, management believes that any monetary liability or financial impact to the Company from these other matters, individually and in the aggregate, would not be material to the Company’s financial condition, results of operations or cash flows. However, there can be no assurance with respect to such result, and monetary liability or financial impact to the Company from these other matters could differ materially from those projected.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Company’s income tax provision for the three and nine months ended April 3, 2015 was $28 million and $85 million, respectively, as compared to $31 million and $105 million in the respective prior-year periods. The Company's tax provision for the nine months ended April 3, 2015 reflects a tax benefit of $16 million resulting from the retroactive extension of the U.S. Federal R&amp;D tax credit that was signed into law on December 19, 2014. The differences between the effective tax rate and the U.S. Federal statutory rate are primarily due to tax holidays in Malaysia, the Philippines, Singapore and Thailand that expire at various dates from 2015 through 2025 and the current year generation of income tax credits.</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the three months ended April 3, 2015, the Company recorded a net increase of $16 million in its liability for unrecognized tax benefits. In the nine months ended April 3, 2015, the Company recorded a net increase of $32 million in its liability for unrecognized tax benefits. As of April 3, 2015, the Company's liability for unrecognized tax benefits was approximately $332 million. Interest and penalties recognized on such amounts were not material to the condensed consolidated financial statements during the three and nine months ended April 3, 2015.</w:t>
      </w:r>
    </w:p>
    <w:p>
      <w:pPr>
        <w:spacing w:after="0" w:line="18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and 2007, and the Company and the IRS reached agreement with respect to all matters except on the proposed adjustments to income before income taxes relating to intercompany payable balances. The proposed adjustments relating to intercompany payable balances for fiscal years 2006 and 2007 will be addressed in conjunction with the IRS’s examination of the Company’s fiscal years 2008 and 2009, which commenced in January 2012. In addition, in January 2012, the IRS commenced an examination of the 2007 fiscal period ended September 5, 2007 of Komag, Incorporated, which was acquired by the Company on September 5, 2007. The Company anticipates that the IRS fieldwork will be completed in the first quarter of fiscal year 2016. With respect to the 2008 and 2009 audit, the Company received a notice of proposed adjustment from the IRS relating to intercompany payable balances. The proposed adjustments to income before income taxes relating to intercompany payable balances for fiscal years 2006, 2007, 2008 and 2009 total approximately $200 million. The Company disagrees with the proposed adjustments, believes that its tax position is properly supported and will vigorously contest the position taken by the IRS. The IRS examined calendar years 2010 and 2011 of HGST, which was acquired by the Company on March 8, 2012, and completed the examination with no material adjustments.</w:t>
      </w:r>
    </w:p>
    <w:p>
      <w:pPr>
        <w:spacing w:after="0" w:line="1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the Company could be required to adjust its provision for income taxes in the period such resolution occurs. As of April 3, 2015,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 2015, and indicates the fair value hierarchy of the valuation techniques utilized to determine such value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Reporting Date Using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758</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758</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short-term investments</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long-term investments</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 at fair value</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758</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liabilities at fair value</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27, 2014, and indicates the fair value hierarchy of the valuation techniques utilized to determine such value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Reporting Date Using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756</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Bank acceptances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756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756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w:t>
            </w:r>
          </w:p>
        </w:tc>
      </w:tr>
      <w:tr>
        <w:trPr>
          <w:trHeight w:val="67"/>
        </w:trPr>
        <w:tc>
          <w:tcPr>
            <w:tcW w:w="56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40" w:firstLine="405"/>
        <w:spacing w:after="0" w:line="342" w:lineRule="auto"/>
        <w:rPr>
          <w:sz w:val="20"/>
          <w:szCs w:val="20"/>
          <w:color w:val="auto"/>
        </w:rPr>
      </w:pPr>
      <w:r>
        <w:rPr>
          <w:rFonts w:ascii="Arial" w:cs="Arial" w:eastAsia="Arial" w:hAnsi="Arial"/>
          <w:sz w:val="16"/>
          <w:szCs w:val="16"/>
          <w:i w:val="1"/>
          <w:iCs w:val="1"/>
          <w:color w:val="auto"/>
        </w:rPr>
        <w:t xml:space="preserve">Money Market Funds. </w:t>
      </w:r>
      <w:r>
        <w:rPr>
          <w:rFonts w:ascii="Arial" w:cs="Arial" w:eastAsia="Arial" w:hAnsi="Arial"/>
          <w:sz w:val="16"/>
          <w:szCs w:val="16"/>
          <w:color w:val="auto"/>
        </w:rPr>
        <w:t>The Company’s money market funds are funds that invest in U.S. Treasury and U.S. Government Agency securities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within cash and cash equivalents in the condensed consolidated balance sheets. Money market funds are valued based on quoted market prices.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and recorded within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condensed consolidated balance sheets. Certificates of deposit are valued using fixed interest rates.</w:t>
      </w:r>
    </w:p>
    <w:p>
      <w:pPr>
        <w:spacing w:after="0" w:line="11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 grade debt issued by corporations which are held in custody by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with original maturities of twelve months or less and are recorded within cash and cash equivalents or short-term investments in the condensed consolidated balance sheets depending on their original maturities. Commercial paper securities are valued using a market approach which is based on observable inputs including market interest rates from multiple pricing sources.</w:t>
      </w:r>
    </w:p>
    <w:p>
      <w:pPr>
        <w:spacing w:after="0" w:line="13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U.S. Government Agency Securities. </w:t>
      </w:r>
      <w:r>
        <w:rPr>
          <w:rFonts w:ascii="Arial" w:cs="Arial" w:eastAsia="Arial" w:hAnsi="Arial"/>
          <w:sz w:val="17"/>
          <w:szCs w:val="17"/>
          <w:color w:val="auto"/>
        </w:rPr>
        <w:t>The Company’s U.S. Government agency securities are investments in fixed income securities sponsored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U.S. Government and are held in custody by a third party and recorded within cash and cash equivalents, short-term investments or other non-current assets in the condensed consolidated balance sheets depending on their original maturities. U.S. Government agency securities are valued using a market approach which is based on observable inputs including market interest rates from multiple pricing sources.</w:t>
      </w:r>
    </w:p>
    <w:p>
      <w:pPr>
        <w:spacing w:after="0" w:line="117"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i w:val="1"/>
          <w:iCs w:val="1"/>
          <w:color w:val="auto"/>
        </w:rPr>
        <w:t xml:space="preserve">U.S. Treasury Securities. </w:t>
      </w:r>
      <w:r>
        <w:rPr>
          <w:rFonts w:ascii="Arial" w:cs="Arial" w:eastAsia="Arial" w:hAnsi="Arial"/>
          <w:sz w:val="17"/>
          <w:szCs w:val="17"/>
          <w:color w:val="auto"/>
        </w:rPr>
        <w:t>The Company’s U.S. Treasury securities are direct obligations of the U.S. federal government, are held in custody by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and are recorded within other non-current assets in the condensed consolidated balance sheets. U.S. Treasury securities are valued using a market approach which is based on observable inputs including market interest rates from multiple pricing sources.</w:t>
      </w:r>
    </w:p>
    <w:p>
      <w:pPr>
        <w:spacing w:after="0" w:line="11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Bank Acceptances. </w:t>
      </w:r>
      <w:r>
        <w:rPr>
          <w:rFonts w:ascii="Arial" w:cs="Arial" w:eastAsia="Arial" w:hAnsi="Arial"/>
          <w:sz w:val="18"/>
          <w:szCs w:val="18"/>
          <w:color w:val="auto"/>
        </w:rPr>
        <w:t>The Company’s bank acceptances are held in custody by a third party and recorded within cash and cash equivalents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balance sheets. Bank acceptances are valued using a market approach which is based on observable inputs including market interest rates from multiple pricing sources.</w:t>
      </w:r>
    </w:p>
    <w:p>
      <w:pPr>
        <w:spacing w:after="0" w:line="154" w:lineRule="exact"/>
        <w:rPr>
          <w:sz w:val="20"/>
          <w:szCs w:val="20"/>
          <w:color w:val="auto"/>
        </w:rPr>
      </w:pPr>
    </w:p>
    <w:p>
      <w:pPr>
        <w:ind w:firstLine="405"/>
        <w:spacing w:after="0" w:line="326" w:lineRule="auto"/>
        <w:rPr>
          <w:sz w:val="20"/>
          <w:szCs w:val="20"/>
          <w:color w:val="auto"/>
        </w:rPr>
      </w:pPr>
      <w:r>
        <w:rPr>
          <w:rFonts w:ascii="Arial" w:cs="Arial" w:eastAsia="Arial" w:hAnsi="Arial"/>
          <w:sz w:val="17"/>
          <w:szCs w:val="17"/>
          <w:i w:val="1"/>
          <w:iCs w:val="1"/>
          <w:color w:val="auto"/>
        </w:rPr>
        <w:t xml:space="preserve">Foreign Exchange Contracts. </w:t>
      </w:r>
      <w:r>
        <w:rPr>
          <w:rFonts w:ascii="Arial" w:cs="Arial" w:eastAsia="Arial" w:hAnsi="Arial"/>
          <w:sz w:val="17"/>
          <w:szCs w:val="17"/>
          <w:color w:val="auto"/>
        </w:rPr>
        <w:t>The Company’s foreign exchange contracts are short-term contracts to hedge the Company’s foreign currency risk.</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exchange contracts are classified within other current assets and liabilities in the condensed consolidated balance sheets. For contracts that have a right of offset by its individual counterparties under master netting arrangements, the Company presents its foreign exchange contracts on a net basis by counterparty in the condensed consolidated balance sheets. For more information on the Company's foreign exchange contracts, see Note 8. Foreign exchange contracts are valued using an income approach that is based on a present value of future cash flows model. The market-based observable inputs for the model include forward rates and credit default swap rates.</w:t>
      </w:r>
    </w:p>
    <w:p>
      <w:pPr>
        <w:spacing w:after="0" w:line="95"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The carrying amounts of cash, accounts receivable, accounts payable and accrued expenses approximate fair value for all periods presented because of the short-term maturity of these assets and liabilities. The carrying amount of debt approximates fair value because of its variable interest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Foreign Exchange Contracts</w:t>
      </w:r>
    </w:p>
    <w:p>
      <w:pPr>
        <w:spacing w:after="0" w:line="94" w:lineRule="exact"/>
        <w:rPr>
          <w:sz w:val="20"/>
          <w:szCs w:val="20"/>
          <w:color w:val="auto"/>
        </w:rPr>
      </w:pPr>
    </w:p>
    <w:p>
      <w:pPr>
        <w:ind w:right="220" w:firstLine="432"/>
        <w:spacing w:after="0" w:line="291" w:lineRule="auto"/>
        <w:rPr>
          <w:sz w:val="20"/>
          <w:szCs w:val="20"/>
          <w:color w:val="auto"/>
        </w:rPr>
      </w:pPr>
      <w:r>
        <w:rPr>
          <w:rFonts w:ascii="Arial" w:cs="Arial" w:eastAsia="Arial" w:hAnsi="Arial"/>
          <w:sz w:val="16"/>
          <w:szCs w:val="16"/>
          <w:color w:val="auto"/>
        </w:rPr>
        <w:t>Although the majority of the Company’s transactions are in U.S. dollars, some transactions are based in various foreign currencies. The Company purchases short-term,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trading purposes. As of April 3, 2015, the Company had outstanding foreign exchange contracts with commercial banks for British Pound Sterling, Euro, Japanese Yen, Malaysian Ringgit, Philippine Peso, Singapore Dollar and Thai Baht, which were designated as either cash flow or fair value hedges.</w:t>
      </w:r>
    </w:p>
    <w:p>
      <w:pPr>
        <w:spacing w:after="0" w:line="11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and nine months ended April 3, 2015 and March 28, 2014.</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change in the fair value of fair value hedges is recognized in earnings in the period incurred and is reported as a component of cost of revenue or operating expenses, depending on the nature of the underlying hedged item. All fair value hedges were determined to be effective as of April 3, 2015 and June 27, 2014. The changes in fair value on these contracts were immaterial to the condensed consolidated financial statements during the three and nine months ended April 3, 2015 and March 28, 2014.</w:t>
      </w:r>
    </w:p>
    <w:p>
      <w:pPr>
        <w:spacing w:after="0" w:line="133"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As of April 3, 2015, the net amount of unrealized losses with respect to the Company’s foreign exchange contracts that is expected to be reclassified into earnings within the next 12 months was $10 million. In addition, as of April 3, 2015, the Company did not have any foreign exchange contracts with credit-risk-related contingent features. The Company opened $1.5 billion and $3.5 billion, and closed $1.3 billion and $3.5 billion, in foreign exchange contracts in the three and nine months ended April 3, 2015, respectively. In addition, the Company opened $1.0 billion and $3.7 billion, and closed $1.2 billion and $3.8 billion, in foreign exchange contracts in the three and nine months ended March 28, 2014, respectively. The fair value and balance sheet location of the Company's foreign exchange contracts as of April 3, 2015 and June 27, 2014 were as follows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4000" w:type="dxa"/>
            <w:vAlign w:val="bottom"/>
            <w:tcBorders>
              <w:bottom w:val="single" w:sz="8" w:color="auto"/>
            </w:tcBorders>
            <w:gridSpan w:val="4"/>
          </w:tcPr>
          <w:p>
            <w:pPr>
              <w:ind w:left="178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r>
      <w:tr>
        <w:trPr>
          <w:trHeight w:val="358"/>
        </w:trPr>
        <w:tc>
          <w:tcPr>
            <w:tcW w:w="2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8"/>
              </w:rPr>
              <w:t>June 27, 2014</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4"/>
                <w:szCs w:val="14"/>
                <w:b w:val="1"/>
                <w:bCs w:val="1"/>
                <w:color w:val="auto"/>
              </w:rPr>
              <w:t>April 3, 2015</w:t>
            </w: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8"/>
              </w:rPr>
              <w:t>June 27, 2014</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52"/>
        </w:trPr>
        <w:tc>
          <w:tcPr>
            <w:tcW w:w="214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w:t>
            </w:r>
          </w:p>
        </w:tc>
        <w:tc>
          <w:tcPr>
            <w:tcW w:w="182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5"/>
              <w:spacing w:after="0" w:line="153" w:lineRule="exact"/>
              <w:rPr>
                <w:sz w:val="20"/>
                <w:szCs w:val="20"/>
                <w:color w:val="auto"/>
              </w:rPr>
            </w:pPr>
            <w:r>
              <w:rPr>
                <w:rFonts w:ascii="Arial" w:cs="Arial" w:eastAsia="Arial" w:hAnsi="Arial"/>
                <w:sz w:val="14"/>
                <w:szCs w:val="14"/>
                <w:b w:val="1"/>
                <w:bCs w:val="1"/>
                <w:color w:val="auto"/>
              </w:rPr>
              <w:t>Fair</w:t>
            </w:r>
          </w:p>
        </w:tc>
        <w:tc>
          <w:tcPr>
            <w:tcW w:w="15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center"/>
              <w:ind w:right="143"/>
              <w:spacing w:after="0" w:line="153" w:lineRule="exact"/>
              <w:rPr>
                <w:sz w:val="20"/>
                <w:szCs w:val="20"/>
                <w:color w:val="auto"/>
              </w:rPr>
            </w:pPr>
            <w:r>
              <w:rPr>
                <w:rFonts w:ascii="Arial" w:cs="Arial" w:eastAsia="Arial" w:hAnsi="Arial"/>
                <w:sz w:val="14"/>
                <w:szCs w:val="14"/>
                <w:b w:val="1"/>
                <w:bCs w:val="1"/>
                <w:color w:val="auto"/>
              </w:rPr>
              <w:t>Fair</w:t>
            </w:r>
          </w:p>
        </w:tc>
        <w:tc>
          <w:tcPr>
            <w:tcW w:w="1440" w:type="dxa"/>
            <w:vAlign w:val="bottom"/>
            <w:shd w:val="clear" w:color="auto" w:fill="CCEEFF"/>
          </w:tcPr>
          <w:p>
            <w:pPr>
              <w:jc w:val="center"/>
              <w:ind w:left="26"/>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780" w:type="dxa"/>
            <w:vAlign w:val="bottom"/>
            <w:shd w:val="clear" w:color="auto" w:fill="CCEEFF"/>
          </w:tcPr>
          <w:p>
            <w:pPr>
              <w:jc w:val="center"/>
              <w:ind w:left="6"/>
              <w:spacing w:after="0" w:line="153" w:lineRule="exact"/>
              <w:rPr>
                <w:sz w:val="20"/>
                <w:szCs w:val="20"/>
                <w:color w:val="auto"/>
              </w:rPr>
            </w:pPr>
            <w:r>
              <w:rPr>
                <w:rFonts w:ascii="Arial" w:cs="Arial" w:eastAsia="Arial" w:hAnsi="Arial"/>
                <w:sz w:val="14"/>
                <w:szCs w:val="14"/>
                <w:b w:val="1"/>
                <w:bCs w:val="1"/>
                <w:color w:val="auto"/>
              </w:rPr>
              <w:t>Fair</w:t>
            </w:r>
          </w:p>
        </w:tc>
        <w:tc>
          <w:tcPr>
            <w:tcW w:w="154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center"/>
              <w:ind w:right="43"/>
              <w:spacing w:after="0" w:line="153" w:lineRule="exact"/>
              <w:rPr>
                <w:sz w:val="20"/>
                <w:szCs w:val="20"/>
                <w:color w:val="auto"/>
              </w:rPr>
            </w:pPr>
            <w:r>
              <w:rPr>
                <w:rFonts w:ascii="Arial" w:cs="Arial" w:eastAsia="Arial" w:hAnsi="Arial"/>
                <w:sz w:val="14"/>
                <w:szCs w:val="14"/>
                <w:b w:val="1"/>
                <w:bCs w:val="1"/>
                <w:color w:val="auto"/>
              </w:rPr>
              <w:t>Fair</w:t>
            </w:r>
          </w:p>
        </w:tc>
      </w:tr>
      <w:tr>
        <w:trPr>
          <w:trHeight w:val="198"/>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4"/>
                <w:szCs w:val="14"/>
                <w:b w:val="1"/>
                <w:bCs w:val="1"/>
                <w:color w:val="auto"/>
                <w:w w:val="85"/>
              </w:rPr>
              <w:t>Value</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Value</w:t>
            </w:r>
          </w:p>
        </w:tc>
        <w:tc>
          <w:tcPr>
            <w:tcW w:w="1440" w:type="dxa"/>
            <w:vAlign w:val="bottom"/>
            <w:tcBorders>
              <w:bottom w:val="single" w:sz="8" w:color="auto"/>
            </w:tcBorders>
            <w:shd w:val="clear" w:color="auto" w:fill="CCEEFF"/>
          </w:tcPr>
          <w:p>
            <w:pPr>
              <w:jc w:val="center"/>
              <w:ind w:left="26"/>
              <w:spacing w:after="0"/>
              <w:rPr>
                <w:sz w:val="20"/>
                <w:szCs w:val="20"/>
                <w:color w:val="auto"/>
              </w:rPr>
            </w:pPr>
            <w:r>
              <w:rPr>
                <w:rFonts w:ascii="Arial" w:cs="Arial" w:eastAsia="Arial" w:hAnsi="Arial"/>
                <w:sz w:val="14"/>
                <w:szCs w:val="14"/>
                <w:b w:val="1"/>
                <w:bCs w:val="1"/>
                <w:color w:val="auto"/>
                <w:w w:val="92"/>
              </w:rPr>
              <w:t>Location</w:t>
            </w:r>
          </w:p>
        </w:tc>
        <w:tc>
          <w:tcPr>
            <w:tcW w:w="780" w:type="dxa"/>
            <w:vAlign w:val="bottom"/>
            <w:tcBorders>
              <w:bottom w:val="single" w:sz="8" w:color="auto"/>
            </w:tcBorders>
            <w:shd w:val="clear" w:color="auto" w:fill="CCEEFF"/>
          </w:tcPr>
          <w:p>
            <w:pPr>
              <w:jc w:val="center"/>
              <w:ind w:left="6"/>
              <w:spacing w:after="0"/>
              <w:rPr>
                <w:sz w:val="20"/>
                <w:szCs w:val="20"/>
                <w:color w:val="auto"/>
              </w:rPr>
            </w:pPr>
            <w:r>
              <w:rPr>
                <w:rFonts w:ascii="Arial" w:cs="Arial" w:eastAsia="Arial" w:hAnsi="Arial"/>
                <w:sz w:val="14"/>
                <w:szCs w:val="14"/>
                <w:b w:val="1"/>
                <w:bCs w:val="1"/>
                <w:color w:val="auto"/>
                <w:w w:val="90"/>
              </w:rPr>
              <w:t>Value</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6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17"/>
        </w:trPr>
        <w:tc>
          <w:tcPr>
            <w:tcW w:w="214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Other 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85"/>
              <w:spacing w:after="0"/>
              <w:rPr>
                <w:sz w:val="20"/>
                <w:szCs w:val="20"/>
                <w:color w:val="auto"/>
              </w:rPr>
            </w:pPr>
            <w:r>
              <w:rPr>
                <w:rFonts w:ascii="Arial" w:cs="Arial" w:eastAsia="Arial" w:hAnsi="Arial"/>
                <w:sz w:val="16"/>
                <w:szCs w:val="16"/>
                <w:color w:val="auto"/>
              </w:rPr>
              <w:t>2</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Other current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03"/>
              <w:spacing w:after="0"/>
              <w:rPr>
                <w:sz w:val="20"/>
                <w:szCs w:val="20"/>
                <w:color w:val="auto"/>
              </w:rPr>
            </w:pPr>
            <w:r>
              <w:rPr>
                <w:rFonts w:ascii="Arial" w:cs="Arial" w:eastAsia="Arial" w:hAnsi="Arial"/>
                <w:sz w:val="16"/>
                <w:szCs w:val="16"/>
                <w:color w:val="auto"/>
              </w:rPr>
              <w:t>7</w:t>
            </w:r>
          </w:p>
        </w:tc>
        <w:tc>
          <w:tcPr>
            <w:tcW w:w="1440" w:type="dxa"/>
            <w:vAlign w:val="bottom"/>
          </w:tcPr>
          <w:p>
            <w:pPr>
              <w:jc w:val="center"/>
              <w:ind w:left="26"/>
              <w:spacing w:after="0"/>
              <w:rPr>
                <w:sz w:val="20"/>
                <w:szCs w:val="20"/>
                <w:color w:val="auto"/>
              </w:rPr>
            </w:pPr>
            <w:r>
              <w:rPr>
                <w:rFonts w:ascii="Arial" w:cs="Arial" w:eastAsia="Arial" w:hAnsi="Arial"/>
                <w:sz w:val="16"/>
                <w:szCs w:val="16"/>
                <w:color w:val="auto"/>
                <w:w w:val="89"/>
              </w:rPr>
              <w:t>Accrued expenses</w:t>
            </w:r>
          </w:p>
        </w:tc>
        <w:tc>
          <w:tcPr>
            <w:tcW w:w="780" w:type="dxa"/>
            <w:vAlign w:val="bottom"/>
          </w:tcPr>
          <w:p>
            <w:pPr>
              <w:jc w:val="right"/>
              <w:ind w:right="106"/>
              <w:spacing w:after="0"/>
              <w:rPr>
                <w:sz w:val="20"/>
                <w:szCs w:val="20"/>
                <w:color w:val="auto"/>
              </w:rPr>
            </w:pPr>
            <w:r>
              <w:rPr>
                <w:rFonts w:ascii="Arial" w:cs="Arial" w:eastAsia="Arial" w:hAnsi="Arial"/>
                <w:sz w:val="16"/>
                <w:szCs w:val="16"/>
                <w:color w:val="auto"/>
              </w:rPr>
              <w:t>$  17</w:t>
            </w:r>
          </w:p>
        </w:tc>
        <w:tc>
          <w:tcPr>
            <w:tcW w:w="1540" w:type="dxa"/>
            <w:vAlign w:val="bottom"/>
          </w:tcPr>
          <w:p>
            <w:pPr>
              <w:jc w:val="center"/>
              <w:spacing w:after="0"/>
              <w:rPr>
                <w:sz w:val="20"/>
                <w:szCs w:val="20"/>
                <w:color w:val="auto"/>
              </w:rPr>
            </w:pPr>
            <w:r>
              <w:rPr>
                <w:rFonts w:ascii="Arial" w:cs="Arial" w:eastAsia="Arial" w:hAnsi="Arial"/>
                <w:sz w:val="16"/>
                <w:szCs w:val="16"/>
                <w:color w:val="auto"/>
                <w:w w:val="88"/>
              </w:rPr>
              <w:t>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2</w:t>
            </w: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various counterparties, and the net amounts recognized in the condensed consolidated balance sheet as of April 3, 2015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Net Amounts of Assets</w:t>
            </w:r>
          </w:p>
        </w:tc>
        <w:tc>
          <w:tcPr>
            <w:tcW w:w="0" w:type="dxa"/>
            <w:vAlign w:val="bottom"/>
          </w:tcPr>
          <w:p>
            <w:pPr>
              <w:spacing w:after="0"/>
              <w:rPr>
                <w:sz w:val="1"/>
                <w:szCs w:val="1"/>
                <w:color w:val="auto"/>
              </w:rPr>
            </w:pPr>
          </w:p>
        </w:tc>
      </w:tr>
      <w:tr>
        <w:trPr>
          <w:trHeight w:val="81"/>
        </w:trPr>
        <w:tc>
          <w:tcPr>
            <w:tcW w:w="686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5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0" w:type="dxa"/>
            <w:vAlign w:val="bottom"/>
          </w:tcPr>
          <w:p>
            <w:pPr>
              <w:spacing w:after="0"/>
              <w:rPr>
                <w:sz w:val="1"/>
                <w:szCs w:val="1"/>
                <w:color w:val="auto"/>
              </w:rPr>
            </w:pPr>
          </w:p>
        </w:tc>
      </w:tr>
      <w:tr>
        <w:trPr>
          <w:trHeight w:val="68"/>
        </w:trPr>
        <w:tc>
          <w:tcPr>
            <w:tcW w:w="686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3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Recognized Assets</w:t>
            </w:r>
          </w:p>
        </w:tc>
        <w:tc>
          <w:tcPr>
            <w:tcW w:w="14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Offset in the Balance</w:t>
            </w: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860" w:type="dxa"/>
            <w:vAlign w:val="bottom"/>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the Balance Sheet</w:t>
            </w:r>
          </w:p>
        </w:tc>
        <w:tc>
          <w:tcPr>
            <w:tcW w:w="0" w:type="dxa"/>
            <w:vAlign w:val="bottom"/>
          </w:tcPr>
          <w:p>
            <w:pPr>
              <w:spacing w:after="0"/>
              <w:rPr>
                <w:sz w:val="1"/>
                <w:szCs w:val="1"/>
                <w:color w:val="auto"/>
              </w:rPr>
            </w:pPr>
          </w:p>
        </w:tc>
      </w:tr>
      <w:tr>
        <w:trPr>
          <w:trHeight w:val="105"/>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80" w:type="dxa"/>
            <w:vAlign w:val="bottom"/>
          </w:tcPr>
          <w:p>
            <w:pPr>
              <w:spacing w:after="0"/>
              <w:rPr>
                <w:sz w:val="9"/>
                <w:szCs w:val="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(Liabilities)</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8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Foreign exchange contracts</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various counterparties, and the net amounts recognized in the condensed consolidated balance sheet as of June 27, 2014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Net Amounts of Assets</w:t>
            </w:r>
          </w:p>
        </w:tc>
        <w:tc>
          <w:tcPr>
            <w:tcW w:w="0" w:type="dxa"/>
            <w:vAlign w:val="bottom"/>
          </w:tcPr>
          <w:p>
            <w:pPr>
              <w:spacing w:after="0"/>
              <w:rPr>
                <w:sz w:val="1"/>
                <w:szCs w:val="1"/>
                <w:color w:val="auto"/>
              </w:rPr>
            </w:pPr>
          </w:p>
        </w:tc>
      </w:tr>
      <w:tr>
        <w:trPr>
          <w:trHeight w:val="81"/>
        </w:trPr>
        <w:tc>
          <w:tcPr>
            <w:tcW w:w="686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5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0" w:type="dxa"/>
            <w:vAlign w:val="bottom"/>
          </w:tcPr>
          <w:p>
            <w:pPr>
              <w:spacing w:after="0"/>
              <w:rPr>
                <w:sz w:val="1"/>
                <w:szCs w:val="1"/>
                <w:color w:val="auto"/>
              </w:rPr>
            </w:pPr>
          </w:p>
        </w:tc>
      </w:tr>
      <w:tr>
        <w:trPr>
          <w:trHeight w:val="68"/>
        </w:trPr>
        <w:tc>
          <w:tcPr>
            <w:tcW w:w="686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3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Recognized Assets</w:t>
            </w:r>
          </w:p>
        </w:tc>
        <w:tc>
          <w:tcPr>
            <w:tcW w:w="14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Offset in the Balance</w:t>
            </w: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860" w:type="dxa"/>
            <w:vAlign w:val="bottom"/>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the Balance Sheet</w:t>
            </w:r>
          </w:p>
        </w:tc>
        <w:tc>
          <w:tcPr>
            <w:tcW w:w="0" w:type="dxa"/>
            <w:vAlign w:val="bottom"/>
          </w:tcPr>
          <w:p>
            <w:pPr>
              <w:spacing w:after="0"/>
              <w:rPr>
                <w:sz w:val="1"/>
                <w:szCs w:val="1"/>
                <w:color w:val="auto"/>
              </w:rPr>
            </w:pPr>
          </w:p>
        </w:tc>
      </w:tr>
      <w:tr>
        <w:trPr>
          <w:trHeight w:val="105"/>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80" w:type="dxa"/>
            <w:vAlign w:val="bottom"/>
          </w:tcPr>
          <w:p>
            <w:pPr>
              <w:spacing w:after="0"/>
              <w:rPr>
                <w:sz w:val="9"/>
                <w:szCs w:val="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(Liabilities)</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8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Foreign exchange contracts</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impact on the condensed consolidated financial statements was as follows (in millions):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2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 of Gain (Loss) Recognized in</w:t>
            </w:r>
          </w:p>
        </w:tc>
        <w:tc>
          <w:tcPr>
            <w:tcW w:w="11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2"/>
              </w:rPr>
              <w:t>Location of</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gridSpan w:val="4"/>
          </w:tcPr>
          <w:p>
            <w:pPr>
              <w:ind w:left="240"/>
              <w:spacing w:after="0" w:line="145" w:lineRule="exact"/>
              <w:rPr>
                <w:sz w:val="20"/>
                <w:szCs w:val="20"/>
                <w:color w:val="auto"/>
              </w:rPr>
            </w:pPr>
            <w:r>
              <w:rPr>
                <w:rFonts w:ascii="Arial" w:cs="Arial" w:eastAsia="Arial" w:hAnsi="Arial"/>
                <w:sz w:val="14"/>
                <w:szCs w:val="14"/>
                <w:b w:val="1"/>
                <w:bCs w:val="1"/>
                <w:color w:val="auto"/>
              </w:rPr>
              <w:t>Accumulated OCI on Derivatives</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vMerge w:val="restart"/>
          </w:tcPr>
          <w:p>
            <w:pPr>
              <w:jc w:val="center"/>
              <w:ind w:left="228"/>
              <w:spacing w:after="0" w:line="139" w:lineRule="exact"/>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65"/>
        </w:trPr>
        <w:tc>
          <w:tcPr>
            <w:tcW w:w="1880" w:type="dxa"/>
            <w:vAlign w:val="bottom"/>
          </w:tcPr>
          <w:p>
            <w:pPr>
              <w:spacing w:after="0"/>
              <w:rPr>
                <w:sz w:val="5"/>
                <w:szCs w:val="5"/>
                <w:color w:val="auto"/>
              </w:rPr>
            </w:pPr>
          </w:p>
        </w:tc>
        <w:tc>
          <w:tcPr>
            <w:tcW w:w="700" w:type="dxa"/>
            <w:vAlign w:val="bottom"/>
            <w:vMerge w:val="restart"/>
          </w:tcPr>
          <w:p>
            <w:pPr>
              <w:jc w:val="center"/>
              <w:ind w:left="148"/>
              <w:spacing w:after="0" w:line="147" w:lineRule="exact"/>
              <w:rPr>
                <w:sz w:val="20"/>
                <w:szCs w:val="20"/>
                <w:color w:val="auto"/>
              </w:rPr>
            </w:pPr>
            <w:r>
              <w:rPr>
                <w:rFonts w:ascii="Arial" w:cs="Arial" w:eastAsia="Arial" w:hAnsi="Arial"/>
                <w:sz w:val="14"/>
                <w:szCs w:val="14"/>
                <w:b w:val="1"/>
                <w:bCs w:val="1"/>
                <w:color w:val="auto"/>
                <w:w w:val="94"/>
              </w:rPr>
              <w:t>Three</w:t>
            </w: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ind w:left="68"/>
              <w:spacing w:after="0" w:line="147" w:lineRule="exact"/>
              <w:rPr>
                <w:sz w:val="20"/>
                <w:szCs w:val="20"/>
                <w:color w:val="auto"/>
              </w:rPr>
            </w:pPr>
            <w:r>
              <w:rPr>
                <w:rFonts w:ascii="Arial" w:cs="Arial" w:eastAsia="Arial" w:hAnsi="Arial"/>
                <w:sz w:val="14"/>
                <w:szCs w:val="14"/>
                <w:b w:val="1"/>
                <w:bCs w:val="1"/>
                <w:color w:val="auto"/>
                <w:w w:val="94"/>
              </w:rPr>
              <w:t>Three</w:t>
            </w:r>
          </w:p>
        </w:tc>
        <w:tc>
          <w:tcPr>
            <w:tcW w:w="1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vMerge w:val="restart"/>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700" w:type="dxa"/>
            <w:vAlign w:val="bottom"/>
            <w:vMerge w:val="restart"/>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Months</w:t>
            </w:r>
          </w:p>
        </w:tc>
        <w:tc>
          <w:tcPr>
            <w:tcW w:w="1340" w:type="dxa"/>
            <w:vAlign w:val="bottom"/>
            <w:gridSpan w:val="2"/>
            <w:vMerge w:val="restart"/>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Nine Months</w:t>
            </w:r>
          </w:p>
        </w:tc>
        <w:tc>
          <w:tcPr>
            <w:tcW w:w="740" w:type="dxa"/>
            <w:vAlign w:val="bottom"/>
            <w:vMerge w:val="restart"/>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Months</w:t>
            </w:r>
          </w:p>
        </w:tc>
        <w:tc>
          <w:tcPr>
            <w:tcW w:w="1140" w:type="dxa"/>
            <w:vAlign w:val="bottom"/>
            <w:vMerge w:val="restart"/>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vMerge w:val="restart"/>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7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3"/>
              </w:rPr>
              <w:t>Ended</w:t>
            </w:r>
          </w:p>
        </w:tc>
        <w:tc>
          <w:tcPr>
            <w:tcW w:w="122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vMerge w:val="restart"/>
          </w:tcPr>
          <w:p>
            <w:pPr>
              <w:spacing w:after="0"/>
              <w:rPr>
                <w:sz w:val="5"/>
                <w:szCs w:val="5"/>
                <w:color w:val="auto"/>
              </w:rPr>
            </w:pPr>
          </w:p>
        </w:tc>
        <w:tc>
          <w:tcPr>
            <w:tcW w:w="7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3"/>
              </w:rPr>
              <w:t>Ended</w:t>
            </w:r>
          </w:p>
        </w:tc>
        <w:tc>
          <w:tcPr>
            <w:tcW w:w="11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3"/>
              </w:rPr>
              <w:t>Ended</w:t>
            </w: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40" w:type="dxa"/>
            <w:vAlign w:val="bottom"/>
          </w:tcPr>
          <w:p>
            <w:pPr>
              <w:jc w:val="center"/>
              <w:ind w:left="248"/>
              <w:spacing w:after="0" w:line="12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52"/>
        </w:trPr>
        <w:tc>
          <w:tcPr>
            <w:tcW w:w="25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Derivatives in Cash</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April 3,</w:t>
            </w:r>
          </w:p>
        </w:tc>
        <w:tc>
          <w:tcPr>
            <w:tcW w:w="1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March 28,</w:t>
            </w:r>
          </w:p>
        </w:tc>
        <w:tc>
          <w:tcPr>
            <w:tcW w:w="114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9"/>
              </w:rPr>
              <w:t>OCI into</w:t>
            </w:r>
          </w:p>
        </w:tc>
        <w:tc>
          <w:tcPr>
            <w:tcW w:w="0" w:type="dxa"/>
            <w:vAlign w:val="bottom"/>
          </w:tcPr>
          <w:p>
            <w:pPr>
              <w:spacing w:after="0"/>
              <w:rPr>
                <w:sz w:val="1"/>
                <w:szCs w:val="1"/>
                <w:color w:val="auto"/>
              </w:rPr>
            </w:pPr>
          </w:p>
        </w:tc>
      </w:tr>
      <w:tr>
        <w:trPr>
          <w:trHeight w:val="186"/>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Flow Hedging Relationships</w:t>
            </w: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jc w:val="right"/>
              <w:ind w:right="708"/>
              <w:spacing w:after="0"/>
              <w:rPr>
                <w:sz w:val="20"/>
                <w:szCs w:val="20"/>
                <w:color w:val="auto"/>
              </w:rPr>
            </w:pPr>
            <w:r>
              <w:rPr>
                <w:rFonts w:ascii="Arial" w:cs="Arial" w:eastAsia="Arial" w:hAnsi="Arial"/>
                <w:sz w:val="14"/>
                <w:szCs w:val="14"/>
                <w:b w:val="1"/>
                <w:bCs w:val="1"/>
                <w:color w:val="auto"/>
              </w:rPr>
              <w:t>2014</w:t>
            </w:r>
          </w:p>
        </w:tc>
        <w:tc>
          <w:tcPr>
            <w:tcW w:w="114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9231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Amount of Gain (Loss) Reclassified</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From Accumulated 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Three</w:t>
            </w:r>
          </w:p>
        </w:tc>
        <w:tc>
          <w:tcPr>
            <w:tcW w:w="130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5"/>
              </w:rPr>
              <w:t>Nine Months</w:t>
            </w: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Three</w:t>
            </w:r>
          </w:p>
        </w:tc>
        <w:tc>
          <w:tcPr>
            <w:tcW w:w="114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7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Months</w:t>
            </w:r>
          </w:p>
        </w:tc>
        <w:tc>
          <w:tcPr>
            <w:tcW w:w="1300" w:type="dxa"/>
            <w:vAlign w:val="bottom"/>
            <w:gridSpan w:val="2"/>
            <w:vMerge w:val="continue"/>
          </w:tcPr>
          <w:p>
            <w:pPr>
              <w:spacing w:after="0"/>
              <w:rPr>
                <w:sz w:val="12"/>
                <w:szCs w:val="12"/>
                <w:color w:val="auto"/>
              </w:rPr>
            </w:pPr>
          </w:p>
        </w:tc>
        <w:tc>
          <w:tcPr>
            <w:tcW w:w="7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Months</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3"/>
              </w:rPr>
              <w:t>Ended</w:t>
            </w:r>
          </w:p>
        </w:tc>
        <w:tc>
          <w:tcPr>
            <w:tcW w:w="12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Ended</w:t>
            </w:r>
          </w:p>
        </w:tc>
        <w:tc>
          <w:tcPr>
            <w:tcW w:w="1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300" w:type="dxa"/>
            <w:vAlign w:val="bottom"/>
            <w:gridSpan w:val="2"/>
          </w:tcPr>
          <w:p>
            <w:pPr>
              <w:jc w:val="center"/>
              <w:ind w:right="800"/>
              <w:spacing w:after="0" w:line="153" w:lineRule="exact"/>
              <w:rPr>
                <w:sz w:val="20"/>
                <w:szCs w:val="20"/>
                <w:color w:val="auto"/>
              </w:rPr>
            </w:pPr>
            <w:r>
              <w:rPr>
                <w:rFonts w:ascii="Arial" w:cs="Arial" w:eastAsia="Arial" w:hAnsi="Arial"/>
                <w:sz w:val="14"/>
                <w:szCs w:val="14"/>
                <w:b w:val="1"/>
                <w:bCs w:val="1"/>
                <w:color w:val="auto"/>
                <w:w w:val="96"/>
              </w:rPr>
              <w:t>April 3,</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1200" w:type="dxa"/>
            <w:vAlign w:val="bottom"/>
          </w:tcPr>
          <w:p>
            <w:pPr>
              <w:jc w:val="right"/>
              <w:ind w:right="7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7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2">
            <w:col w:w="7080" w:space="200"/>
            <w:col w:w="4140"/>
          </w:cols>
          <w:pgMar w:left="240" w:top="125" w:right="239" w:bottom="1440" w:gutter="0" w:footer="0" w:header="0"/>
          <w:type w:val="continuous"/>
        </w:sectPr>
      </w:pPr>
    </w:p>
    <w:p>
      <w:pPr>
        <w:ind w:left="40"/>
        <w:spacing w:after="0"/>
        <w:tabs>
          <w:tab w:leader="none" w:pos="2520" w:val="left"/>
          <w:tab w:leader="none" w:pos="2960" w:val="left"/>
          <w:tab w:leader="none" w:pos="3480" w:val="left"/>
          <w:tab w:leader="none" w:pos="3960" w:val="left"/>
          <w:tab w:leader="none" w:pos="4540" w:val="left"/>
          <w:tab w:leader="none" w:pos="4960" w:val="left"/>
          <w:tab w:leader="none" w:pos="5620" w:val="left"/>
          <w:tab w:leader="none" w:pos="6040" w:val="left"/>
          <w:tab w:leader="none" w:pos="7300" w:val="left"/>
          <w:tab w:leader="none" w:pos="7820" w:val="left"/>
          <w:tab w:leader="none" w:pos="8300" w:val="left"/>
          <w:tab w:leader="none" w:pos="8820" w:val="left"/>
          <w:tab w:leader="none" w:pos="9300" w:val="left"/>
          <w:tab w:leader="none" w:pos="9800" w:val="left"/>
          <w:tab w:leader="none" w:pos="10300" w:val="left"/>
          <w:tab w:leader="none" w:pos="10800" w:val="left"/>
        </w:tabs>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w:t>
        <w:tab/>
        <w:t>$</w:t>
      </w:r>
      <w:r>
        <w:rPr>
          <w:sz w:val="20"/>
          <w:szCs w:val="20"/>
          <w:color w:val="auto"/>
        </w:rPr>
        <w:tab/>
      </w:r>
      <w:r>
        <w:rPr>
          <w:rFonts w:ascii="Arial" w:cs="Arial" w:eastAsia="Arial" w:hAnsi="Arial"/>
          <w:sz w:val="18"/>
          <w:szCs w:val="18"/>
          <w:color w:val="auto"/>
        </w:rPr>
        <w:t>(39)</w:t>
        <w:tab/>
        <w:t>$</w:t>
      </w:r>
      <w:r>
        <w:rPr>
          <w:sz w:val="20"/>
          <w:szCs w:val="20"/>
          <w:color w:val="auto"/>
        </w:rPr>
        <w:tab/>
      </w:r>
      <w:r>
        <w:rPr>
          <w:rFonts w:ascii="Arial" w:cs="Arial" w:eastAsia="Arial" w:hAnsi="Arial"/>
          <w:sz w:val="18"/>
          <w:szCs w:val="18"/>
          <w:color w:val="auto"/>
        </w:rPr>
        <w:t>13</w:t>
        <w:tab/>
        <w:t>$</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Cost of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w:t>
        <w:tab/>
        <w:t>$</w:t>
      </w:r>
      <w:r>
        <w:rPr>
          <w:sz w:val="20"/>
          <w:szCs w:val="20"/>
          <w:color w:val="auto"/>
        </w:rPr>
        <w:tab/>
      </w:r>
      <w:r>
        <w:rPr>
          <w:rFonts w:ascii="Arial" w:cs="Arial" w:eastAsia="Arial" w:hAnsi="Arial"/>
          <w:sz w:val="18"/>
          <w:szCs w:val="18"/>
          <w:color w:val="auto"/>
        </w:rPr>
        <w:t>(24)</w:t>
        <w:tab/>
        <w:t>$</w:t>
      </w:r>
      <w:r>
        <w:rPr>
          <w:sz w:val="20"/>
          <w:szCs w:val="20"/>
          <w:color w:val="auto"/>
        </w:rPr>
        <w:tab/>
      </w:r>
      <w:r>
        <w:rPr>
          <w:rFonts w:ascii="Arial" w:cs="Arial" w:eastAsia="Arial" w:hAnsi="Arial"/>
          <w:sz w:val="18"/>
          <w:szCs w:val="18"/>
          <w:color w:val="auto"/>
        </w:rPr>
        <w:t>(32)</w:t>
        <w:tab/>
        <w:t>$</w:t>
      </w:r>
      <w:r>
        <w:rPr>
          <w:sz w:val="20"/>
          <w:szCs w:val="20"/>
          <w:color w:val="auto"/>
        </w:rPr>
        <w:tab/>
      </w:r>
      <w:r>
        <w:rPr>
          <w:rFonts w:ascii="Arial" w:cs="Arial" w:eastAsia="Arial" w:hAnsi="Arial"/>
          <w:sz w:val="16"/>
          <w:szCs w:val="16"/>
          <w:color w:val="auto"/>
        </w:rPr>
        <w:t>(29)</w:t>
      </w:r>
    </w:p>
    <w:p>
      <w:pPr>
        <w:spacing w:after="0" w:line="20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net realized transaction and foreign exchange contract currency gains and losses were not material to the condensed consolidated financial statements during the three and nine months ended April 3, 2015 and March 28,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During the three and nine months ended April 3, 2015, the Company recognized in expense $17 million and $53 million, respectively, for stock-based compensation related to the vesting of options issued under the Company’s stock plans and the ESPP, as compared to $24 million and $69 million in the respective prior-year periods. The tax benefit realized as a result of the aforementioned stock-based compensation expense was $8 million and $20 million in the three and nine months ended April 3, 2015, respectively, as compared to $6 million and $17 million in the three and nine months ended March 28, 2014, respectively. As of April 3, 2015, total compensation cost related to unvested stock options and ESPP rights issued to employees but not yet recognized was $111 million and will be amortized on a straight-line basis over a weighted average service period of approximately 2.1 years.</w:t>
      </w:r>
    </w:p>
    <w:p>
      <w:pPr>
        <w:spacing w:after="0" w:line="11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the three and nine months ended April 3, 2015, the Company recognized in expense $21 million and $64 million, respectively, for stock-based compensation related to the vesting of awards of RSUs and performance stock unit awards, issued under the Company's stock plans, as compared to $17 million and $56 million in the respective prior-year periods. The tax benefit realized as a result of the aforementioned stock-based compensation expense was $6 million and $17 million in the three and nine months ended April 3, 2015, respectively, as compared to $5 million and $14 million in the three and nine months ended March 28, 2014, respectively. As of April 3, 2015, the aggregate unamortized fair value of all unvested RSUs was $141 million, which will be recognized on a straight-line basis over a weighted average vesting period of approximately 1.5 years.</w:t>
      </w:r>
    </w:p>
    <w:p>
      <w:pPr>
        <w:spacing w:after="0" w:line="124"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During the three and nine months ended April 3, 2015, the Company recognized a $9 million benefit and $3 million expense, respectively, related to adjustments to market value as well as the vesting of stock appreciation rights (“SARs”), as compared to $11 million expense and $35 million expense in the respective prior-year periods. The tax expense and tax benefit realized as a result of the aforementioned SARs expense was $2 million and $1 million in the three and nine months ended April 3, 2015, respectively, as compared to a $2 million benefit and $7 million benefit in the three and nine months ended March 28, 2014, respectively. The SARs will be settled in cash upon exercise. As a result, the Company had a total liability of $50 million related to SARs included in accrued expenses in the condensed consolidated balance sheet as of April 3, 2015. As of April 3, 2015, all SARs issued to employees were fully vested and are now solely subject to market price fluctuations.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summarizes stock option activity under the Company’s stock option plans (in millions, except per share amounts and remaining contractual lives):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460"/>
              <w:spacing w:after="0" w:line="149" w:lineRule="exact"/>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460"/>
              <w:spacing w:after="0" w:line="149" w:lineRule="exact"/>
              <w:rPr>
                <w:sz w:val="20"/>
                <w:szCs w:val="20"/>
                <w:color w:val="auto"/>
              </w:rPr>
            </w:pPr>
            <w:r>
              <w:rPr>
                <w:rFonts w:ascii="Arial" w:cs="Arial" w:eastAsia="Arial" w:hAnsi="Arial"/>
                <w:sz w:val="14"/>
                <w:szCs w:val="14"/>
                <w:b w:val="1"/>
                <w:bCs w:val="1"/>
                <w:color w:val="auto"/>
                <w:w w:val="88"/>
              </w:rPr>
              <w:t>Per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40" w:type="dxa"/>
            <w:vAlign w:val="bottom"/>
          </w:tcPr>
          <w:p>
            <w:pPr>
              <w:jc w:val="center"/>
              <w:ind w:left="38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460"/>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June 27, 2014</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31.04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at October 3, 2014</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45.16</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Canceled or expired</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32.53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2, 2015</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Assumed in acquisition</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Canceled or expired</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58.23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April 3, 2015</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48.48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Exercisable at April 3, 2015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940" w:type="dxa"/>
            <w:vAlign w:val="bottom"/>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34.15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Vested and expected to vest after April 3, 2015</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If an option has an exercise price that is less than the quoted price of the Company’s common stock at the particular time, the aggregate intrinsic value of that option at that time is calculated based on the difference between the exercise price of the underlying options and the quoted price of the Company’s common stock at that time. As of April 3, 2015, the Company had options outstanding to purchase an aggregate of 6.4 million shares with an exercise price below the quoted price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Company’s stock on that date resulting in an aggregate intrinsic value of $358 million at that date. During the three and nine months ended April 3, 2015, the aggregate intrinsic value of options exercised under the Company’s stock option plans was $73 million and $236 million, respectively, determined as of the date of exercise, as compared to $60 million and $164 million in the respective prior-year periods.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Activity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RSU activity under the Company's stock plans (in millions, except weighted average grant date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40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260" w:type="dxa"/>
            <w:vAlign w:val="bottom"/>
            <w:tcBorders>
              <w:bottom w:val="single" w:sz="8" w:color="CCEEFF"/>
            </w:tcBorders>
          </w:tcPr>
          <w:p>
            <w:pPr>
              <w:spacing w:after="0"/>
              <w:rPr>
                <w:sz w:val="16"/>
                <w:szCs w:val="16"/>
                <w:color w:val="auto"/>
              </w:rPr>
            </w:pPr>
          </w:p>
        </w:tc>
        <w:tc>
          <w:tcPr>
            <w:tcW w:w="71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7"/>
              </w:rPr>
              <w:t>of Shares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June 27, 2014</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 outstanding at October 3, 2014</w:t>
            </w: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 outstanding at January 2, 2015</w:t>
            </w: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 outstanding at April 3, 2015</w:t>
            </w: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gridSpan w:val="2"/>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Expected to vest after April 3, 2015</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Shares were immaterial for rounding purposes.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fair value of each RSU is the market price of the Company’s stock at the date of grant. RSUs are generally payable in an equal number of shares of the Company’s common stock at the time of vesting of the units. The grant-date fair value of the shares underlying the RSU awards at the date of grant was $8 million and $124 million in the three and nine months ended April 3, 2015, respectively. These amounts are being recognized to expense over the corresponding vesting periods. The Company has assumed a forfeiture rate of 4.6% and 4.4% for the three and nine months ended April 3, 2015, respectively, based on a historical analysis indicating forfeitures for these types of awards.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share-based compensation liability for SARs is recognized for the portion of fair value for which service has been rendered at the reporting date. As of April 3, 2015, 0.6 million SARs were outstanding with a weighted average exercise price of $8.02. There were no SARs granted and all other SARs activity was immaterial to the condensed consolidated financial statements for the three and nine months ended April 3, 2015.</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Disclosure — Binomial Model</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fair value of stock options granted is estimated using a binomial option-pricing model. The binomial model requires the input of highly subjective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The fair value of stock options granted was estimated using the following weighted average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7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120" w:type="dxa"/>
            <w:vAlign w:val="bottom"/>
          </w:tcPr>
          <w:p>
            <w:pPr>
              <w:spacing w:after="0"/>
              <w:rPr>
                <w:sz w:val="13"/>
                <w:szCs w:val="13"/>
                <w:color w:val="auto"/>
              </w:rPr>
            </w:pPr>
          </w:p>
        </w:tc>
        <w:tc>
          <w:tcPr>
            <w:tcW w:w="20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6"/>
              </w:rPr>
              <w:t>April 3,</w:t>
            </w:r>
          </w:p>
        </w:tc>
        <w:tc>
          <w:tcPr>
            <w:tcW w:w="1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9"/>
              </w:rPr>
              <w:t>March 28,</w:t>
            </w:r>
          </w:p>
        </w:tc>
        <w:tc>
          <w:tcPr>
            <w:tcW w:w="1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April 3,</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March 28,</w:t>
            </w:r>
          </w:p>
        </w:tc>
      </w:tr>
      <w:tr>
        <w:trPr>
          <w:trHeight w:val="192"/>
        </w:trPr>
        <w:tc>
          <w:tcPr>
            <w:tcW w:w="4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Suboptimal exercise factor</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2.06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Range of risk-free interest rates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0.21% to 1.60%</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0.13% to 2.31%</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0.11% to 2.16%</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0.10% to 2.44%</w:t>
            </w:r>
          </w:p>
        </w:tc>
      </w:tr>
      <w:tr>
        <w:trPr>
          <w:trHeight w:val="27"/>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expected stock price volatility</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0.25 to 0.45</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0.27 to 0.48</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0.23 to 0.47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0.27 to 0.50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expected volatility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0.34</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0.39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0.36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0.43</w:t>
            </w:r>
          </w:p>
        </w:tc>
      </w:tr>
      <w:tr>
        <w:trPr>
          <w:trHeight w:val="27"/>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Post-vesting termination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7"/>
              </w:rPr>
              <w:t>2.15%</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1.34%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1.69%</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1.57%</w:t>
            </w:r>
          </w:p>
        </w:tc>
      </w:tr>
      <w:tr>
        <w:trPr>
          <w:trHeight w:val="27"/>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$28.87</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$28.78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$32.22</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$24.06</w:t>
            </w:r>
          </w:p>
        </w:tc>
      </w:tr>
      <w:tr>
        <w:trPr>
          <w:trHeight w:val="27"/>
        </w:trPr>
        <w:tc>
          <w:tcPr>
            <w:tcW w:w="4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weighted average expected term of the Company’s stock options granted during the three and nine months ended April 3, 2015 was 5.3 years and 5.8 years, respectively, compared to 5.6 years and 5.0 years in the respective prior-year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Disclosure — Black-Scholes-Merton Model</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highly subjective assumptions such as the expected stock price volatility and the expected period until options are exercised. Purchase rights under the current ESPP are granted on either June 1 or December 1 of each year. ESPP activity was immaterial to the condensed consolidated financial statements for the three and nine months ended April 3, 2015 and March 28, 2014.</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Company's Board of Directors previously authorized $3.0 billion for the repurchase of the Company's common stock. On February 3, 2015, the Company's Board of Directors authorized an additional $2.0 billion for the repurchase of its common stock and approved the extension of its stock repurchase program to February 3, 2020. The Company repurchased 2.2 million and 7.6 million shares, respectively, for a total cost of $240 million and $772 million during the three and nine months ended April 3, 2015, respectively. The remaining amount available to be purchased under the Company’s stock repurchase program as of April 3, 2015 was $2.4 billion. The Company may continue to repurchase its stock as it deems appropriate. Repurchases under the stock repurchase program may be made in the open market or in privately negotiated transactions and may be made under a Rule 10b5-1 plan. The Company expects stock repurchases to be funded principally by operating cash flows and borrowings under the Company's Credit Agreement.</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September 13, 2012, the Company announced that its Board of Directors had authorized the adoption of a quarterly cash dividend policy. Under the cash dividend policy, holders of the Company’s common stock receive dividends when and as declared by the Company’s Board of Directors. In the three months ended April 3, 2015, the Company declared a cash dividend of $0.50 per share as of April 3, 2015, totaling $116 million, which was paid on April 16, 2015. In the nine months ended April 3, 2015, the Company declared cash dividends of $1.30 per share for a total of $280 million. On May 5, 2015, the Company declared a cash dividend of $0.50 per share as of July 3, 2015, which will be paid on July 15, 2015. The Company may modify, suspend or cancel its cash dividend policy in any manner and at any time.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Pensions and Other Post-retirement Benefit Plans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principal pension and other post-retirement benefit plans are in Japan. All pension and other post-retirement benefit plans outside of the Company’s Japanese plans were immaterial to the Company’s condensed consolidated financial statements for the three and nine months ended April 3, 2015 and March 28, 2014. The expected long-term rate of return on the Japanese plan assets is 3.5%.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unfunded status of the benefit obligations and Japanese plan assets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rPr>
              <w:t>April 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37"/>
              <w:spacing w:after="0"/>
              <w:rPr>
                <w:sz w:val="20"/>
                <w:szCs w:val="20"/>
                <w:color w:val="auto"/>
              </w:rPr>
            </w:pPr>
            <w:r>
              <w:rPr>
                <w:rFonts w:ascii="Arial" w:cs="Arial" w:eastAsia="Arial" w:hAnsi="Arial"/>
                <w:sz w:val="14"/>
                <w:szCs w:val="14"/>
                <w:b w:val="1"/>
                <w:bCs w:val="1"/>
                <w:color w:val="auto"/>
              </w:rPr>
              <w:t>June 27,</w:t>
            </w:r>
          </w:p>
        </w:tc>
      </w:tr>
      <w:tr>
        <w:trPr>
          <w:trHeight w:val="192"/>
        </w:trPr>
        <w:tc>
          <w:tcPr>
            <w:tcW w:w="79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status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unfunded amounts as recognized on the Company’s condensed consolidated balance sheets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40" w:type="dxa"/>
            <w:vAlign w:val="bottom"/>
          </w:tcPr>
          <w:p>
            <w:pPr>
              <w:jc w:val="right"/>
              <w:ind w:right="79"/>
              <w:spacing w:after="0"/>
              <w:rPr>
                <w:sz w:val="20"/>
                <w:szCs w:val="20"/>
                <w:color w:val="auto"/>
              </w:rPr>
            </w:pPr>
            <w:r>
              <w:rPr>
                <w:rFonts w:ascii="Arial" w:cs="Arial" w:eastAsia="Arial" w:hAnsi="Arial"/>
                <w:sz w:val="14"/>
                <w:szCs w:val="14"/>
                <w:b w:val="1"/>
                <w:bCs w:val="1"/>
                <w:color w:val="auto"/>
              </w:rPr>
              <w:t>April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37"/>
              <w:spacing w:after="0"/>
              <w:rPr>
                <w:sz w:val="20"/>
                <w:szCs w:val="20"/>
                <w:color w:val="auto"/>
              </w:rPr>
            </w:pPr>
            <w:r>
              <w:rPr>
                <w:rFonts w:ascii="Arial" w:cs="Arial" w:eastAsia="Arial" w:hAnsi="Arial"/>
                <w:sz w:val="14"/>
                <w:szCs w:val="14"/>
                <w:b w:val="1"/>
                <w:bCs w:val="1"/>
                <w:color w:val="auto"/>
              </w:rPr>
              <w:t>June 27,</w:t>
            </w:r>
          </w:p>
        </w:tc>
      </w:tr>
      <w:tr>
        <w:trPr>
          <w:trHeight w:val="192"/>
        </w:trPr>
        <w:tc>
          <w:tcPr>
            <w:tcW w:w="79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2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63</w:t>
            </w:r>
          </w:p>
        </w:tc>
      </w:tr>
      <w:tr>
        <w:trPr>
          <w:trHeight w:val="27"/>
        </w:trPr>
        <w:tc>
          <w:tcPr>
            <w:tcW w:w="7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net periodic benefit cost of the Company’s pension plans was not material to the condensed consolidated financial statements for the three and nine months ended April 3, 2015 and March 28, 2014. The Company’s expected employer contribution for its Japanese defined benefit pension plans is $11 million in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75"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condensed consolidated financial statements include the results of operations of acquired companies commencing after their respective acquisition dates. Disclosed below are those acquisitions which have a significant impact to these condensed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Amplidata</w:t>
      </w:r>
    </w:p>
    <w:p>
      <w:pPr>
        <w:spacing w:after="0" w:line="25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March 9, 2015, the Company acquired Amplidata NV (“Amplidata”), a developer of object storage software for public and private cloud data centers. As a result of the acquisition, Amplidata was fully integrated into the Company's HGST subsidiary and became a wholly owned indirect subsidiary of the Company. The purchase price of the acquisition was approximately $264 million, consisting of $245 million funded with available cash at the time of the acquisition and $19 million related to the fair value of a previously-held cost method investment. The acquisition is expected to further HGST's strategy to expand into higher value data storage platforms and systems that address the growth in storage requirements in cloud data centers.</w:t>
      </w:r>
    </w:p>
    <w:p>
      <w:pPr>
        <w:spacing w:after="0" w:line="2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identified and recorded the assets acquired and liabilities assumed at their estimated fair values at the date of acquisition, and allocated the remaining value of $173 million to goodwill. The values assigned to the acquired assets and liabilities are based on preliminary estimates of fair value available as of the date of this Quarterly Report on Form 10-Q, and may be adjusted during the measurement period of up to 12 months from the date of the acquisition as further information becomes available with any changes in the fair values potentially resulting in adjustments to goodwill. The individual tangible and intangible assets acquired as well as the liabilities assumed in the acquisition were immaterial to the Company's condensed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420"/>
              <w:spacing w:after="0"/>
              <w:rPr>
                <w:sz w:val="20"/>
                <w:szCs w:val="20"/>
                <w:color w:val="auto"/>
              </w:rPr>
            </w:pPr>
            <w:r>
              <w:rPr>
                <w:rFonts w:ascii="Arial" w:cs="Arial" w:eastAsia="Arial" w:hAnsi="Arial"/>
                <w:sz w:val="18"/>
                <w:szCs w:val="18"/>
                <w:color w:val="auto"/>
              </w:rPr>
              <w:t>The preliminary purchase price allocation for Amplidata was as follows (in millions):</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37"/>
        </w:trPr>
        <w:tc>
          <w:tcPr>
            <w:tcW w:w="9720" w:type="dxa"/>
            <w:vAlign w:val="bottom"/>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9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The $173 million of goodwill recognized is primarily attributable to the benefits the Company expects to derive from an ability to create hard disk drive storage solutions leveraging the core software acquired and is not expected to be deductible for tax purposes. The impact to revenue and net income attributable to Amplidata was immaterial to the Company’s condensed consolidated financial statements for the three and nine months ended April 3, 2015.</w:t>
      </w:r>
    </w:p>
    <w:p>
      <w:pPr>
        <w:spacing w:after="0" w:line="174"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Prior to the acquisition date, the Company held a non-controlling interest in Amplidata accounted for under the cost method of accounting. Upon acquiring the outstanding ownership stake in Amplidata, the Company remeasured its original equity interest to its fair value using the income approach, which utilizes estimates of discounted future cash flows, and recognized a $9 million gain during the three months ended April 3, 2015, which was recorded as a component of the employee termination benefits, asset impairments and other charges line item within the condensed consolidated statements of income.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Virident</w:t>
      </w:r>
    </w:p>
    <w:p>
      <w:pPr>
        <w:spacing w:after="0" w:line="25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October 17, 2013, the Company acquired Virident Systems, Inc. ("Virident"), a provider of server-side flash storage solutions for virtualization, database, cloud computing and webscale applications. As a result of the acquisition, Virident has been fully integrated into the Company's HGST subsidiary and became a wholly-owned indirect subsidiary of the Company. The acquisition furthered HGST's strategy to address the rapidly changing needs of enterprise customers by delivering intelligent storage solutions that maximize application performance by leveraging the tightly coupled server, storage and network resources of today’s converged datacenter infrastructures.</w:t>
      </w:r>
    </w:p>
    <w:p>
      <w:pPr>
        <w:spacing w:after="0" w:line="21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values assigned to the acquired assets and liabilities were finalized during the three months ended June 27, 2014, and the final purchase price allocation for Virident was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37"/>
        </w:trPr>
        <w:tc>
          <w:tcPr>
            <w:tcW w:w="9720" w:type="dxa"/>
            <w:vAlign w:val="bottom"/>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9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sTec</w:t>
      </w:r>
    </w:p>
    <w:p>
      <w:pPr>
        <w:spacing w:after="0" w:line="171"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On September 12, 2013, the Company completed its acquisition of sTec, Inc. ("sTec"), a provider of enterprise solid-state drives. As a result of the acquisition, sTec has been fully integrated into the Company's HGST subsidiary and became a wholly-owned indirect subsidiary of the Company. The acquisition augmented HGST's existing solid-state storage capabilities.</w:t>
      </w:r>
    </w:p>
    <w:p>
      <w:pPr>
        <w:spacing w:after="0" w:line="12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values assigned to the acquired assets and liabilities were finalized during the three months ended October 3, 2014, and the final purchase price allocation for sTec was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37"/>
        </w:trPr>
        <w:tc>
          <w:tcPr>
            <w:tcW w:w="9720" w:type="dxa"/>
            <w:vAlign w:val="bottom"/>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9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Termination, Asset Impairment and Other Charges</w:t>
      </w:r>
    </w:p>
    <w:p>
      <w:pPr>
        <w:spacing w:after="0" w:line="17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periodically incurs charges to realign its operations with anticipated market demand. The employee termination, asset impairment and other charges line item within the Company's condensed consolidated statements of income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80" w:type="dxa"/>
            <w:vAlign w:val="bottom"/>
          </w:tcPr>
          <w:p>
            <w:pPr>
              <w:jc w:val="right"/>
              <w:ind w:right="41"/>
              <w:spacing w:after="0" w:line="153" w:lineRule="exact"/>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22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Employee termination benefits</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Impairment of assets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 termination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a rollforward of those amounts recorded as liabilities within the Company's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140" w:type="dxa"/>
            <w:vAlign w:val="bottom"/>
          </w:tcPr>
          <w:p>
            <w:pPr>
              <w:jc w:val="center"/>
              <w:ind w:left="242"/>
              <w:spacing w:after="0"/>
              <w:rPr>
                <w:sz w:val="20"/>
                <w:szCs w:val="20"/>
                <w:color w:val="auto"/>
              </w:rPr>
            </w:pPr>
            <w:r>
              <w:rPr>
                <w:rFonts w:ascii="Arial" w:cs="Arial" w:eastAsia="Arial" w:hAnsi="Arial"/>
                <w:sz w:val="14"/>
                <w:szCs w:val="14"/>
                <w:b w:val="1"/>
                <w:bCs w:val="1"/>
                <w:color w:val="auto"/>
                <w:w w:val="89"/>
              </w:rPr>
              <w:t>June 27,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Accruals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4"/>
                <w:szCs w:val="14"/>
                <w:color w:val="auto"/>
              </w:rPr>
            </w:pPr>
          </w:p>
        </w:tc>
        <w:tc>
          <w:tcPr>
            <w:tcW w:w="1180" w:type="dxa"/>
            <w:vAlign w:val="bottom"/>
          </w:tcPr>
          <w:p>
            <w:pPr>
              <w:jc w:val="center"/>
              <w:ind w:right="242"/>
              <w:spacing w:after="0"/>
              <w:rPr>
                <w:sz w:val="20"/>
                <w:szCs w:val="20"/>
                <w:color w:val="auto"/>
              </w:rPr>
            </w:pPr>
            <w:r>
              <w:rPr>
                <w:rFonts w:ascii="Arial" w:cs="Arial" w:eastAsia="Arial" w:hAnsi="Arial"/>
                <w:sz w:val="14"/>
                <w:szCs w:val="14"/>
                <w:b w:val="1"/>
                <w:bCs w:val="1"/>
                <w:color w:val="auto"/>
                <w:w w:val="96"/>
              </w:rPr>
              <w:t>April 3,</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Employee termination benefits</w:t>
            </w:r>
          </w:p>
        </w:tc>
        <w:tc>
          <w:tcPr>
            <w:tcW w:w="1140" w:type="dxa"/>
            <w:vAlign w:val="bottom"/>
            <w:tcBorders>
              <w:top w:val="single" w:sz="8" w:color="auto"/>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Thailand Flooding</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October 2011, severe flooding in Thailand inundated all of the Company’s Thailand manufacturing facilities and submerged certain equipment located there. The Company maintains insurance coverage that provides property and business interruption coverage in the event of losses arising from flooding. As a result, the Company received a total of $50 million of insurance recoveries, of which $13 million was received previously and $37 million was received in the three months ended January 2,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recorded as a component of the selling, general and administrative line item within the Company's condensed consolidated statements of income. All flood-related claims submitted by the Company to its insurers were closed as of January 2,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 Accounting Pronouncements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April 2015, the Financial Accounting Standards Board ("FASB") issued Accounting Standards Update ("ASU") 2015-03, "Interest - Imputation of Interest (Subtopic 835-30): Simplifying the Presentation of Debt Issuance Costs" ("ASU 2015-03"). The new standard requires debt issuance costs related to a recognized debt liability to be presented in the balance sheet as a direct deduction from the carrying amount of that debt liability, consistent with debt discounts. The new standard is effective for fiscal years and interim periods within those fiscal years, beginning after December 15, 2015, which for the Company is the first quarter of fiscal 2017. The Company does not expect the adoption of ASU 2015-03 to have a material effect on its condensed consolidated financial statements.</w:t>
      </w:r>
    </w:p>
    <w:p>
      <w:pPr>
        <w:spacing w:after="0" w:line="13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new standard allows for either a full retrospective or a modified retrospective transition method and is effective for fiscal years beginning after December 15, 2016, which for the Company is the first quarter of fiscal 2018. Additionally, the FASB recently proposed a one-year deferral period for the effective date of the new standard, which the Company will evaluate if or when the deferral proposal is approved. The Company has not yet selected a transition method and is currently evaluating the impact ASU 2014-09 will have on its consolidated financial statements and related disclosures.</w:t>
      </w:r>
    </w:p>
    <w:p>
      <w:pPr>
        <w:spacing w:after="0" w:line="11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July 2013, the FASB issued ASU 2013-11, "Income Taxes (Topic 740): Presentation of an Unrecognized Tax Benefit When a Net Operating Loss Carryforward, a Similar Tax Loss, or a Tax Credit Carryforward Exists" ("ASU 2013-11"). The new standard requires the presentation of certain unrecognized tax benefits as reductions to deferred tax assets rather than as liabilities in the consolidated balance sheets when a net operating loss carryforward, a similar tax loss, or a tax credit carryforward exists. The new standard is effective for fiscal years and interim periods within those fiscal years, beginning after December 15, 2013, which for the Company was the first quarter of fiscal 2015. The Company adopted this pronouncement in the first quarter of fiscal 2015, and it did not have a material effect on its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You should read this information in conjunction with the unaudited condensed consolidated financial statements and the notes thereto included in this Quarterly Report on Form 10-Q, and the audited consolidated financial statements and notes thereto and Part II, Item 7, contained in our Annual Report on Form 10-K for the year ended June 27, 2014.</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34" w:lineRule="exact"/>
        <w:rPr>
          <w:sz w:val="20"/>
          <w:szCs w:val="20"/>
          <w:color w:val="auto"/>
        </w:rPr>
      </w:pPr>
    </w:p>
    <w:p>
      <w:pPr>
        <w:ind w:left="1460" w:hanging="723"/>
        <w:spacing w:after="0"/>
        <w:tabs>
          <w:tab w:leader="none" w:pos="14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expectations regarding industry demand and shipments in the quarter ending July 3, 2015 and the expected impact on our revenue;</w:t>
      </w:r>
    </w:p>
    <w:p>
      <w:pPr>
        <w:spacing w:after="0" w:line="128" w:lineRule="exact"/>
        <w:rPr>
          <w:rFonts w:ascii="Arial" w:cs="Arial" w:eastAsia="Arial" w:hAnsi="Arial"/>
          <w:sz w:val="17"/>
          <w:szCs w:val="17"/>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concerning the anticipated benefits of our acquisitions;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demand for our products in the various markets and factors contributing to such demand;</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position in the industry;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belief regarding our ability to capitalize on the expansion in, and our expectations regarding the growth and demand of, digital data;</w:t>
      </w:r>
    </w:p>
    <w:p>
      <w:pPr>
        <w:spacing w:after="0" w:line="140" w:lineRule="exact"/>
        <w:rPr>
          <w:rFonts w:ascii="Arial" w:cs="Arial" w:eastAsia="Arial" w:hAnsi="Arial"/>
          <w:sz w:val="16"/>
          <w:szCs w:val="16"/>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continue to develop new products and expand into new storage markets and into emerging economic markets;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emergence of new storage markets for our products;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emergence of competing storage technologies;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quarterly cash dividend policy;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share repurchase plans;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stock price volatility;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 regarding our compliance with environmental laws and regulations;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external and internal supply base;</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 regarding component availability;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117"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spacing w:after="0" w:line="62" w:lineRule="exact"/>
        <w:rPr>
          <w:rFonts w:ascii="Arial" w:cs="Arial" w:eastAsia="Arial" w:hAnsi="Arial"/>
          <w:sz w:val="18"/>
          <w:szCs w:val="18"/>
          <w:i w:val="1"/>
          <w:iCs w:val="1"/>
          <w:color w:val="auto"/>
        </w:rPr>
      </w:pPr>
    </w:p>
    <w:p>
      <w:pPr>
        <w:ind w:left="1460" w:hanging="723"/>
        <w:spacing w:after="0"/>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contributions to our pension plans in fiscal 2015; and</w:t>
      </w:r>
    </w:p>
    <w:p>
      <w:pPr>
        <w:spacing w:after="0" w:line="117" w:lineRule="exact"/>
        <w:rPr>
          <w:rFonts w:ascii="Arial" w:cs="Arial" w:eastAsia="Arial" w:hAnsi="Arial"/>
          <w:sz w:val="18"/>
          <w:szCs w:val="18"/>
          <w:i w:val="1"/>
          <w:iCs w:val="1"/>
          <w:color w:val="auto"/>
        </w:rPr>
      </w:pPr>
    </w:p>
    <w:p>
      <w:pPr>
        <w:ind w:left="1460" w:right="300" w:hanging="723"/>
        <w:spacing w:after="0" w:line="277" w:lineRule="auto"/>
        <w:tabs>
          <w:tab w:leader="none" w:pos="1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cash and cash equivalents to meet our working capital, capital expenditure and other cash needs.</w:t>
      </w:r>
    </w:p>
    <w:p>
      <w:pPr>
        <w:spacing w:after="0" w:line="170" w:lineRule="exact"/>
        <w:rPr>
          <w:sz w:val="20"/>
          <w:szCs w:val="20"/>
          <w:color w:val="auto"/>
        </w:rPr>
      </w:pPr>
    </w:p>
    <w:p>
      <w:pPr>
        <w:ind w:right="240" w:firstLine="729"/>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We urge you to carefully review the disclosures we make concerning risks and other factors that may affect our business and operating results, including those made in Part I, Item 1A of this Quarterly Report on Form 10-Q, and any of those made in our other reports filed with the SEC. You should not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a leading developer, manufacturer and provider of data storage solutions that enable consumers, businesses, governments and other organizations to create, manage, experience and preserve digital content. Our product portfolio includes hard disk drives (“HDDs”) and SSDs, direct attached storage solutions, personal cloud network attached storage solutions, and public and private cloud data center storage solutions. HDDs are our principal products and are today’s primary storage medium for digital content, with the use of solid-state storage products growing rapidly. Our products are marketed under the HGST, WD and G-Technology brand names. We currently operate our global business through two independent subsidiaries due to regulatory requirements - HGST and WD.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Overview</w:t>
      </w:r>
    </w:p>
    <w:p>
      <w:pPr>
        <w:spacing w:after="0" w:line="9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(“U.S. GAAP”), we include the operating results for acquired companies commencing after their respective acquisition dates. Accordingly, Amplidata, Virident and sTec have been included in our results of operations since their acquisition dates of March 9, 2015, October 17, 2013, and September 12, 2013, respectively.</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six years, we report a 53-week fiscal year to align our fiscal year with the foregoing policy. Our fiscal third quarters ended April 3, 2015 and March 28, 2014 both consisted of 13 weeks. Fiscal year 2015 will be comprised of 53 weeks and will end on July 3, 2015.</w:t>
      </w:r>
    </w:p>
    <w:p>
      <w:pPr>
        <w:spacing w:after="0" w:line="12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For the quarter ended April 3, 2015, we believe that overall hard drive industry shipments totaled approximately 125 million units, down 9% from the prior-year period and down 11% from the second fiscal quarter. These decreases are the result of a softer demand environment largely driven by weak macroeconomic conditions.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income by dollars (in millions) and percentage of net revenue: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r>
      <w:tr>
        <w:trPr>
          <w:trHeight w:val="152"/>
        </w:trPr>
        <w:tc>
          <w:tcPr>
            <w:tcW w:w="2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rPr>
              <w:t>April 3,</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rPr>
              <w:t>April 3,</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700" w:type="dxa"/>
            <w:vAlign w:val="bottom"/>
          </w:tcPr>
          <w:p>
            <w:pPr>
              <w:spacing w:after="0"/>
              <w:rPr>
                <w:sz w:val="13"/>
                <w:szCs w:val="13"/>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6"/>
                <w:szCs w:val="16"/>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3,550</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8"/>
                <w:szCs w:val="18"/>
                <w:color w:val="auto"/>
              </w:rPr>
              <w:t>3,703</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11,381</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11,479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40" w:type="dxa"/>
            <w:vAlign w:val="bottom"/>
          </w:tcPr>
          <w:p>
            <w:pPr>
              <w:jc w:val="right"/>
              <w:ind w:right="475"/>
              <w:spacing w:after="0"/>
              <w:rPr>
                <w:sz w:val="20"/>
                <w:szCs w:val="20"/>
                <w:color w:val="auto"/>
              </w:rPr>
            </w:pPr>
            <w:r>
              <w:rPr>
                <w:rFonts w:ascii="Arial" w:cs="Arial" w:eastAsia="Arial" w:hAnsi="Arial"/>
                <w:sz w:val="18"/>
                <w:szCs w:val="18"/>
                <w:b w:val="1"/>
                <w:bCs w:val="1"/>
                <w:color w:val="auto"/>
              </w:rPr>
              <w:t>1,032</w:t>
            </w:r>
          </w:p>
        </w:tc>
        <w:tc>
          <w:tcPr>
            <w:tcW w:w="740" w:type="dxa"/>
            <w:vAlign w:val="bottom"/>
          </w:tcPr>
          <w:p>
            <w:pPr>
              <w:jc w:val="right"/>
              <w:ind w:right="133"/>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495"/>
              <w:spacing w:after="0"/>
              <w:rPr>
                <w:sz w:val="20"/>
                <w:szCs w:val="20"/>
                <w:color w:val="auto"/>
              </w:rPr>
            </w:pPr>
            <w:r>
              <w:rPr>
                <w:rFonts w:ascii="Arial" w:cs="Arial" w:eastAsia="Arial" w:hAnsi="Arial"/>
                <w:sz w:val="18"/>
                <w:szCs w:val="18"/>
                <w:color w:val="auto"/>
              </w:rPr>
              <w:t>1,076</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475"/>
              <w:spacing w:after="0"/>
              <w:rPr>
                <w:sz w:val="20"/>
                <w:szCs w:val="20"/>
                <w:color w:val="auto"/>
              </w:rPr>
            </w:pPr>
            <w:r>
              <w:rPr>
                <w:rFonts w:ascii="Arial" w:cs="Arial" w:eastAsia="Arial" w:hAnsi="Arial"/>
                <w:sz w:val="18"/>
                <w:szCs w:val="18"/>
                <w:b w:val="1"/>
                <w:bCs w:val="1"/>
                <w:color w:val="auto"/>
              </w:rPr>
              <w:t>3,291</w:t>
            </w:r>
          </w:p>
        </w:tc>
        <w:tc>
          <w:tcPr>
            <w:tcW w:w="740" w:type="dxa"/>
            <w:vAlign w:val="bottom"/>
          </w:tcPr>
          <w:p>
            <w:pPr>
              <w:jc w:val="right"/>
              <w:ind w:right="133"/>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515"/>
              <w:spacing w:after="0"/>
              <w:rPr>
                <w:sz w:val="20"/>
                <w:szCs w:val="20"/>
                <w:color w:val="auto"/>
              </w:rPr>
            </w:pPr>
            <w:r>
              <w:rPr>
                <w:rFonts w:ascii="Arial" w:cs="Arial" w:eastAsia="Arial" w:hAnsi="Arial"/>
                <w:sz w:val="18"/>
                <w:szCs w:val="18"/>
                <w:color w:val="auto"/>
              </w:rPr>
              <w:t>3,331</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29.0</w:t>
            </w:r>
          </w:p>
        </w:tc>
      </w:tr>
      <w:tr>
        <w:trPr>
          <w:trHeight w:val="27"/>
        </w:trPr>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611</w:t>
            </w:r>
          </w:p>
        </w:tc>
        <w:tc>
          <w:tcPr>
            <w:tcW w:w="7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8"/>
                <w:szCs w:val="18"/>
                <w:color w:val="auto"/>
              </w:rPr>
              <w:t>657</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1,935</w:t>
            </w:r>
          </w:p>
        </w:tc>
        <w:tc>
          <w:tcPr>
            <w:tcW w:w="7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1,892</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140" w:type="dxa"/>
            <w:vAlign w:val="bottom"/>
          </w:tcPr>
          <w:p>
            <w:pPr>
              <w:jc w:val="right"/>
              <w:ind w:right="475"/>
              <w:spacing w:after="0"/>
              <w:rPr>
                <w:sz w:val="20"/>
                <w:szCs w:val="20"/>
                <w:color w:val="auto"/>
              </w:rPr>
            </w:pPr>
            <w:r>
              <w:rPr>
                <w:rFonts w:ascii="Arial" w:cs="Arial" w:eastAsia="Arial" w:hAnsi="Arial"/>
                <w:sz w:val="18"/>
                <w:szCs w:val="18"/>
                <w:b w:val="1"/>
                <w:bCs w:val="1"/>
                <w:color w:val="auto"/>
              </w:rPr>
              <w:t>421</w:t>
            </w:r>
          </w:p>
        </w:tc>
        <w:tc>
          <w:tcPr>
            <w:tcW w:w="740" w:type="dxa"/>
            <w:vAlign w:val="bottom"/>
          </w:tcPr>
          <w:p>
            <w:pPr>
              <w:jc w:val="right"/>
              <w:ind w:right="133"/>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495"/>
              <w:spacing w:after="0"/>
              <w:rPr>
                <w:sz w:val="20"/>
                <w:szCs w:val="20"/>
                <w:color w:val="auto"/>
              </w:rPr>
            </w:pPr>
            <w:r>
              <w:rPr>
                <w:rFonts w:ascii="Arial" w:cs="Arial" w:eastAsia="Arial" w:hAnsi="Arial"/>
                <w:sz w:val="18"/>
                <w:szCs w:val="18"/>
                <w:color w:val="auto"/>
              </w:rPr>
              <w:t>419</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475"/>
              <w:spacing w:after="0"/>
              <w:rPr>
                <w:sz w:val="20"/>
                <w:szCs w:val="20"/>
                <w:color w:val="auto"/>
              </w:rPr>
            </w:pPr>
            <w:r>
              <w:rPr>
                <w:rFonts w:ascii="Arial" w:cs="Arial" w:eastAsia="Arial" w:hAnsi="Arial"/>
                <w:sz w:val="18"/>
                <w:szCs w:val="18"/>
                <w:b w:val="1"/>
                <w:bCs w:val="1"/>
                <w:color w:val="auto"/>
              </w:rPr>
              <w:t>1,356</w:t>
            </w:r>
          </w:p>
        </w:tc>
        <w:tc>
          <w:tcPr>
            <w:tcW w:w="740" w:type="dxa"/>
            <w:vAlign w:val="bottom"/>
          </w:tcPr>
          <w:p>
            <w:pPr>
              <w:jc w:val="right"/>
              <w:ind w:right="133"/>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515"/>
              <w:spacing w:after="0"/>
              <w:rPr>
                <w:sz w:val="20"/>
                <w:szCs w:val="20"/>
                <w:color w:val="auto"/>
              </w:rPr>
            </w:pPr>
            <w:r>
              <w:rPr>
                <w:rFonts w:ascii="Arial" w:cs="Arial" w:eastAsia="Arial" w:hAnsi="Arial"/>
                <w:sz w:val="18"/>
                <w:szCs w:val="18"/>
                <w:color w:val="auto"/>
              </w:rPr>
              <w:t>1,439</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12.5</w:t>
            </w:r>
          </w:p>
        </w:tc>
      </w:tr>
      <w:tr>
        <w:trPr>
          <w:trHeight w:val="27"/>
        </w:trPr>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384</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375</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1,245</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1,300</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r>
      <w:tr>
        <w:trPr>
          <w:trHeight w:val="27"/>
        </w:trPr>
        <w:tc>
          <w:tcPr>
            <w:tcW w:w="2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financial performance for the third quarter of fiscal 2015:</w:t>
      </w:r>
    </w:p>
    <w:p>
      <w:pPr>
        <w:spacing w:after="0" w:line="117"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revenue totaled $3.5 billion.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derived from enterprise SSDs was $224 million as compared to $134 million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Hard drive unit shipments decreased 10% from the prior-year period to 54.5 million units.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remained flat at 29.1% compared to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was $421 million, an increase of $2 million from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$684 million in cash flow from operations and we ended the quarter with $4.8 billion in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3"/>
        </w:trPr>
        <w:tc>
          <w:tcPr>
            <w:tcW w:w="30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(in millions, except percentages and</w:t>
            </w:r>
          </w:p>
        </w:tc>
        <w:tc>
          <w:tcPr>
            <w:tcW w:w="28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2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March 28,</w:t>
            </w:r>
          </w:p>
        </w:tc>
        <w:tc>
          <w:tcPr>
            <w:tcW w:w="120" w:type="dxa"/>
            <w:vAlign w:val="bottom"/>
          </w:tcPr>
          <w:p>
            <w:pPr>
              <w:spacing w:after="0"/>
              <w:rPr>
                <w:sz w:val="13"/>
                <w:szCs w:val="13"/>
                <w:color w:val="auto"/>
              </w:rPr>
            </w:pPr>
          </w:p>
        </w:tc>
        <w:tc>
          <w:tcPr>
            <w:tcW w:w="12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340" w:type="dxa"/>
            <w:vAlign w:val="bottom"/>
          </w:tcPr>
          <w:p>
            <w:pPr>
              <w:spacing w:after="0"/>
              <w:rPr>
                <w:sz w:val="13"/>
                <w:szCs w:val="13"/>
                <w:color w:val="auto"/>
              </w:rPr>
            </w:pPr>
          </w:p>
        </w:tc>
        <w:tc>
          <w:tcPr>
            <w:tcW w:w="104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w w:val="95"/>
              </w:rPr>
              <w:t>March 28,</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average selling price)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11,381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11,479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Average selling price (per unit)*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Geography (%)</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Middle East and Africa</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Asia</w:t>
            </w:r>
          </w:p>
        </w:tc>
        <w:tc>
          <w:tcPr>
            <w:tcW w:w="2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Channel (%)</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OEM</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Distributors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Retailers</w:t>
            </w:r>
          </w:p>
        </w:tc>
        <w:tc>
          <w:tcPr>
            <w:tcW w:w="2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Unit Shipments*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PC</w:t>
            </w:r>
          </w:p>
        </w:tc>
        <w:tc>
          <w:tcPr>
            <w:tcW w:w="2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108.6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Non-PC</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Pr>
          <w:p>
            <w:pPr>
              <w:ind w:left="580"/>
              <w:spacing w:after="0"/>
              <w:rPr>
                <w:sz w:val="20"/>
                <w:szCs w:val="20"/>
                <w:color w:val="auto"/>
              </w:rPr>
            </w:pPr>
            <w:r>
              <w:rPr>
                <w:rFonts w:ascii="Arial" w:cs="Arial" w:eastAsia="Arial" w:hAnsi="Arial"/>
                <w:sz w:val="18"/>
                <w:szCs w:val="18"/>
                <w:color w:val="auto"/>
              </w:rPr>
              <w:t>Total units shipped</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54.5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180.3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186.2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175" w:lineRule="exact"/>
        <w:rPr>
          <w:sz w:val="20"/>
          <w:szCs w:val="20"/>
          <w:color w:val="auto"/>
        </w:rPr>
      </w:pPr>
    </w:p>
    <w:p>
      <w:pPr>
        <w:ind w:left="500" w:hanging="465"/>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sales of hard drive units only.</w:t>
      </w:r>
    </w:p>
    <w:p>
      <w:pPr>
        <w:spacing w:after="0" w:line="19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For the quarter ended April 3, 2015, net revenue was $3.5 billion, a decrease of 4% from the prior-year period. This decrease in revenue was primarily the result of client demand challenges largely driven by weak macroeconomic conditions. Total hard drive shipments decreased to 54.5 million units for the quarter ended April 3, 2015 as compared to 60.4 million units in the prior-year period. For the nine months ended April 3, 2015, net revenue was $11.4 billion, a decrease of 1% from the prior year period. Total hard drive shipments decreased to 180.3 million units for the nine months ended April 3, 2015 as compared to 186.2 million units in the prior-year period. For the quarter ended April 3, 2015, average selling price ("ASP") increased to $61 when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compared with the prior-year period at $58. For the nine months ended April 3, 2015, ASP increased by $1 from the prior-year period, from $59 to $60.</w:t>
      </w:r>
    </w:p>
    <w:p>
      <w:pPr>
        <w:spacing w:after="0" w:line="18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Changes in revenue by geography and channel generally reflect fluctuations in market demand and competitive dynamics. For the three and nine months ended April 3, 2015, Hewlett-Packard Company accounted for approximately 10% and 11% of our net revenue, respectively. For both the three and nine months ended March 28, 2014, Hewlett-Packard Company accounted for approximately 11% of our net revenue.</w:t>
      </w:r>
    </w:p>
    <w:p>
      <w:pPr>
        <w:spacing w:after="0" w:line="11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Generally, total sales incentive and marketing programs range from 7% to 10% of gross revenues per quarter. For both the three and nine months ended April 3, 2015, these programs represented 10% of gross revenues, as compared to 8% in both respective prior-year periods.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Adjustments to revenues due to changes in accruals for these programs related to revenues reported in prior periods have averaged 0.7% of quarterly gross revenue since the first quarter of fiscal 2013.</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Margin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4"/>
          </w:tcPr>
          <w:p>
            <w:pPr>
              <w:jc w:val="center"/>
              <w:ind w:left="759"/>
              <w:spacing w:after="0"/>
              <w:rPr>
                <w:sz w:val="20"/>
                <w:szCs w:val="20"/>
                <w:color w:val="auto"/>
              </w:rPr>
            </w:pPr>
            <w:r>
              <w:rPr>
                <w:rFonts w:ascii="Arial" w:cs="Arial" w:eastAsia="Arial" w:hAnsi="Arial"/>
                <w:sz w:val="14"/>
                <w:szCs w:val="14"/>
                <w:b w:val="1"/>
                <w:bCs w:val="1"/>
                <w:color w:val="auto"/>
                <w:w w:val="93"/>
              </w:rPr>
              <w:t>Three Months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center"/>
              <w:ind w:left="699"/>
              <w:spacing w:after="0"/>
              <w:rPr>
                <w:sz w:val="20"/>
                <w:szCs w:val="20"/>
                <w:color w:val="auto"/>
              </w:rPr>
            </w:pPr>
            <w:r>
              <w:rPr>
                <w:rFonts w:ascii="Arial" w:cs="Arial" w:eastAsia="Arial" w:hAnsi="Arial"/>
                <w:sz w:val="14"/>
                <w:szCs w:val="14"/>
                <w:b w:val="1"/>
                <w:bCs w:val="1"/>
                <w:color w:val="auto"/>
                <w:w w:val="95"/>
              </w:rPr>
              <w:t>Nine Months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3"/>
                <w:szCs w:val="13"/>
                <w:color w:val="auto"/>
              </w:rPr>
            </w:pPr>
          </w:p>
        </w:tc>
        <w:tc>
          <w:tcPr>
            <w:tcW w:w="108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Percentage Change</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94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28,</w:t>
            </w:r>
          </w:p>
        </w:tc>
        <w:tc>
          <w:tcPr>
            <w:tcW w:w="124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3,550</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3,703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11,381</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11,479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1320" w:type="dxa"/>
            <w:vAlign w:val="bottom"/>
          </w:tcPr>
          <w:p>
            <w:pPr>
              <w:ind w:left="92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3,291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the three months ended April 3, 2015, gross margin remained flat with the prior-year period at 29.1%. For the nine months ended April 3, 2015, gross margin decreased to 28.9% as compared to 29.0% for the prior-year period.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695"/>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3"/>
              </w:rPr>
              <w:t>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3"/>
                <w:szCs w:val="13"/>
                <w:color w:val="auto"/>
              </w:rPr>
            </w:pPr>
          </w:p>
        </w:tc>
        <w:tc>
          <w:tcPr>
            <w:tcW w:w="8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c>
          <w:tcPr>
            <w:tcW w:w="1460" w:type="dxa"/>
            <w:vAlign w:val="bottom"/>
            <w:gridSpan w:val="3"/>
          </w:tcPr>
          <w:p>
            <w:pPr>
              <w:jc w:val="right"/>
              <w:ind w:right="540"/>
              <w:spacing w:after="0" w:line="153" w:lineRule="exact"/>
              <w:rPr>
                <w:sz w:val="20"/>
                <w:szCs w:val="20"/>
                <w:color w:val="auto"/>
              </w:rPr>
            </w:pPr>
            <w:r>
              <w:rPr>
                <w:rFonts w:ascii="Arial" w:cs="Arial" w:eastAsia="Arial" w:hAnsi="Arial"/>
                <w:sz w:val="14"/>
                <w:szCs w:val="14"/>
                <w:b w:val="1"/>
                <w:bCs w:val="1"/>
                <w:color w:val="auto"/>
              </w:rPr>
              <w:t>Percentage</w:t>
            </w: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92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9"/>
              </w:rPr>
              <w:t>March 28,</w:t>
            </w:r>
          </w:p>
        </w:tc>
        <w:tc>
          <w:tcPr>
            <w:tcW w:w="120" w:type="dxa"/>
            <w:vAlign w:val="bottom"/>
          </w:tcPr>
          <w:p>
            <w:pPr>
              <w:spacing w:after="0"/>
              <w:rPr>
                <w:sz w:val="13"/>
                <w:szCs w:val="13"/>
                <w:color w:val="auto"/>
              </w:rPr>
            </w:pPr>
          </w:p>
        </w:tc>
        <w:tc>
          <w:tcPr>
            <w:tcW w:w="10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w:t>
            </w:r>
          </w:p>
        </w:tc>
        <w:tc>
          <w:tcPr>
            <w:tcW w:w="15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SG&amp;A expense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b w:val="1"/>
                <w:bCs w:val="1"/>
                <w:color w:val="auto"/>
              </w:rPr>
              <w:t>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559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arbitration award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080" w:type="dxa"/>
            <w:vAlign w:val="bottom"/>
          </w:tcPr>
          <w:p>
            <w:pPr>
              <w:ind w:left="40"/>
              <w:spacing w:after="0"/>
              <w:rPr>
                <w:sz w:val="20"/>
                <w:szCs w:val="20"/>
                <w:color w:val="auto"/>
              </w:rPr>
            </w:pPr>
            <w:r>
              <w:rPr>
                <w:rFonts w:ascii="Arial" w:cs="Arial" w:eastAsia="Arial" w:hAnsi="Arial"/>
                <w:sz w:val="18"/>
                <w:szCs w:val="18"/>
                <w:color w:val="auto"/>
                <w:w w:val="99"/>
              </w:rPr>
              <w:t>Employee termination, asset impairment and other</w:t>
            </w:r>
          </w:p>
        </w:tc>
        <w:tc>
          <w:tcPr>
            <w:tcW w:w="2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657</w:t>
            </w:r>
          </w:p>
        </w:tc>
        <w:tc>
          <w:tcPr>
            <w:tcW w:w="15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Research and development (“R&amp;D”) expense was $402 million for the three months ended April 3, 2015, a decrease of $16 million from the prior-year period. This decrease was the result of lower incentive compensation and a realignment of our cost structure due to a softer demand environment. For the nine months ended April 3, 2015, R&amp;D expense was $1.3 billion, an increase of $30 million from the prior-year period. This increase was primarily due to additional investment in our enterprise SSD business and the inclusion of a full six month period of Virident and sTec's R&amp;D expenses, as opposed to a partial six month period of such expenses in the comparative prior-year period, and an additional week of operating expenses due to a 14-week quarter in our first fiscal quarter in the current period. As a percentage of net revenue, R&amp;D expense remained flat at 11.3% and increased to 11.1% in the three and nine months ended April 3, 2015, respectively, as compared to 11.3% and 10.8% in the respective prior-year periods.</w:t>
      </w:r>
    </w:p>
    <w:p>
      <w:pPr>
        <w:spacing w:after="0" w:line="12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Selling, general and administrative (“SG&amp;A”) expense was $199 million for the three months ended April 3, 2015, a decrease of $2 million from the prior-year period. This decrease was primarily the result of lower incentive compensation and a realignment of our cost structure due to a softer demand environment. For the nine months ended April 3, 2015, SG&amp;A expense was $583 million, an increase of $24 million from the prior-year period. This increase was primarily due to the inclusion of a full six month period of Virident and sTec's SG&amp;A expenses, as opposed to a partial six month period of such expenses in the comparative prior-year period, and an additional week of operating expenses due to a 14-week quarter in our first fiscal quarter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current period. Additionally, this increase is a result of a $37 million flood-related insurance recovery in the current period compared to a $65 million flood-related insurance recovery in the prior-year period. SG&amp;A expense as a percentage of net revenue was 5.6% and 5.1% in the three and nine months ended April 3, 2015, respectively, as compared to 5.4% and 4.9% in the respective prior-year periods.</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nine months ended April 3, 2015, we recorded $15 million of interest charges related to an arbitration award for claims brought against us and a now former employee of ours by Seagate Technology LLC ("Seagate") as compared to $13 million and $39 million in the three and nine months ended March 28, 2014, respectively. For additional information, refer to Part I, Item 1, Note 5 of the Notes to Condensed Consolidated Financial Statements in this Quarterly Report on Form 10-Q.</w:t>
      </w:r>
    </w:p>
    <w:p>
      <w:pPr>
        <w:spacing w:after="0" w:line="13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the three and nine months ended April 3, 2015, we recorded employee termination, asset impairment and other charges of $10 million and $72 million, respectively, in order to realign our operations with anticipated market demand, as compared to $25 million and $59 million in the respective prior-year periods. For additional information, refer to Part I, Item 1, Note 12 of the Notes to Condensed Consolidated Financial Statements in this Quarterly Report on Form 10-Q.</w:t>
      </w: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Interest income for the three and nine months ended April 3, 2015 decreased $1 million and increased $1 million, respectively, as compared to the prior-year periods primarily due to different average daily invested cash balances for the respective periods. Interest and other expense for the three and nine months ended April 3, 2015 decreased $5 million and $7 million, respectively, when compared to the respective prior-year periods primarily due to interest on a lower debt balance.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income tax provision for the three months ended April 3, 2015 was $28 million, as compared to $31 million in the prior-year period. Our income tax provision for the nine months ended April 3, 2015 was $85 million, as compared to $105 million in the prior-year period. Our tax provision for the nine months ended April 3, 2015 reflects a tax benefit of $16 million resulting from the retroactive extension of the U.S. Federal R&amp;D tax credit that was signed into law on December 19, 2014. The differences between the effective tax rate and the U.S. Federal statutory rate are primarily due to tax holidays in Malaysia, the Philippines, Singapore and Thailand that expire at various dates from 2015 through 2025 and the current year generation of income tax credits. For additional information, refer to Part I, Item 1, Note 6 of the Notes to Condensed Consolidated Financial Statements in this Quarterly Report on Form 10-Q.</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ended the third quarter of fiscal 2015 with total cash and cash equivalents of $4.8 billion. The following table summarizes our statements of cash flows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r>
      <w:tr>
        <w:trPr>
          <w:trHeight w:val="152"/>
        </w:trPr>
        <w:tc>
          <w:tcPr>
            <w:tcW w:w="77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600" w:type="dxa"/>
            <w:vAlign w:val="bottom"/>
          </w:tcPr>
          <w:p>
            <w:pPr>
              <w:spacing w:after="0"/>
              <w:rPr>
                <w:sz w:val="13"/>
                <w:szCs w:val="13"/>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100" w:type="dxa"/>
            <w:vAlign w:val="bottom"/>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21"/>
                <w:szCs w:val="21"/>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2,104</w:t>
            </w:r>
          </w:p>
        </w:tc>
      </w:tr>
      <w:tr>
        <w:trPr>
          <w:trHeight w:val="27"/>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(1,756)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(1,034)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7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investment policy is to manage our investment portfolio to preserve principal and liquidity while maximizing return through the full investment of available funds. We believe our current cash, cash equivalents and cash generated from operations as well as our available credit facilities will be sufficient to meet our working capital, debt, dividend, stock repurchase and capital expenditure needs for at least the next twelve months. Our ability to sustain our working capital position is subject to a number of risks that we discuss in Part II, Item 1A of this Quarterly Report on Form 10-Q.</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 total of $3.9 billion and $3.5 billion of our cash and cash equivalents was held outside of the United States as of April 3, 2015 and June 27, 2014, respectively. Substantially all of the amounts held outside of the United States are intended to be indefinitely reinvested in foreign operations. As described in Part I, Item 1, Note 5 of the Notes to Condensed Consolidated Financial Statements in this Quarterly Report on Form 10-Q, the final arbitration award plus interest accrued of $773.4 million was paid on October 14, 2014 from one of our foreign subsidiaries using cash held outside the United States. On September 13, 2012, our Board of Directors approved a capital allocation plan which includes repurchases of our common stock and the adoption of a quarterly cash dividend policy. Our current plans do not anticipate that we will need funds generated from foreign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operations to fund our domestic operations or capital allocation plan. In the event funds from foreign operations are needed in the United States, any repatriation could result in the accrual and payment of additional U.S. income tax.</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Net cash provided by operating activities was $1.8 billion during the nine months ended April 3, 2015. Cash flow from operating activities consists of net income, adjusted for non-cash charges, plus or minus working capital changes. This represents our principal source of cash. Net cash used by working capital changes was $470 million for the nine months ended April 3, 2015 as compared to $189 million used by working capital changes in the prior-year period. The increase in net cash used by operations for the nine months ended April 3, 2015 was primarily due to payment of the final arbitration award plus interest accrued as previously discussed in Part I, Item 1, Note 5 of the Notes to Condensed Consolidated Financial Statements in this Quarterly Report on Form 10-Q.</w:t>
      </w:r>
    </w:p>
    <w:p>
      <w:pPr>
        <w:spacing w:after="0" w:line="13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were as follows:</w:t>
      </w:r>
    </w:p>
    <w:p>
      <w:pPr>
        <w:spacing w:after="0" w:line="108"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23495</wp:posOffset>
            </wp:positionV>
            <wp:extent cx="2306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20" w:type="dxa"/>
            <w:vAlign w:val="bottom"/>
          </w:tcPr>
          <w:p>
            <w:pPr>
              <w:jc w:val="center"/>
              <w:ind w:left="388"/>
              <w:spacing w:after="0"/>
              <w:rPr>
                <w:sz w:val="20"/>
                <w:szCs w:val="20"/>
                <w:color w:val="auto"/>
              </w:rPr>
            </w:pPr>
            <w:r>
              <w:rPr>
                <w:rFonts w:ascii="Arial" w:cs="Arial" w:eastAsia="Arial" w:hAnsi="Arial"/>
                <w:sz w:val="14"/>
                <w:szCs w:val="14"/>
                <w:b w:val="1"/>
                <w:bCs w:val="1"/>
                <w:color w:val="auto"/>
              </w:rPr>
              <w:t>April 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ind w:right="53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9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Days in inventory</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44</w:t>
            </w:r>
          </w:p>
        </w:tc>
      </w:tr>
      <w:tr>
        <w:trPr>
          <w:trHeight w:val="27"/>
        </w:trPr>
        <w:tc>
          <w:tcPr>
            <w:tcW w:w="7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Cash conversion cycle</w:t>
            </w:r>
          </w:p>
        </w:tc>
        <w:tc>
          <w:tcPr>
            <w:tcW w:w="1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w:t>
            </w:r>
          </w:p>
        </w:tc>
      </w:tr>
      <w:tr>
        <w:trPr>
          <w:trHeight w:val="27"/>
        </w:trPr>
        <w:tc>
          <w:tcPr>
            <w:tcW w:w="7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For the three months ended April 3, 2015, our average days sales outstanding (“DSOs”) remained flat, days in inventory (“DIOs”) increased by 4 days, and days payable outstanding (“DPOs”) increased by 8 days compared to the prior year period. Changes in average DSOs and DIOs are generally related to linearity of shipments and the timing of inventory builds, respectively.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modifications through negotiations with our vendors or by granting to, or receiving from, our vendors’ payment term accommodations.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Cash used in investing activities for the nine months ended April 3, 2015 was $712 million and consisted primarily of $687 million related to the purchase of investments, $456 million of capital expenditures and $247 million related to acquisitions, net of cash acquired, partially offset by $665 million of proceeds from sales and maturities of investments. Cash used in investing activities for the nine months ended March 28, 2014 was $1.8 billion and consisted primarily of $823 million related to acquisitions, net of cash acquired, $470 million of investments in available-for-sale securities, and $467 million of capital expenditures.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Net cash used in financing activities for the nine months ended April 3, 2015 was $1 billion as compared to $88 million used in financing activities in the prior-year period. Net cash used in financing activities for the nine months ended April 3, 2015 consisted primarily of $772 million used to repurchase shares of our common stock, $280 million used to pay dividends on our common stock and $94 million used to make principal payments on the Credit Agreement (as defined below), partially offset by a net $112 million provided by employee stock plans. Net cash used in financing activities for the nine months ended March 28, 2014 consisted of $2.5 billion used to make principal payments and repay the outstanding balance to terminate our previous credit agreement and to make principal payments on the Credit Agreement, $544 million used to repurchase shares of our common stock and $189 million used to pay dividends on our common stock, offset by $2.5 billion of debt proceeds related to the term loan facility under the Credit Agreement, net of issuance costs, $500 million of debt proceeds related to the revolving credit facility under our previous credit agreement and a net $139 million provided by employee stock plans.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Other than facility lease commitments incurred in the normal course of business and certain indemnification provisions (see “Contractual Obligations and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our condensed consolidated financial statements. Additionally, we do not have an interest in, or relationships with, any special-purpose entities.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On January 9, 2014, Western Digital Ireland, Ltd. (“WDI”) used existing cash to repay the outstanding term loan balance of $1.8</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under our previous credit agreement dated March 8, 2012. Also, on January 9, 2014, the Company, Western Digital Technologies, Inc. (“WDT”) and WDI entered into a new credit agreement with JPMorgan Chase Bank, N.A., as administrative agent, and the lenders party thereto, which was subsequently amended on February 25, 2015 (as amended, the "Credit Agreement") to add Western Digital International, Ltd. (”WD International”) as an additional borrower. The Credit Agreement provides for $4.0 billion of unsecured loan facilities consisting of a $2.5 billion term loan facility to WDT and a $1.5 billion revolving credit facility to WDT, WDI and WD International (each, a “Borrower” and collectively, the “Borrowers”).</w:t>
      </w:r>
    </w:p>
    <w:p>
      <w:pPr>
        <w:spacing w:after="0" w:line="1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As of April 3, 2015, no amounts were outstanding under the revolving credit facility of the Credit Agreement and the term loan facility had an outstanding balance of $2.3 billion with a variable interest rate of 1.68%. We are required to make quarterly principal payments on the term loan facility totaling $31 million for the remainder of fiscal 2015, $156 million in fiscal 2016, $219 million in fiscal 2017, $250 million in fiscal 2018 and the remaining balance of $1.7 billion in fiscal 2019. As of April 3, 2015, we were in compliance all covenants under the Credit Agreement. For additional information, refer to Part I, Item 1, Note 4 of the Notes to Condensed Consolidated Financial Statements included in this Quarterly Report on Form 10-Q.</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 In the normal course of business, we enter into purchase orders with suppliers for the purchase of components used to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11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We have also entered into long-term purchase agreements with various component suppliers that carry fixed volumes and pricing which obligate us to make certain future purchases, contingent on certain conditions of performance, quality and technology of the vendor’s components.</w:t>
      </w:r>
    </w:p>
    <w:p>
      <w:pPr>
        <w:spacing w:after="0" w:line="10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w:t>
      </w:r>
    </w:p>
    <w:p>
      <w:pPr>
        <w:spacing w:after="0" w:line="12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Refer to Part II, Item 7 of our Annual Report on Form 10-K for the year ended June 27, 2014, for further discussion of our purchase orders and purchase agreements and the associated dollar amounts. See Part II, Item 1A of this Quarterly Report on Form 10-Q for a discussion of the risks associated with these commitments.</w:t>
      </w:r>
    </w:p>
    <w:p>
      <w:pPr>
        <w:spacing w:after="0" w:line="127"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 We purchase short-term, foreign exchange contracts to hedge the impact of foreign currency fluctuations 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assets, liabilities and commitments for operating expenses and product costs denominated in foreign currencies. See Part I, Item 3, of this Quarterly Report on Form 10-Q under the heading “Disclosure About Foreign Currency Risk,” for a description of our current foreign exchange contract commitments and Part I, Item 1, Note 8 of the Notes to Condensed Consolidated Financial Statements included in this Quarterly Report on Form 10-Q.</w:t>
      </w:r>
    </w:p>
    <w:p>
      <w:pPr>
        <w:spacing w:after="0" w:line="10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i w:val="1"/>
          <w:iCs w:val="1"/>
          <w:color w:val="auto"/>
        </w:rPr>
        <w:t xml:space="preserve">Indemnifications </w:t>
      </w:r>
      <w:r>
        <w:rPr>
          <w:rFonts w:ascii="Arial" w:cs="Arial" w:eastAsia="Arial" w:hAnsi="Arial"/>
          <w:sz w:val="17"/>
          <w:szCs w:val="17"/>
          <w:color w:val="auto"/>
        </w:rPr>
        <w:t>— In the ordinary course of business, we may provide indemnifications of varying scope and terms to customers, vendors, lessors,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partners and other parties with respect to certain matters, including, but not limited to, losses arising out of our breach of agreements, products or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2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 As of April 3, 2015, the cash portion of our total recorded liability for unrecognized tax benefits was $273 million. We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the timing of the future payments of these liabilities to be within the next one to eight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years. For additional information, refer to Part I, Item 1, Note 6 of the Notes to Condensed Consolidated Financial Statements included in this Quarterly Report on Form 10-Q.</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 Our Board of Directors previously authorized $3.0 billion for the repurchase of our common stock. On February 3, 2015,</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authorized an additional $2.0 billion for the repurchase of our common stock and approved the extension of our stock repurchase program to February 3, 2020. During the three and nine months ended April 3, 2015, we repurchased 2.2 million and 7.6 million shares, respectively, for a total cost of $240 million and $772 million, respectively. Subsequent to April 3, 2015 and through May 6, 2015, we repurchased an additional 2.0 million shares of our common stock for a total cost of $198 million. For additional information, refer to Part I, Item 1, Note 9 of the Notes to Condensed Consolidated Financial Statements in this Quarterly Report on Form 10-Q.</w:t>
      </w:r>
    </w:p>
    <w:p>
      <w:pPr>
        <w:spacing w:after="0" w:line="13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Cash Dividend Policy </w:t>
      </w:r>
      <w:r>
        <w:rPr>
          <w:rFonts w:ascii="Arial" w:cs="Arial" w:eastAsia="Arial" w:hAnsi="Arial"/>
          <w:sz w:val="18"/>
          <w:szCs w:val="18"/>
          <w:color w:val="auto"/>
        </w:rPr>
        <w:t>— During the three months ended April 3, 2015, we declared a cash dividend of $0.50 per share of our common stock as of</w:t>
      </w:r>
      <w:r>
        <w:rPr>
          <w:rFonts w:ascii="Arial" w:cs="Arial" w:eastAsia="Arial" w:hAnsi="Arial"/>
          <w:sz w:val="18"/>
          <w:szCs w:val="18"/>
          <w:i w:val="1"/>
          <w:iCs w:val="1"/>
          <w:color w:val="auto"/>
        </w:rPr>
        <w:t xml:space="preserve"> </w:t>
      </w:r>
      <w:r>
        <w:rPr>
          <w:rFonts w:ascii="Arial" w:cs="Arial" w:eastAsia="Arial" w:hAnsi="Arial"/>
          <w:sz w:val="18"/>
          <w:szCs w:val="18"/>
          <w:color w:val="auto"/>
        </w:rPr>
        <w:t>April 3, 2015, totaling $116 million, which we paid on April 16, 2015. During the nine months ended April 3, 2015, we declared cash dividends of $1.30 per share of our common stock for a total of $280 million. On May 5, 2015, we declared a cash dividend of $0.50 per share as of July 3, 2015, which will be paid on July 15, 2015. For additional information, refer to Part I, Item 1, Note 9 of the Notes to Condensed Consolidated Financial Statements in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have prepared the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 There have been no material changes in our critical accounting policies and estimates from those disclosed in our Annual Report on Form 10-K for the year ended June 27, 2014. Please refer to Part II, Item 7 of our Annual Report on Form 10-K for the fiscal year ended June 27, 2014 for a discussion of our critical accounting policies and estimates.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refer to Part I, Item 1, Note 14 of the Notes to Condensed Consolidated Financial Statements included in this Quarterly Report on Form 10-Q.</w:t>
      </w:r>
    </w:p>
    <w:p>
      <w:pPr>
        <w:spacing w:after="0" w:line="204" w:lineRule="exact"/>
        <w:rPr>
          <w:sz w:val="20"/>
          <w:szCs w:val="20"/>
          <w:color w:val="auto"/>
        </w:rPr>
      </w:pPr>
    </w:p>
    <w:p>
      <w:pPr>
        <w:ind w:right="4660"/>
        <w:spacing w:after="0" w:line="346"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Disclosure About Foreign Currency Risk</w:t>
      </w:r>
    </w:p>
    <w:p>
      <w:pPr>
        <w:spacing w:after="0" w:line="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trading purposes. For additional information, refer to Part I, Item 1, Note 8 of the Notes to Condensed Consolidated Financial Statements included in this Quarterly Report on Form 10-Q.</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April 3, 2015, we had outstanding the following purchased foreign exchange contracts (in millions, except weighted average contract rate):</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auto"/>
        </w:rPr>
        <w:t>Contract</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Weighted Average</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Contract Rate*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Unrealized</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Gains (Losses)</w:t>
      </w:r>
    </w:p>
    <w:p>
      <w:pPr>
        <w:spacing w:after="0" w:line="53" w:lineRule="exact"/>
        <w:rPr>
          <w:sz w:val="20"/>
          <w:szCs w:val="20"/>
          <w:color w:val="auto"/>
        </w:rPr>
      </w:pPr>
    </w:p>
    <w:p>
      <w:pPr>
        <w:sectPr>
          <w:pgSz w:w="11900" w:h="16838" w:orient="portrait"/>
          <w:cols w:equalWidth="0" w:num="3">
            <w:col w:w="7480" w:space="720"/>
            <w:col w:w="1200" w:space="720"/>
            <w:col w:w="13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Foreign exchange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Cash flow hedges:</w:t>
            </w:r>
          </w:p>
        </w:tc>
        <w:tc>
          <w:tcPr>
            <w:tcW w:w="2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113.28</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Malaysian Ringgit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261</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32.87</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Fair value hedges:</w:t>
            </w:r>
          </w:p>
        </w:tc>
        <w:tc>
          <w:tcPr>
            <w:tcW w:w="2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British Pound Sterling</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Euro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120.05</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44.80</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32.63</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20" w:hanging="58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Expressed in units of foreign currency per U.S. dollar.</w:t>
      </w:r>
    </w:p>
    <w:p>
      <w:pPr>
        <w:spacing w:after="0" w:line="25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three and nine months ended April 3, 2015, total net realized transaction and foreign exchange contract currency gains and losses were not material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Borrowings under the Credit Agreement bear interest at a rate equal to, at the option of the applicable Borrower, either (a) a customary London interbank offered rate (a “Eurodollar Rate”) or (b) a customary base rate (a “Base Rate”), in each case plus an applicable margin. The applicable margins range from 1.25% to 2.00% with respect to Eurodollar Rate borrowings and 0.25% to 1.00% with respect to Base Rate borrowings. WDT, WDI and WD International are also required to pay a commitment fee for the unused portion of the revolving credit facility, which ranges from 0.175% to 0.300% per annum. The applicable margins for borrowings and the commitment fee ranges are determined based upon a leverage ratio of us and our subsidiaries calculated on a consolidated basis. A one percent increase in the variable rate of interest on the term loan and revolving credit facility would increase interest expense by approximately $23 million annually. For additional information on the Credit Agreement, see Part I, Item 1, Note 4 of the Notes to Condensed Consolidated Financial Statements included in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0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fiscal quarter ended April 3, 2015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a description of our legal proceedings, refer to Part I, Item 1, Note 5 of the Notes to Condensed Consolidated Financial Statements included in this Quarterly Report on Form 10-Q, which is incorporated by reference in response to this item.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the Company’s business, financial condition, results of operations or the market price of its common stock.</w: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If we fail to realize the anticipated benefits from our acquisition of HGST, our business and financial condition may be adversely affected.</w:t>
      </w:r>
    </w:p>
    <w:p>
      <w:pPr>
        <w:spacing w:after="0" w:line="1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agrees otherwise (with the minimum period being two years from the March 8, 2012 closing date of the acquisition). We worked closely with MOFCOM to finalize an operations plan that outlines in more detail the conditions of the competitive requirement. Compliance with these measures has adversely affected, and may continue to adversely affect, our business and financial conditions in the following ways:</w:t>
      </w:r>
    </w:p>
    <w:p>
      <w:pPr>
        <w:spacing w:after="0" w:line="146" w:lineRule="exact"/>
        <w:rPr>
          <w:sz w:val="20"/>
          <w:szCs w:val="20"/>
          <w:color w:val="auto"/>
        </w:rPr>
      </w:pPr>
    </w:p>
    <w:p>
      <w:pPr>
        <w:ind w:left="1120" w:right="620" w:hanging="329"/>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our ability to integrate the businesses of our HGST and WD subsidiaries (and we do not expect to achieve significant operating expense synergies while the hold separate condition continues to exist);</w:t>
      </w:r>
    </w:p>
    <w:p>
      <w:pPr>
        <w:spacing w:after="0" w:line="143" w:lineRule="exact"/>
        <w:rPr>
          <w:rFonts w:ascii="Arial" w:cs="Arial" w:eastAsia="Arial" w:hAnsi="Arial"/>
          <w:sz w:val="18"/>
          <w:szCs w:val="18"/>
          <w:color w:val="auto"/>
        </w:rPr>
      </w:pPr>
    </w:p>
    <w:p>
      <w:pPr>
        <w:ind w:left="1120" w:right="660" w:hanging="329"/>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caused, and could cause further, difficulties in retaining key employees and delays or uncertainties in making decisions about the combined business;</w:t>
      </w:r>
    </w:p>
    <w:p>
      <w:pPr>
        <w:spacing w:after="0" w:line="359" w:lineRule="exact"/>
        <w:rPr>
          <w:rFonts w:ascii="Arial" w:cs="Arial" w:eastAsia="Arial" w:hAnsi="Arial"/>
          <w:sz w:val="18"/>
          <w:szCs w:val="18"/>
          <w:color w:val="auto"/>
        </w:rPr>
      </w:pPr>
    </w:p>
    <w:p>
      <w:pPr>
        <w:ind w:left="1120" w:right="260" w:hanging="329"/>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resulted in, and could result in additional, significant costs (including higher capital expenditures relative to our competitors as a result of maintaining separate functions in several areas); and</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required, and could require additional, changes in business practices.</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March 2014, we submitted an application to MOFCOM requesting that the regulatory restrictions be lifted. In December 2014, we successfully resolved two non-compliance matters with MOFCOM, relating to: (1) the organization of a WDC department that included several former HGST employees, and (2) the realignment of the ownership structure of an indirect subsidiary of WDC. We cannot predict whether or when the regulatory restrictions will be wholly or partially lifted or whether we will be able to realize the anticipated benefits of our acquisition of HGST even if the restrictions are wholly or partially lifted.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financial and real estate markets, cost increases and other macroeconomic factors. Some of the risks and uncertainties we face as a result of these conditions include the following:</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380"/>
        <w:spacing w:after="0" w:line="251" w:lineRule="auto"/>
        <w:rPr>
          <w:sz w:val="20"/>
          <w:szCs w:val="20"/>
          <w:color w:val="auto"/>
        </w:rPr>
      </w:pPr>
      <w:r>
        <w:rPr>
          <w:rFonts w:ascii="Arial" w:cs="Arial" w:eastAsia="Arial" w:hAnsi="Arial"/>
          <w:sz w:val="18"/>
          <w:szCs w:val="18"/>
          <w:i w:val="1"/>
          <w:iCs w:val="1"/>
          <w:color w:val="auto"/>
        </w:rPr>
        <w:t xml:space="preserve">Volatile Demand. </w:t>
      </w:r>
      <w:r>
        <w:rPr>
          <w:rFonts w:ascii="Arial" w:cs="Arial" w:eastAsia="Arial" w:hAnsi="Arial"/>
          <w:sz w:val="18"/>
          <w:szCs w:val="18"/>
          <w:color w:val="auto"/>
        </w:rPr>
        <w:t>Our direct and indirect customers may delay or reduce their purchases of our products and systems containing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200" w:lineRule="exact"/>
        <w:rPr>
          <w:sz w:val="20"/>
          <w:szCs w:val="20"/>
          <w:color w:val="auto"/>
        </w:rPr>
      </w:pPr>
    </w:p>
    <w:p>
      <w:pPr>
        <w:spacing w:after="0" w:line="267" w:lineRule="exact"/>
        <w:rPr>
          <w:sz w:val="20"/>
          <w:szCs w:val="20"/>
          <w:color w:val="auto"/>
        </w:rPr>
      </w:pPr>
    </w:p>
    <w:p>
      <w:pPr>
        <w:ind w:left="1120" w:right="760" w:hanging="329"/>
        <w:spacing w:after="0" w:line="219" w:lineRule="auto"/>
        <w:tabs>
          <w:tab w:leader="none" w:pos="1120" w:val="left"/>
        </w:tabs>
        <w:numPr>
          <w:ilvl w:val="0"/>
          <w:numId w:val="10"/>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Restructuring Activities. </w:t>
      </w:r>
      <w:r>
        <w:rPr>
          <w:rFonts w:ascii="Arial" w:cs="Arial" w:eastAsia="Arial" w:hAnsi="Arial"/>
          <w:sz w:val="16"/>
          <w:szCs w:val="16"/>
          <w:color w:val="auto"/>
        </w:rPr>
        <w:t>If demand for our products slows as a result of a deterioration in economic conditions, we may undertake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activities to realign our cost structure with softening demand. The occurrence of restructuring activities could result in impairment charges and other expenses, which could adversely impact our results of operations or financial condition.</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125" w:right="2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280"/>
        <w:spacing w:after="0" w:line="287" w:lineRule="auto"/>
        <w:rPr>
          <w:sz w:val="20"/>
          <w:szCs w:val="20"/>
          <w:color w:val="auto"/>
        </w:rPr>
      </w:pPr>
      <w:r>
        <w:rPr>
          <w:rFonts w:ascii="Arial" w:cs="Arial" w:eastAsia="Arial" w:hAnsi="Arial"/>
          <w:sz w:val="16"/>
          <w:szCs w:val="16"/>
          <w:i w:val="1"/>
          <w:iCs w:val="1"/>
          <w:color w:val="auto"/>
        </w:rPr>
        <w:t xml:space="preserve">Credit Volatility and Loss of Receivables. </w:t>
      </w:r>
      <w:r>
        <w:rPr>
          <w:rFonts w:ascii="Arial" w:cs="Arial" w:eastAsia="Arial" w:hAnsi="Arial"/>
          <w:sz w:val="16"/>
          <w:szCs w:val="16"/>
          <w:color w:val="auto"/>
        </w:rPr>
        <w:t>We extend credit and payment terms to some of our customers. In addition to ongoing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and is unable to pay us. Additionally, negative or uncertain global economic conditions increase the risk that if a customer whose accounts receivable we have insured fails, the financial condition of the insurance carrier for such customer account may have also deteriorated such that it cannot cover our loss. A significant loss of an accounts receivable that we cannot recover through credit insurance would have a negative impact on our financial results.</w:t>
      </w:r>
    </w:p>
    <w:p>
      <w:pPr>
        <w:spacing w:after="0" w:line="200" w:lineRule="exact"/>
        <w:rPr>
          <w:sz w:val="20"/>
          <w:szCs w:val="20"/>
          <w:color w:val="auto"/>
        </w:rPr>
      </w:pPr>
    </w:p>
    <w:p>
      <w:pPr>
        <w:spacing w:after="0" w:line="239" w:lineRule="exact"/>
        <w:rPr>
          <w:sz w:val="20"/>
          <w:szCs w:val="20"/>
          <w:color w:val="auto"/>
        </w:rPr>
      </w:pPr>
    </w:p>
    <w:p>
      <w:pPr>
        <w:ind w:left="1120" w:right="260" w:hanging="329"/>
        <w:spacing w:after="0" w:line="211" w:lineRule="auto"/>
        <w:tabs>
          <w:tab w:leader="none" w:pos="112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Negative or uncertain global economic conditions could result in circumstances, such as a sustained decline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price and market capitalization or a decrease in our forecasted cash flows such that they are insufficient, indicating that the carrying value of our long-lived assets or goodwill may be impaired. If we are required to record a significant charge to earnings in our consolidated financial statements because an impairment of our long-lived assets or goodwill is determined, our results of operations will be adversely affected.</w:t>
      </w:r>
    </w:p>
    <w:p>
      <w:pPr>
        <w:spacing w:after="0" w:line="259" w:lineRule="exact"/>
        <w:rPr>
          <w:sz w:val="20"/>
          <w:szCs w:val="20"/>
          <w:color w:val="auto"/>
        </w:rPr>
      </w:pPr>
    </w:p>
    <w:p>
      <w:pPr>
        <w:ind w:left="500" w:right="460"/>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the risk of declining ASPs, volatile gross margins and significant shifts in market share, all of which could adversely affect our operating results.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As a result,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In addition, rapid technological changes often reduce the volume and profitability of sales of existing products and increase the risk of inventory obsolescence. These factors, along with others, may result in significant shifts in market share among the industry’s major participants, including a substantial decrease in our market share.</w:t>
      </w:r>
    </w:p>
    <w:p>
      <w:pPr>
        <w:spacing w:after="0" w:line="129"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1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data storage industry faces difficulties in accurately forecasting market and customer demand for its products. The variety and volume of products we manufacture is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of computer systems, storage subsystems, gaming consoles and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100"/>
        <w:spacing w:after="0" w:line="342" w:lineRule="auto"/>
        <w:rPr>
          <w:sz w:val="20"/>
          <w:szCs w:val="20"/>
          <w:color w:val="auto"/>
        </w:rPr>
      </w:pPr>
      <w:r>
        <w:rPr>
          <w:rFonts w:ascii="Arial" w:cs="Arial" w:eastAsia="Arial" w:hAnsi="Arial"/>
          <w:sz w:val="16"/>
          <w:szCs w:val="16"/>
          <w:i w:val="1"/>
          <w:iCs w:val="1"/>
          <w:color w:val="auto"/>
        </w:rPr>
        <w:t>Our sales to the CE, cloud computing, network attached storage (NAS), surveillance and enterprise markets, representing an increasing percentage of our overall revenue, may grow at a slower rate than current estimates, which could materially adversely impact our operating results.</w:t>
      </w:r>
    </w:p>
    <w:p>
      <w:pPr>
        <w:spacing w:after="0" w:line="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secular growth of digital data is resulting in a more diversified mix of revenue from the CE, cloud computing, NAS, surveillance and enterprise markets. As sales into these markets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214" w:lineRule="exact"/>
        <w:rPr>
          <w:sz w:val="20"/>
          <w:szCs w:val="20"/>
          <w:color w:val="auto"/>
        </w:rPr>
      </w:pPr>
    </w:p>
    <w:p>
      <w:pPr>
        <w:ind w:left="1120" w:right="280" w:hanging="329"/>
        <w:spacing w:after="0" w:line="224" w:lineRule="auto"/>
        <w:tabs>
          <w:tab w:leader="none" w:pos="1120" w:val="left"/>
        </w:tabs>
        <w:numPr>
          <w:ilvl w:val="0"/>
          <w:numId w:val="12"/>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Mobile Devices. </w:t>
      </w:r>
      <w:r>
        <w:rPr>
          <w:rFonts w:ascii="Arial" w:cs="Arial" w:eastAsia="Arial" w:hAnsi="Arial"/>
          <w:sz w:val="17"/>
          <w:szCs w:val="17"/>
          <w:color w:val="auto"/>
        </w:rPr>
        <w:t>There has been and continues to be a rapid growth in devices that do not contain a hard drive such as tablet computers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demand for our products in these markets may decrease and our financial results could be materially adversely affected.</w:t>
      </w:r>
    </w:p>
    <w:p>
      <w:pPr>
        <w:spacing w:after="0" w:line="200" w:lineRule="exact"/>
        <w:rPr>
          <w:rFonts w:ascii="Arial" w:cs="Arial" w:eastAsia="Arial" w:hAnsi="Arial"/>
          <w:sz w:val="34"/>
          <w:szCs w:val="34"/>
          <w:color w:val="auto"/>
          <w:vertAlign w:val="superscript"/>
        </w:rPr>
      </w:pPr>
    </w:p>
    <w:p>
      <w:pPr>
        <w:spacing w:after="0" w:line="352" w:lineRule="exact"/>
        <w:rPr>
          <w:rFonts w:ascii="Arial" w:cs="Arial" w:eastAsia="Arial" w:hAnsi="Arial"/>
          <w:sz w:val="34"/>
          <w:szCs w:val="34"/>
          <w:color w:val="auto"/>
          <w:vertAlign w:val="superscript"/>
        </w:rPr>
      </w:pPr>
    </w:p>
    <w:p>
      <w:pPr>
        <w:ind w:left="1120" w:right="380" w:hanging="329"/>
        <w:spacing w:after="0" w:line="221" w:lineRule="auto"/>
        <w:tabs>
          <w:tab w:leader="none" w:pos="112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Cloud Computing. </w:t>
      </w:r>
      <w:r>
        <w:rPr>
          <w:rFonts w:ascii="Arial" w:cs="Arial" w:eastAsia="Arial" w:hAnsi="Arial"/>
          <w:sz w:val="18"/>
          <w:szCs w:val="18"/>
          <w:color w:val="auto"/>
        </w:rPr>
        <w:t>Consumers traditionally have stored their data on their PC, often supplemented with personal external storage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Most businesses also include similar local storage as a primary or secondary storage location. This storage is typically provided by hard disk drives. Over the last few years, cloud computing has emerged whereby applications and data are hosted, accessed and processed through a third-party provider over a broadband Internet connection, potentially reducing or eliminating the need for, among other things, significant storage inside the accessing computer. If we are not successful in manufacturing compelling products to address the cloud computing opportunity, demand for our products in these markets may decrease and our financial results could be materially adversely affected.</w:t>
      </w:r>
    </w:p>
    <w:p>
      <w:pPr>
        <w:spacing w:after="0" w:line="338" w:lineRule="exact"/>
        <w:rPr>
          <w:rFonts w:ascii="Arial" w:cs="Arial" w:eastAsia="Arial" w:hAnsi="Arial"/>
          <w:sz w:val="36"/>
          <w:szCs w:val="36"/>
          <w:color w:val="auto"/>
          <w:vertAlign w:val="superscript"/>
        </w:rPr>
      </w:pPr>
    </w:p>
    <w:p>
      <w:pPr>
        <w:ind w:left="1120" w:right="780" w:hanging="329"/>
        <w:spacing w:after="0" w:line="182" w:lineRule="auto"/>
        <w:tabs>
          <w:tab w:leader="none" w:pos="1120" w:val="left"/>
        </w:tabs>
        <w:numPr>
          <w:ilvl w:val="0"/>
          <w:numId w:val="12"/>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Obsolete Inventory. </w:t>
      </w:r>
      <w:r>
        <w:rPr>
          <w:rFonts w:ascii="Arial" w:cs="Arial" w:eastAsia="Arial" w:hAnsi="Arial"/>
          <w:sz w:val="17"/>
          <w:szCs w:val="17"/>
          <w:color w:val="auto"/>
        </w:rPr>
        <w:t>In some cases, products we manufacture for these other markets are uniquely configured for a single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creating a risk of obsolete inventory if anticipated demand is not actually realized.</w:t>
      </w:r>
    </w:p>
    <w:p>
      <w:pPr>
        <w:spacing w:after="0" w:line="200" w:lineRule="exact"/>
        <w:rPr>
          <w:rFonts w:ascii="Arial" w:cs="Arial" w:eastAsia="Arial" w:hAnsi="Arial"/>
          <w:sz w:val="34"/>
          <w:szCs w:val="34"/>
          <w:color w:val="auto"/>
          <w:vertAlign w:val="superscript"/>
        </w:rPr>
      </w:pPr>
    </w:p>
    <w:p>
      <w:pPr>
        <w:spacing w:after="0" w:line="354" w:lineRule="exact"/>
        <w:rPr>
          <w:rFonts w:ascii="Arial" w:cs="Arial" w:eastAsia="Arial" w:hAnsi="Arial"/>
          <w:sz w:val="34"/>
          <w:szCs w:val="34"/>
          <w:color w:val="auto"/>
          <w:vertAlign w:val="superscript"/>
        </w:rPr>
      </w:pPr>
    </w:p>
    <w:p>
      <w:pPr>
        <w:ind w:left="1120" w:right="300" w:hanging="329"/>
        <w:spacing w:after="0" w:line="203" w:lineRule="auto"/>
        <w:tabs>
          <w:tab w:leader="none" w:pos="112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Consumer spending has been, and may continue to be, adversely affected in many regions due to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 and high unemployment levels. Please see the risk factor entitled “</w:t>
      </w:r>
      <w:r>
        <w:rPr>
          <w:rFonts w:ascii="Arial" w:cs="Arial" w:eastAsia="Arial" w:hAnsi="Arial"/>
          <w:sz w:val="18"/>
          <w:szCs w:val="18"/>
          <w:i w:val="1"/>
          <w:iCs w:val="1"/>
          <w:color w:val="auto"/>
        </w:rPr>
        <w:t>Adverse global economic conditions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market uncertainty could harm our business, results of operations and financial condition.” </w:t>
      </w:r>
      <w:r>
        <w:rPr>
          <w:rFonts w:ascii="Arial" w:cs="Arial" w:eastAsia="Arial" w:hAnsi="Arial"/>
          <w:sz w:val="18"/>
          <w:szCs w:val="18"/>
          <w:color w:val="auto"/>
        </w:rPr>
        <w:t>for more risks and uncertainties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macroeconomic conditions.</w:t>
      </w:r>
    </w:p>
    <w:p>
      <w:pPr>
        <w:spacing w:after="0" w:line="25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demand in these other markets also could be negatively impacted by developments in the regulation and enforcement of digital rights management and the emergence of new technologies, such as data deduplication,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Furthermore, our ability to accurately read and respond to market trends, such as trends relating to the Internet or big data, could harm our results.</w:t>
      </w:r>
    </w:p>
    <w:p>
      <w:pPr>
        <w:spacing w:after="0" w:line="1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The client compute market (the "PC market") has been deteriorating, and if we fail to respond to changes in the PC market, our operating results could suffer.</w:t>
      </w:r>
    </w:p>
    <w:p>
      <w:pPr>
        <w:spacing w:after="0" w:line="1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sales to the other markets are becoming a more significant source of revenue, sales to the PC market remain an important part of our business. The PC market, however, has been, and may continue to be, adversely affected by the growth of tablet computers, smart phones and similar devices that perform many of the same capabilities as PCs, the lengthening of product life cycles and macroeconomic conditions. We believe that the deterioration of the PC market has accelerated recently, and that this accelerated deterioration may continue or further accelerate. If we fail to respond to changes in the PC market, our operating results could suffer. Additionally, if demand in the PC market is worse than expected as a result of these or other conditions, demand for our products in the PC market may decrease at a faster rate and our operating results may be adversely affected.</w:t>
      </w:r>
    </w:p>
    <w:p>
      <w:pPr>
        <w:spacing w:after="0" w:line="11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1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gain market acceptance of our products in multiple channels, including traditional retail, e-commerce and online channels.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w:t>
      </w:r>
      <w:r>
        <w:rPr>
          <w:rFonts w:ascii="Arial" w:cs="Arial" w:eastAsia="Arial" w:hAnsi="Arial"/>
          <w:sz w:val="18"/>
          <w:szCs w:val="18"/>
          <w:color w:val="auto"/>
          <w:vertAlign w:val="superscript"/>
        </w:rPr>
        <w:t>®</w:t>
      </w:r>
      <w:r>
        <w:rPr>
          <w:rFonts w:ascii="Arial" w:cs="Arial" w:eastAsia="Arial" w:hAnsi="Arial"/>
          <w:sz w:val="18"/>
          <w:szCs w:val="18"/>
          <w:color w:val="auto"/>
        </w:rPr>
        <w:t>, HGST™ or G-Technology™ brand products, our operating results may be adversely affected.</w:t>
      </w:r>
    </w:p>
    <w:p>
      <w:pPr>
        <w:spacing w:after="0" w:line="134"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1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quarter ended April 3, 2015, 43%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would likely be harmed.</w:t>
      </w:r>
    </w:p>
    <w:p>
      <w:pPr>
        <w:spacing w:after="0" w:line="1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1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could be harmed.</w:t>
      </w:r>
    </w:p>
    <w:p>
      <w:pPr>
        <w:spacing w:after="0" w:line="111" w:lineRule="exact"/>
        <w:rPr>
          <w:sz w:val="20"/>
          <w:szCs w:val="20"/>
          <w:color w:val="auto"/>
        </w:rPr>
      </w:pPr>
    </w:p>
    <w:p>
      <w:pPr>
        <w:jc w:val="both"/>
        <w:ind w:left="500" w:right="40"/>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research and development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12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 range of storage products to our customers. We currently offer a variety of 3.5-inch and 2.5-inch hard drives, solid state drives and other products for the PC and other storage markets. As we expand our product line to sell into new markets, the overall complexity of our business increases at an accelerated rate and we become subject to different market dynamics. These dynamics may include, among other things, different demand volume, seasonality, product requirements, sales channels, and warranty and return policies. In addition, expansion into other markets may result in increases in research and development expenses and substantial investments in manufacturing capability or technology enhancements. If we fail to successfully expand into new markets with products that we do not currently offer, we may lose business to our competitors or new entrants who offer these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i w:val="1"/>
          <w:iCs w:val="1"/>
          <w:color w:val="auto"/>
        </w:rPr>
        <w:t>Our vertical integration of head and magnetic media manufacturing makes us dependent on our ability to timely and cost-effectively develop heads and magnetic media with leading technology and overall quality, increasing capital expenditure costs and asset utilization risks for our business.</w:t>
      </w:r>
    </w:p>
    <w:p>
      <w:pPr>
        <w:spacing w:after="0" w:line="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develop and manufacture a substantial portion of the heads and magnetic media used in the hard drive products we produce. Consequently, we are more dependent upon our own development and execution efforts and less able to take advantage of head and magnetic media technologies developed by other manufacturers. Technology transition for head and magnetic media designs is critical to increasing our volume production of heads and magnetic media. There can be no assurance, however, that we will be successful in timely and cost-effectively developing and manufacturing heads or magnetic media for products using future technologies. We also may not effectively transition our head or magnetic media design and technology to achieve acceptable manufacturing yields using the technologies necessary to satisfy our customers’ product needs, or we may encounter quality problems with the heads or magnetic media we manufacture. If we are unable to timely and cost-effectively develop heads and magnetic media with leading technology and overall quality, our ability to sell our products may be significantly diminished, which could materially and adversely affect our business and financial results.</w:t>
      </w:r>
    </w:p>
    <w:p>
      <w:pPr>
        <w:spacing w:after="0" w:line="112" w:lineRule="exact"/>
        <w:rPr>
          <w:sz w:val="20"/>
          <w:szCs w:val="20"/>
          <w:color w:val="auto"/>
        </w:rPr>
      </w:pPr>
    </w:p>
    <w:p>
      <w:pPr>
        <w:jc w:val="both"/>
        <w:ind w:right="100" w:firstLine="648"/>
        <w:spacing w:after="0" w:line="271" w:lineRule="auto"/>
        <w:rPr>
          <w:sz w:val="20"/>
          <w:szCs w:val="20"/>
          <w:color w:val="auto"/>
        </w:rPr>
      </w:pPr>
      <w:r>
        <w:rPr>
          <w:rFonts w:ascii="Arial" w:cs="Arial" w:eastAsia="Arial" w:hAnsi="Arial"/>
          <w:sz w:val="17"/>
          <w:szCs w:val="17"/>
          <w:color w:val="auto"/>
        </w:rPr>
        <w:t>In addition, as a result of our vertical integration of head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head or magnetic media manufacturing operations, our ongoing operations could be disrupted, resulting in a decrease in our revenue or profit margins and negatively impacting our operating results.</w:t>
      </w:r>
    </w:p>
    <w:p>
      <w:pPr>
        <w:spacing w:after="0" w:line="125"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i w:val="1"/>
          <w:iCs w:val="1"/>
          <w:color w:val="auto"/>
        </w:rPr>
        <w:t>We make significant investments in research and development to improve our technology and develop new technologies, and unsuccessful investments could materially adversely affect our business, financial condition and results of operations.</w:t>
      </w:r>
    </w:p>
    <w:p>
      <w:pPr>
        <w:spacing w:after="0" w:line="11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leading supplier of hard drives and a major supplier of enterprise solid state drives, we make significant investments to maintain our existing products and to lead innovation and development of new technologies. This strategy requires us to make significant investments in research and development and, in order to remain competitive, we may increase our capital expenditures and expenses above our historical run-rate model. There can be no assurance that these investments will result in viable technologies or products, or if these investments do result in viable technologies or products, that they will be profitable or accepted by the market. Significant investments in unsuccessful research and development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consolidations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qualify our products with our customers, it may have a significant adverse impact on our sales and margins.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engage in new product qualification with our customers.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original equipment manufacturers ("OEMs"),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w:t>
      </w:r>
    </w:p>
    <w:p>
      <w:pPr>
        <w:spacing w:after="0" w:line="135"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i w:val="1"/>
          <w:iCs w:val="1"/>
          <w:color w:val="auto"/>
        </w:rPr>
        <w:t>We are subject to risks related to product defects or the unintended use of our products, which could result in product recalls or epidemic failures and could subject us to warranty claims in excess of our warranty provisions or which are greater than anticipated.</w:t>
      </w:r>
    </w:p>
    <w:p>
      <w:pPr>
        <w:spacing w:after="0" w:line="1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there can be no assurance that our testing will reveal defects in our products, which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and, if a product recall occurs during the product’s warranty period, we may be required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a product recall or epidemic failure may damage our reputation or customer relationships, and may cause us to lose market share with our customers, including our OEM and original design manufacturers ("ODM") customers.</w:t>
      </w:r>
    </w:p>
    <w:p>
      <w:pPr>
        <w:spacing w:after="0" w:line="12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84"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depend on an external supply base for technologies, components, equipment and materials for use in our product design and manufacturing. We also depend on service suppliers for providing technical support for our products. In addition, we use logistics partners to manage our JIT (just-in-time) hubs, distribution centers and freight from suppliers to our factories and from our factories to our customers throughout the world. Many of these components and much of this equipment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However, many of the risks that affect us also affect our supply base, including, but not limited to, having single site</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manufacturing locations based in high risk regions of the world, macro and local economic conditions, shortages of commodity materials, proper management of technology transitions, natural disasters, geo-political risks, compliance with legal requirements, financial instability and exposure to intellectual property and other litigation, including an injunction or other action that could delay shipping. If any of these risks were to affect our suppliers,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to develop new technologies and, as a result, we may become subject to litigation from our suppliers or third parties.</w:t>
      </w:r>
    </w:p>
    <w:p>
      <w:pPr>
        <w:spacing w:after="0" w:line="111"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As PC demand slows, competition increases from NAND and other consumer devices, the total available market for hard disk drives decreases and costs increase, these suppliers may reevaluate their business models.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such as NAND flash. In the case of NAND suppliers, many of which are involved in developing storage products such as SSD that, in some cases, compete with our products. Our success in these new product areas may be dependent on our ability and their willingness to develop close relationships, with preferential agreements. Where this cannot be done, our business and operations may be adversely affected.</w:t>
      </w:r>
    </w:p>
    <w:p>
      <w:pPr>
        <w:spacing w:after="0" w:line="11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Please see the risk factors entitled, “</w:t>
      </w:r>
      <w:r>
        <w:rPr>
          <w:rFonts w:ascii="Arial" w:cs="Arial" w:eastAsia="Arial" w:hAnsi="Arial"/>
          <w:sz w:val="18"/>
          <w:szCs w:val="18"/>
          <w:i w:val="1"/>
          <w:iCs w:val="1"/>
          <w:color w:val="auto"/>
        </w:rPr>
        <w:t>A fundamental change in storage technologies could result in significant increases in our costs and could put us at a competitive disadvantage”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“If we do not properly manage technology transitions, our competitiveness and operating results may be negatively affected” </w:t>
      </w:r>
      <w:r>
        <w:rPr>
          <w:rFonts w:ascii="Arial" w:cs="Arial" w:eastAsia="Arial" w:hAnsi="Arial"/>
          <w:sz w:val="18"/>
          <w:szCs w:val="18"/>
          <w:color w:val="auto"/>
        </w:rPr>
        <w:t>for a review of some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internal supply.</w:t>
      </w:r>
    </w:p>
    <w:p>
      <w:pPr>
        <w:spacing w:after="0" w:line="11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11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15"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7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If product life cycles lengthen, we may need to develop new technologies or programs to reduce our costs on any particular product to maintain competitive pricing for that product.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A fundamental change in storage technologies could result in significant increases in our costs and could put us at a competitive disadvantage.</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Historically, when the industry experiences a fundamental change in storage technologies, any manufacturer that fails to successfully and timely adjust its designs and processes to accommodate the new technology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As a result of these technology shifts, we could incur substantial costs in developing new technologies, such as heads, magnetic media, and tools to remain competitive. If we fail to successfully implement these new technologies, or if we are significantly slower than our competitors at implementing new technologies, we may not be able to offer products with capacities that our customers desire, which could harm our operating results.</w:t>
      </w:r>
    </w:p>
    <w:p>
      <w:pPr>
        <w:spacing w:after="0" w:line="113"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7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storage markets in which we offer our products continuously undergo technology transitions which we must anticipate and adapt our products to address in a timely manner. If we fail to implement these new technologies successfully, or if we are slower than our competitors at implementing new technologies, we may not be able to competitively offer products that our customers desire, which could harm our operating results.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advances in computer hardware and software are made, our customers have demanded a more diversified portfolio of products with new and additional features. In some cases, this demand results in investments in new products for a particular market that do not necessarily expand overall market opportunity, which may negatively affect our operating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52" w:lineRule="exact"/>
        <w:rPr>
          <w:sz w:val="20"/>
          <w:szCs w:val="20"/>
          <w:color w:val="auto"/>
        </w:rPr>
      </w:pPr>
    </w:p>
    <w:p>
      <w:pPr>
        <w:ind w:left="1120" w:hanging="32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500" w:hanging="329"/>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 and</w:t>
      </w:r>
    </w:p>
    <w:p>
      <w:pPr>
        <w:spacing w:after="0" w:line="143" w:lineRule="exact"/>
        <w:rPr>
          <w:rFonts w:ascii="Arial" w:cs="Arial" w:eastAsia="Arial" w:hAnsi="Arial"/>
          <w:sz w:val="18"/>
          <w:szCs w:val="18"/>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may suffer if we fail to successfully anticipate and manage issues associated with our product development.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develop and introduce new products that are competitive against alternative storage technologies, our business may suffer.</w:t>
      </w:r>
    </w:p>
    <w:p>
      <w:pPr>
        <w:spacing w:after="0" w:line="171"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color w:val="auto"/>
        </w:rPr>
        <w:t>Our success depends in part on our ability to develop and introduce new products in a timely manner in order to keep pace with technology advancements. Newer storage technologies have successfully served mobility markets for products that cannot be serviced using traditional storage technologies. Advances in semiconductor technology have resulted in other emerging technologies that can be competitive with traditional storage technologies for high performance needs in advanced digital computing markets such as enterprise servers and storage. There can be no assurance that we will be successful in anticipating and developing new products for the PC and other storage markets in response to competing storage technologies. If our hard drive and solid state products fail to offer a superior value proposition to alternative storage products, we will be at a competitive disadvantage to companies using alternative technology and our business will suffer.</w:t>
      </w:r>
    </w:p>
    <w:p>
      <w:pPr>
        <w:spacing w:after="0" w:line="11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WD's internal slider capacity and 60% of WD's hard drive manufacturing capacity was in Thailand. As a result of the flooding in Thailand, WD's facilities were inundated and temporarily shut down. During that period, WD's ability to manufacture hard drives was significantly constrained, adversely affecting WD's business, financial condition and results of operations.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Manufacturing and marketing our products globally subjects us to numerous risks.</w:t>
      </w:r>
    </w:p>
    <w:p>
      <w:pPr>
        <w:spacing w:after="0" w:line="17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are subject to risks associated with our global manufacturing operations and global marketing efforts, as well as risks associated with our utilization of and reliance on contract manufacturers, including:</w:t>
      </w:r>
    </w:p>
    <w:p>
      <w:pPr>
        <w:spacing w:after="0" w:line="197" w:lineRule="exact"/>
        <w:rPr>
          <w:sz w:val="20"/>
          <w:szCs w:val="20"/>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540" w:hanging="329"/>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transportation availability, delays, and extended time required for shipping, which risks may be compounded in periods of price declines;</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restrictions or higher tariffs;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20" w:hanging="329"/>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labor and overhead costs;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Sudden disruptions to the availability of freight lanes could have an impact on our operations.</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generally ship our products to our customers, and receive shipments from our suppliers, via air, ocean or land freight. The sudden unavailability or disruption of cargo operations or freight lanes caused by, among other things, labor difficulties or disputes, severe weather patterns or other natural disasters, or political instability or civil unrest, could impact our operating results by impairing our ability to timely and efficiently deliver our products.</w:t>
      </w:r>
    </w:p>
    <w:p>
      <w:pPr>
        <w:spacing w:after="0" w:line="147"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i w:val="1"/>
          <w:iCs w:val="1"/>
          <w:color w:val="auto"/>
        </w:rPr>
        <w:t>If our technology infrastructure, systems or products are compromised, damaged or interrupted by cyber attacks, data security breaches, other security problems, security vulnerabilities, or design defects, we could suffer harm to our business and financial condition, exposure to significant liability, reputational harm, and other serious negative consequences.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experience from time to time attempts to breach our technology infrastructure, systems and products through cyber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efforts to breach our infrastructure, systems and products are successful or we are unable to protect against these risks, we could suffer interruptions, delays, or cessation of operations of our systems, and we, our customers, and other affected third parties could suffer loss or misuse of proprietary information, intellectual property, or sensitive or confidential data or personal information, costs, indemnification claims, litigation, and damage to our brand and reputation. All of these consequences could harm our reputation and our business and materially and adversely affect our operating results and financial condition.</w:t>
      </w:r>
    </w:p>
    <w:p>
      <w:pPr>
        <w:spacing w:after="0" w:line="188"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auto"/>
        </w:rPr>
        <w:t>.</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in conducting our business subjects us to legal and regulatory burdens that may require us to notify vendors, customers or employees or other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34"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it may adversely affect our future results.</w:t>
      </w:r>
    </w:p>
    <w:p>
      <w:pPr>
        <w:spacing w:after="0" w:line="11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part of our growth strategy, we have completed, and we may continue to pursue, acquisitions of, investment opportunities in, or other significant transactions with companies that are complementary to our business. For example, we completed the acquisitions of Amplidata on March 9, 2015, Virident on October 17, 2013, and sTec on September 12,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3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Please also see the risk factor entitled “</w:t>
      </w:r>
      <w:r>
        <w:rPr>
          <w:rFonts w:ascii="Arial" w:cs="Arial" w:eastAsia="Arial" w:hAnsi="Arial"/>
          <w:sz w:val="18"/>
          <w:szCs w:val="18"/>
          <w:i w:val="1"/>
          <w:iCs w:val="1"/>
          <w:color w:val="auto"/>
        </w:rPr>
        <w:t>If we fail to realize the anticipated benefits from our acquisition of HGST on a timely basis, or at all,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financial condition may be adversely affected”</w:t>
      </w:r>
      <w:r>
        <w:rPr>
          <w:rFonts w:ascii="Arial" w:cs="Arial" w:eastAsia="Arial" w:hAnsi="Arial"/>
          <w:sz w:val="18"/>
          <w:szCs w:val="18"/>
          <w:color w:val="auto"/>
        </w:rPr>
        <w: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entered into strategic relationships with various partners to reduce the risk associated with relying on external suppliers for technologies, components, equipment and materials for use in our product design and manufacturing. Please see the risk factor entitled “</w:t>
      </w:r>
      <w:r>
        <w:rPr>
          <w:rFonts w:ascii="Arial" w:cs="Arial" w:eastAsia="Arial" w:hAnsi="Arial"/>
          <w:sz w:val="16"/>
          <w:szCs w:val="16"/>
          <w:i w:val="1"/>
          <w:iCs w:val="1"/>
          <w:color w:val="auto"/>
        </w:rPr>
        <w:t>Because we are dependent on a</w:t>
      </w:r>
      <w:r>
        <w:rPr>
          <w:rFonts w:ascii="Arial" w:cs="Arial" w:eastAsia="Arial" w:hAnsi="Arial"/>
          <w:sz w:val="16"/>
          <w:szCs w:val="16"/>
          <w:color w:val="auto"/>
        </w:rPr>
        <w:t xml:space="preserve"> </w:t>
      </w:r>
      <w:r>
        <w:rPr>
          <w:rFonts w:ascii="Arial" w:cs="Arial" w:eastAsia="Arial" w:hAnsi="Arial"/>
          <w:sz w:val="16"/>
          <w:szCs w:val="16"/>
          <w:i w:val="1"/>
          <w:iCs w:val="1"/>
          <w:color w:val="auto"/>
        </w:rPr>
        <w:t>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 description of the risks associated with our reliance on external suppliers. These strategic relationships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various risks that could adversely affect the value of our investments and our results of operations. These risks include the following:</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520"/>
        <w:spacing w:after="0" w:line="259" w:lineRule="auto"/>
        <w:rPr>
          <w:sz w:val="20"/>
          <w:szCs w:val="20"/>
          <w:color w:val="auto"/>
        </w:rPr>
      </w:pPr>
      <w:r>
        <w:rPr>
          <w:rFonts w:ascii="Arial" w:cs="Arial" w:eastAsia="Arial" w:hAnsi="Arial"/>
          <w:sz w:val="18"/>
          <w:szCs w:val="18"/>
          <w:color w:val="auto"/>
        </w:rPr>
        <w:t>our interests could diverge from our partners’ interests or we may not be able to agree with co-venturers on ongoing activities, or on the amount, timing or nature of further investments in the relationship</w:t>
      </w:r>
    </w:p>
    <w:p>
      <w:pPr>
        <w:spacing w:after="0" w:line="3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we may experience difficulties and delays in ramping production at, and transferring technology to, such ventures;</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our control over the operations of our ventures is limited;</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400"/>
        <w:spacing w:after="0" w:line="259" w:lineRule="auto"/>
        <w:rPr>
          <w:sz w:val="20"/>
          <w:szCs w:val="20"/>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3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right="460"/>
        <w:spacing w:after="0" w:line="259" w:lineRule="auto"/>
        <w:rPr>
          <w:sz w:val="20"/>
          <w:szCs w:val="20"/>
          <w:color w:val="auto"/>
        </w:rPr>
      </w:pPr>
      <w:r>
        <w:rPr>
          <w:rFonts w:ascii="Arial" w:cs="Arial" w:eastAsia="Arial" w:hAnsi="Arial"/>
          <w:sz w:val="18"/>
          <w:szCs w:val="18"/>
          <w:color w:val="auto"/>
        </w:rPr>
        <w:t>due to differing business models or long-term business goals, our partners may decide not to join us in funding capital investment by our ventures, which may result in higher levels of cash expenditures by us;</w:t>
      </w:r>
    </w:p>
    <w:p>
      <w:pPr>
        <w:spacing w:after="0" w:line="375" w:lineRule="exact"/>
        <w:rPr>
          <w:sz w:val="20"/>
          <w:szCs w:val="20"/>
          <w:color w:val="auto"/>
        </w:rPr>
      </w:pPr>
    </w:p>
    <w:p>
      <w:pPr>
        <w:ind w:left="1120" w:right="700" w:hanging="329"/>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our partner is acquired by another company, files for bankruptcy or experiences financial or other losses;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we may experience difficulties or delays in collecting amounts due to us from our co-venturers;</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the terms of our arrangements may turn out to be unfavorable;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ind w:left="1120"/>
        <w:spacing w:after="0"/>
        <w:rPr>
          <w:sz w:val="20"/>
          <w:szCs w:val="20"/>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adversely affected.</w:t>
      </w:r>
    </w:p>
    <w:p>
      <w:pPr>
        <w:spacing w:after="0" w:line="225"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19"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The nature of our industry and its reliance on intellectual property and other proprietary information subjects us and our suppliers and customers to the risk of significant litigation.</w:t>
      </w:r>
    </w:p>
    <w:p>
      <w:pPr>
        <w:spacing w:after="0" w:line="11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data storage industry has been characterized by significant litigation. This includes litigation relating to patent and other intellectual property rights, product liability claims and other types of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operating results. As disclosed in Part I, Item 1, Note 5 in the Notes to Condensed Consolidated Financial Statements included in this Quarterly Report on Form 10-Q, in relation to our litigation matter with Seagate, on October 8, 2014, the Minnesota Supreme Court affirmed the decision of the Minnesota Court of Appeals, and as a result on October 14, 2014, we paid Seagate $773.4 million to satisfy the full amount of the final arbitration award plus interest accrued through October 13, 2014.</w:t>
      </w:r>
    </w:p>
    <w:p>
      <w:pPr>
        <w:spacing w:after="0" w:line="11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and customers are subject to similar risks of litigation, and a material, adverse ruling against a supplier or customer could negatively impact our business.</w:t>
      </w:r>
    </w:p>
    <w:p>
      <w:pPr>
        <w:spacing w:after="0" w:line="113"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i w:val="1"/>
          <w:iCs w:val="1"/>
          <w:color w:val="auto"/>
        </w:rPr>
        <w:t>Our reliance on intellectual property and other proprietary information subjects us to the risk that these key ingredients of our business could be copied by competitors.</w:t>
      </w:r>
    </w:p>
    <w:p>
      <w:pPr>
        <w:spacing w:after="0" w:line="11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success depends, in significant part, on the proprietary nature of our technology, including non-patentable intellectual property such as our process technology. If a competitor is able to reproduce or otherwise capitalize on our technology despite the safeguards we have in place, it may be difficult, expensive or impossible for us to obtain necessary legal protection.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could harm our operating results.</w:t>
      </w:r>
    </w:p>
    <w:p>
      <w:pPr>
        <w:spacing w:after="0" w:line="110"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and coalition standards, such as those established by the Electronics Industry Citizenship Coalition, could cause an increase in our operating costs.</w:t>
      </w:r>
    </w:p>
    <w:p>
      <w:pPr>
        <w:spacing w:after="0" w:line="19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financial condition and operating results.</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or operating results to suffer.</w:t>
      </w:r>
    </w:p>
    <w:p>
      <w:pPr>
        <w:spacing w:after="0" w:line="139"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1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August 2012, the SEC adopted new rules establishing diligence and disclosure requirements regarding the use and source of gold, tantalum, tin and tungsten, commonly referred to as 3TG or conflict minerals, that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 first such report was due on June 2, 2014.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proposed conflict minerals legislation is adopted by the European Commission or Canada, these risks could increase.</w:t>
      </w:r>
    </w:p>
    <w:p>
      <w:pPr>
        <w:spacing w:after="0" w:line="126" w:lineRule="exact"/>
        <w:rPr>
          <w:sz w:val="20"/>
          <w:szCs w:val="20"/>
          <w:color w:val="auto"/>
        </w:rPr>
      </w:pPr>
    </w:p>
    <w:p>
      <w:pPr>
        <w:ind w:left="500" w:right="620"/>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or customers could harm our business.</w:t>
      </w:r>
    </w:p>
    <w:p>
      <w:pPr>
        <w:spacing w:after="0" w:line="11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our suppliers and customers to operate in compliance with applicable laws and regulations, including labor and environmental laws, and to otherwise meet our required standards of conduct. While our internal operating guidelines promote ethical business practices, we do not control our suppliers or customers or their labor or environmental practices. The violation of labor, environmental or other laws by any of our suppliers or customers, or divergence of a supplier’s or customer’s business practices from those generally accepted as ethical, could harm our business by:</w:t>
      </w:r>
    </w:p>
    <w:p>
      <w:pPr>
        <w:spacing w:after="0" w:line="144" w:lineRule="exact"/>
        <w:rPr>
          <w:sz w:val="20"/>
          <w:szCs w:val="20"/>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620" w:right="4600" w:hanging="4829"/>
        <w:spacing w:after="0" w:line="564" w:lineRule="auto"/>
        <w:tabs>
          <w:tab w:leader="none" w:pos="11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exposing us to potential liability for our suppliers’ or customers’ wrongdoings. 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740"/>
        <w:spacing w:after="0" w:line="277" w:lineRule="auto"/>
        <w:rPr>
          <w:sz w:val="20"/>
          <w:szCs w:val="20"/>
          <w:color w:val="auto"/>
        </w:rPr>
      </w:pPr>
      <w:r>
        <w:rPr>
          <w:rFonts w:ascii="Arial" w:cs="Arial" w:eastAsia="Arial" w:hAnsi="Arial"/>
          <w:sz w:val="18"/>
          <w:szCs w:val="18"/>
          <w:i w:val="1"/>
          <w:iCs w:val="1"/>
          <w:color w:val="auto"/>
        </w:rPr>
        <w:t>Any decisions to reduce or discontinue paying cash dividends to our shareholders or repurchase shares of our common stock pursuant to our previously announced stock repurchase program could cause the market price for our common stock to decline.</w:t>
      </w:r>
    </w:p>
    <w:p>
      <w:pPr>
        <w:spacing w:after="0" w:line="11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payment of quarterly cash dividends and repurchase shares of our common stock pursuant to our stock purchase program will be subject to, among other things, our financial position and results of operations, available cash and cash flow, capital requirements, and other factors. Any reduction or discontinuance by us of the payment of quarterly cash dividends or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result in a lower market valuation of our common stock.</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manufacture and sell our products abroad, our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If this occurs, it would have a negative impact on our operating results.</w:t>
      </w:r>
    </w:p>
    <w:p>
      <w:pPr>
        <w:spacing w:after="0" w:line="13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10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w:t>
      </w:r>
    </w:p>
    <w:p>
      <w:pPr>
        <w:spacing w:after="0" w:line="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Our acquisition of HGST has also resulted in an increase to our customer credit risk given that we service many of the same customers.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28"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198" w:lineRule="exact"/>
        <w:rPr>
          <w:sz w:val="20"/>
          <w:szCs w:val="20"/>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prices of our products;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customers of competing products in lieu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and other fluctuations in demand for systems that use storage devices often due to technological advances;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33"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214" w:lineRule="exact"/>
        <w:rPr>
          <w:sz w:val="20"/>
          <w:szCs w:val="20"/>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329"/>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97" w:lineRule="exact"/>
        <w:rPr>
          <w:sz w:val="20"/>
          <w:szCs w:val="20"/>
          <w:color w:val="auto"/>
        </w:rPr>
      </w:pPr>
    </w:p>
    <w:p>
      <w:pPr>
        <w:ind w:left="1120" w:hanging="32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540" w:hanging="329"/>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79" w:lineRule="exact"/>
        <w:rPr>
          <w:rFonts w:ascii="Arial" w:cs="Arial" w:eastAsia="Arial" w:hAnsi="Arial"/>
          <w:sz w:val="18"/>
          <w:szCs w:val="18"/>
          <w:color w:val="auto"/>
        </w:rPr>
      </w:pPr>
    </w:p>
    <w:p>
      <w:pPr>
        <w:ind w:left="1120" w:hanging="32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ectPr>
          <w:pgSz w:w="11900" w:h="16838" w:orient="portrait"/>
          <w:cols w:equalWidth="0" w:num="1">
            <w:col w:w="11360"/>
          </w:cols>
          <w:pgMar w:left="240" w:top="125" w:right="299" w:bottom="42"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60"/>
          </w:cols>
          <w:pgMar w:left="240" w:top="125" w:right="299" w:bottom="42"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20" w:hanging="329"/>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periods of severe pricing pressures due to oversupply or price erosion resulting from competitive pressures or industry consolidation;</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120" w:hanging="32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340" w:hanging="329"/>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359" w:lineRule="exact"/>
        <w:rPr>
          <w:rFonts w:ascii="Arial" w:cs="Arial" w:eastAsia="Arial" w:hAnsi="Arial"/>
          <w:sz w:val="18"/>
          <w:szCs w:val="18"/>
          <w:color w:val="auto"/>
        </w:rPr>
      </w:pPr>
    </w:p>
    <w:p>
      <w:pPr>
        <w:ind w:left="1120" w:hanging="329"/>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conditions and trends in the hard drive, solid state storage, computer, data and content management, storage and communication industries;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120" w:hanging="32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1240" w:hanging="329"/>
        <w:spacing w:after="0" w:line="308"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meet analysts’ revenue or earnings estimates or changes in financial estimates or publication of research reports and recommendations by financial analysts relating specifically to us or the storage industry in general; and</w:t>
      </w:r>
    </w:p>
    <w:p>
      <w:pPr>
        <w:spacing w:after="0" w:line="335" w:lineRule="exact"/>
        <w:rPr>
          <w:rFonts w:ascii="Arial" w:cs="Arial" w:eastAsia="Arial" w:hAnsi="Arial"/>
          <w:sz w:val="17"/>
          <w:szCs w:val="17"/>
          <w:color w:val="auto"/>
        </w:rPr>
      </w:pPr>
    </w:p>
    <w:p>
      <w:pPr>
        <w:ind w:left="1120" w:hanging="329"/>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1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13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27"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Ltd. ("Hitachi") in connection with our acquisition of HGST could adversely affect the market price of our common stock.</w:t>
      </w:r>
    </w:p>
    <w:p>
      <w:pPr>
        <w:spacing w:after="0" w:line="11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most recent evaluation resulted in our conclusion that as of April 3, 2015,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which may adversely affect our stock price.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Restrictive covenants in our credit agreement could restrict current and future operations or limit our flexibility to take certain actions.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credit agreement includes covenants relating to our financial performance and financial position. In addition, our credit agreement restricts our ability to take other actions with respect to our current and future operations, including our ability to incur certain additional indebtedness or consolidate, merge or sell assets. Our ability to meet these restrictive covenants may be affected by events that could be beyond our control, and a breach of these restrictive covenants could result in an event of default under the credit agreement, which, if not cured or waived, could result in the indebtedness becoming immediately due and payable and could result in material adverse consequences that negatively impact our business.</w:t>
      </w:r>
    </w:p>
    <w:p>
      <w:pPr>
        <w:spacing w:after="0" w:line="119"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audits or similar proceedings, and as a result we may incur additional costs and expenses or owe additional taxes, interest and penalties that may negatively impact our operating results.</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Revenue Agent Reports seeking certain adjustments to income as disclosed in Part I, Item 1, Note 6 in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23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Portions of our operations are subject to a reduced tax rate or are free of tax under various tax holidays that expire in whole or in part from time to time. Many of these holidays may be extended when certain conditions are met, or terminated if certain conditions are not met.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repurchases by us of shares of our common stock during the quarter ended April 3,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7"/>
              </w:rPr>
              <w:t>Total Number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34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Program(1)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 3, 2015—Jan. 30, 2015</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109.87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Jan. 31, 2015—Feb. 27, 2015</w:t>
            </w:r>
          </w:p>
        </w:tc>
        <w:tc>
          <w:tcPr>
            <w:tcW w:w="13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 28, 2015—Apr. 3, 2015</w:t>
            </w:r>
          </w:p>
        </w:tc>
        <w:tc>
          <w:tcPr>
            <w:tcW w:w="1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2.2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30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Board of Directors previously authorized $3.0 billion for the repurchase of the Company's common stock. On February 3, 2015, the Company's Board of Directors authorized an additional $2.0 billion for the repurchase of its common stock and approved the extension of its stock repurchase program to February 3, 2020. Repurchases under our stock repurchase program may be made in the open market or in privately negotiated transactions and may be made under a Rule 10b5-1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List that we have filed or incorporated by reference may contain representations and warranties by us or our subsidiaries.</w:t>
      </w:r>
    </w:p>
    <w:p>
      <w:pPr>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6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1"/>
                <w:szCs w:val="21"/>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Stock Purchase Agreement, dated March 7, 2011, among Western Digital Corporation, Western Digital Ireland, Ltd., Hitachi, Ltd., and Viviti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Technologies Ltd. (Filed as Exhibit 2.1 to Company’s Quarterly Report on Form 10-Q (File No. 1-08703) with the Securities and Exchange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Commission on May 2, 2011) ±</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First Amendment to Stock Purchase Agreement, dated May 27, 2011,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Hitachi, Ltd., and Viviti Technologies Ltd. (Filed as Exhibit 2.2 to the Company’s Annual Report on Form 10-K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August 12,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Second Amendment to Stock Purchase Agreement, dated November 23, 2011, among Western Digital Corporation, Western Digital Ireland,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Ltd., Hitachi, Ltd., and Viviti Technologies Ltd. (Filed as Exhibit 2.3 to the Company’s Quarterly Report on Form 10-Q (File No. 1-08703)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January 27,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Third Amendment to Stock Purchase Agreement, dated January 30, 2012,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Hitachi, Ltd., and Viviti Technologies Ltd. (Filed as Exhibit 2.4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Fourth Amendment to Stock Purchase Agreement, dated February 15, 2012, among Western Digital Corporation, Western Digital Ireland,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Ltd., Hitachi, Ltd., and Viviti Technologies Ltd. (Filed as Exhibit 2.5 to the Company’s Quarterly Report on Form 10-Q (File No. 1-08703)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Fifth Amendment to Stock Purchase Agreement, dated March 6, 2012,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Hitachi, Ltd., and Viviti Technologies Ltd. (Filed as Exhibit 2.6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Sixth Amendment to Stock Purchase Agreement, dated March 6, 2012, among Western Digital Corporation, Western Digital Ireland,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Hitachi, Ltd., and Viviti Technologies Ltd. (Filed as Exhibit 2.7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May 9,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Amendment to Stock Purchase Agreement, dated July 9, 2012, among Western Digital Corporation, Western Digital Ireland, Ltd., Hitachi,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Ltd., and Viviti Technologies Ltd. (Filed as Exhibit 2.8 to the Company’s Annual Report on Form 10-K (File No. 1-08703) with the Securities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and Exchange Commission on August 19, 2013)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Amendment to Stock Purchase Agreement, dated July 27, 2012, among Western Digital Corporation, Western Digital Ireland, Ltd., Hitachi,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8"/>
              </w:rPr>
              <w:t>Ltd., and Viviti Technologies Ltd. (Filed as Exhibit 2.8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November 2,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2.10</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Amendment to Stock Purchase Agreement, dated August 29, 2012, among Western Digital Corporation, Western Digital Ireland, Ltd., Hitachi,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8"/>
              </w:rPr>
              <w:t>Ltd., and Viviti Technologies Ltd. (Filed as Exhibit 2.9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November 2, 2012)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0"/>
              </w:rPr>
              <w:t>Amended and Restated Certificate of Incorporation of Western Digital Corporation, as amended to date (Filed as Exhibit 3.1 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Amended and Restated Bylaws of Western Digital Corporation, as amended effective as of November 14, 2013 (Filed as Exhibit 3.1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8"/>
              </w:rPr>
              <w:t>Company’s Current Report on Form 8-K (File No. 1-08703) with the Securities and Exchange Commission on November 14, 2013)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10.1</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First Amendment to Credit Agreement, dated as of February 25, 2015, to the Credit Agreement dated as of January 9, 2014, among Western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5"/>
              </w:rPr>
              <w:t>Digital Technologies, Inc. and Western Digital Ireland, Ltd., as borrowers, Western Digital Corporation, JPMorgan Chase Bank, N.A.,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administrative agent, and the other lenders party thereto from time to time†</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3"/>
                <w:szCs w:val="23"/>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31.2</w:t>
            </w:r>
          </w:p>
        </w:tc>
        <w:tc>
          <w:tcPr>
            <w:tcW w:w="360" w:type="dxa"/>
            <w:vAlign w:val="bottom"/>
          </w:tcPr>
          <w:p>
            <w:pPr>
              <w:spacing w:after="0"/>
              <w:rPr>
                <w:sz w:val="23"/>
                <w:szCs w:val="23"/>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32.1</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32.2</w:t>
            </w:r>
          </w:p>
        </w:tc>
        <w:tc>
          <w:tcPr>
            <w:tcW w:w="360" w:type="dxa"/>
            <w:vAlign w:val="bottom"/>
          </w:tcPr>
          <w:p>
            <w:pPr>
              <w:spacing w:after="0"/>
              <w:rPr>
                <w:sz w:val="22"/>
                <w:szCs w:val="22"/>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Furnished with this report.</w:t>
      </w:r>
    </w:p>
    <w:p>
      <w:pPr>
        <w:sectPr>
          <w:pgSz w:w="11900" w:h="16838" w:orient="portrait"/>
          <w:cols w:equalWidth="0" w:num="1">
            <w:col w:w="11360"/>
          </w:cols>
          <w:pgMar w:left="240" w:top="125" w:right="299" w:bottom="1440"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60"/>
          </w:cols>
          <w:pgMar w:left="240" w:top="125" w:right="2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hanging="398"/>
        <w:spacing w:after="0" w:line="277" w:lineRule="auto"/>
        <w:tabs>
          <w:tab w:leader="none" w:pos="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62" w:lineRule="exact"/>
        <w:rPr>
          <w:rFonts w:ascii="Arial" w:cs="Arial" w:eastAsia="Arial" w:hAnsi="Arial"/>
          <w:sz w:val="18"/>
          <w:szCs w:val="18"/>
          <w:color w:val="auto"/>
        </w:rPr>
      </w:pPr>
    </w:p>
    <w:p>
      <w:pPr>
        <w:ind w:left="340" w:right="320" w:hanging="332"/>
        <w:spacing w:after="0" w:line="277" w:lineRule="auto"/>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WESTERN DIGITAL CORPORATION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76" w:lineRule="exact"/>
        <w:rPr>
          <w:sz w:val="20"/>
          <w:szCs w:val="20"/>
          <w:color w:val="auto"/>
        </w:rPr>
      </w:pPr>
    </w:p>
    <w:p>
      <w:pPr>
        <w:ind w:left="9200"/>
        <w:spacing w:after="0"/>
        <w:rPr>
          <w:sz w:val="20"/>
          <w:szCs w:val="20"/>
          <w:color w:val="auto"/>
        </w:rPr>
      </w:pPr>
      <w:r>
        <w:rPr>
          <w:rFonts w:ascii="Arial" w:cs="Arial" w:eastAsia="Arial" w:hAnsi="Arial"/>
          <w:sz w:val="19"/>
          <w:szCs w:val="19"/>
          <w:color w:val="auto"/>
        </w:rPr>
        <w:t>EXECUTION VERSION</w:t>
      </w:r>
    </w:p>
    <w:p>
      <w:pPr>
        <w:spacing w:after="0" w:line="28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FIRST AMENDMENT dated as of February 25, 2015 (this “</w:t>
      </w:r>
      <w:r>
        <w:rPr>
          <w:rFonts w:ascii="Arial" w:cs="Arial" w:eastAsia="Arial" w:hAnsi="Arial"/>
          <w:sz w:val="21"/>
          <w:szCs w:val="21"/>
          <w:u w:val="single" w:color="auto"/>
          <w:color w:val="auto"/>
        </w:rPr>
        <w:t>Amendment</w:t>
      </w:r>
      <w:r>
        <w:rPr>
          <w:rFonts w:ascii="Arial" w:cs="Arial" w:eastAsia="Arial" w:hAnsi="Arial"/>
          <w:sz w:val="21"/>
          <w:szCs w:val="21"/>
          <w:color w:val="auto"/>
        </w:rPr>
        <w:t>”) to the Credit Agreement dated as of January 9, 2014 (as amended,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WESTERN DIGITAL TECHNOLOGIES, INC. (the “</w:t>
      </w:r>
      <w:r>
        <w:rPr>
          <w:rFonts w:ascii="Arial" w:cs="Arial" w:eastAsia="Arial" w:hAnsi="Arial"/>
          <w:sz w:val="21"/>
          <w:szCs w:val="21"/>
          <w:u w:val="single" w:color="auto"/>
          <w:color w:val="auto"/>
        </w:rPr>
        <w:t>US Borrower</w:t>
      </w:r>
      <w:r>
        <w:rPr>
          <w:rFonts w:ascii="Arial" w:cs="Arial" w:eastAsia="Arial" w:hAnsi="Arial"/>
          <w:sz w:val="21"/>
          <w:szCs w:val="21"/>
          <w:color w:val="auto"/>
        </w:rPr>
        <w:t>”), WESTERN DIGITAL IRELAND, LTD. (the “</w:t>
      </w:r>
      <w:r>
        <w:rPr>
          <w:rFonts w:ascii="Arial" w:cs="Arial" w:eastAsia="Arial" w:hAnsi="Arial"/>
          <w:sz w:val="21"/>
          <w:szCs w:val="21"/>
          <w:u w:val="single" w:color="auto"/>
          <w:color w:val="auto"/>
        </w:rPr>
        <w:t>Cayman</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Subsidiary Borrower</w:t>
      </w:r>
      <w:r>
        <w:rPr>
          <w:rFonts w:ascii="Arial" w:cs="Arial" w:eastAsia="Arial" w:hAnsi="Arial"/>
          <w:sz w:val="21"/>
          <w:szCs w:val="21"/>
          <w:color w:val="auto"/>
        </w:rPr>
        <w:t>”), WESTERN DIGITAL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76" w:lineRule="exact"/>
        <w:rPr>
          <w:sz w:val="20"/>
          <w:szCs w:val="20"/>
          <w:color w:val="auto"/>
        </w:rPr>
      </w:pPr>
    </w:p>
    <w:p>
      <w:pPr>
        <w:ind w:right="140" w:firstLine="1297"/>
        <w:spacing w:after="0" w:line="250" w:lineRule="auto"/>
        <w:rPr>
          <w:sz w:val="20"/>
          <w:szCs w:val="20"/>
          <w:color w:val="auto"/>
        </w:rPr>
      </w:pPr>
      <w:r>
        <w:rPr>
          <w:rFonts w:ascii="Arial" w:cs="Arial" w:eastAsia="Arial" w:hAnsi="Arial"/>
          <w:sz w:val="22"/>
          <w:szCs w:val="22"/>
          <w:color w:val="auto"/>
        </w:rPr>
        <w:t>Holdings, the US Borrower, the Cayman Subsidiary Borrower and Western Digital International, Ltd., an exempted company incorporated under the laws of the Cayman Islands (the “</w:t>
      </w:r>
      <w:r>
        <w:rPr>
          <w:rFonts w:ascii="Arial" w:cs="Arial" w:eastAsia="Arial" w:hAnsi="Arial"/>
          <w:sz w:val="22"/>
          <w:szCs w:val="22"/>
          <w:u w:val="single" w:color="auto"/>
          <w:color w:val="auto"/>
        </w:rPr>
        <w:t>Cayman Parent Borrower</w:t>
      </w:r>
      <w:r>
        <w:rPr>
          <w:rFonts w:ascii="Arial" w:cs="Arial" w:eastAsia="Arial" w:hAnsi="Arial"/>
          <w:sz w:val="22"/>
          <w:szCs w:val="22"/>
          <w:color w:val="auto"/>
        </w:rPr>
        <w:t>”), have requested that the Credit Agreement be amended to add the Cayman Parent Borrower as an additional Borrower thereunder and to effect certain other changes, in each case as set forth herein;</w:t>
      </w:r>
    </w:p>
    <w:p>
      <w:pPr>
        <w:spacing w:after="0" w:line="188"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auto"/>
        </w:rPr>
        <w:t>The Lenders party hereto and the Administrative Agent are willing so to amend the Credit Agreement on the terms and subject to the conditions set forth herein;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parties hereto agree as follows:</w:t>
      </w:r>
    </w:p>
    <w:p>
      <w:pPr>
        <w:spacing w:after="0" w:line="220" w:lineRule="exact"/>
        <w:rPr>
          <w:sz w:val="20"/>
          <w:szCs w:val="20"/>
          <w:color w:val="auto"/>
        </w:rPr>
      </w:pPr>
    </w:p>
    <w:p>
      <w:pPr>
        <w:ind w:right="260" w:firstLine="1297"/>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Capitalized terms used but not otherwise defined herein (including in the recitals hereto) have the meanings assigned to them in the Credit Agreement, as amended hereby.</w:t>
      </w:r>
    </w:p>
    <w:p>
      <w:pPr>
        <w:spacing w:after="0" w:line="175" w:lineRule="exact"/>
        <w:rPr>
          <w:sz w:val="20"/>
          <w:szCs w:val="20"/>
          <w:color w:val="auto"/>
        </w:rPr>
      </w:pPr>
    </w:p>
    <w:p>
      <w:pPr>
        <w:ind w:right="460" w:firstLine="1297"/>
        <w:spacing w:after="0" w:line="27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 of the Credit Agreement.</w:t>
      </w:r>
      <w:r>
        <w:rPr>
          <w:rFonts w:ascii="Arial" w:cs="Arial" w:eastAsia="Arial" w:hAnsi="Arial"/>
          <w:sz w:val="22"/>
          <w:szCs w:val="22"/>
          <w:color w:val="auto"/>
        </w:rPr>
        <w:t xml:space="preserve"> Effective as of the Amendment Effective Date (as defined below), the Credit Agreement is hereby amended as follows:</w:t>
      </w:r>
    </w:p>
    <w:p>
      <w:pPr>
        <w:spacing w:after="0" w:line="161" w:lineRule="exact"/>
        <w:rPr>
          <w:sz w:val="20"/>
          <w:szCs w:val="20"/>
          <w:color w:val="auto"/>
        </w:rPr>
      </w:pPr>
    </w:p>
    <w:p>
      <w:pPr>
        <w:ind w:left="1800"/>
        <w:spacing w:after="0"/>
        <w:tabs>
          <w:tab w:leader="none" w:pos="22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introductory paragraph is deleted in its entirety and replaced with the following:</w:t>
      </w:r>
    </w:p>
    <w:p>
      <w:pPr>
        <w:spacing w:after="0" w:line="233" w:lineRule="exact"/>
        <w:rPr>
          <w:sz w:val="20"/>
          <w:szCs w:val="20"/>
          <w:color w:val="auto"/>
        </w:rPr>
      </w:pPr>
    </w:p>
    <w:p>
      <w:pPr>
        <w:ind w:left="1800" w:right="360"/>
        <w:spacing w:after="0" w:line="289" w:lineRule="auto"/>
        <w:rPr>
          <w:sz w:val="20"/>
          <w:szCs w:val="20"/>
          <w:color w:val="auto"/>
        </w:rPr>
      </w:pPr>
      <w:r>
        <w:rPr>
          <w:rFonts w:ascii="Arial" w:cs="Arial" w:eastAsia="Arial" w:hAnsi="Arial"/>
          <w:sz w:val="19"/>
          <w:szCs w:val="19"/>
          <w:color w:val="auto"/>
        </w:rPr>
        <w:t>CREDIT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January 9, 2014, among WESTERN DIGITAL TECHNOLOGIES, INC.,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WESTERN DIGITAL INTERNATIONAL, LTD., an exempted company incorporated under the laws of the Cayman Islands (the “</w:t>
      </w:r>
      <w:r>
        <w:rPr>
          <w:rFonts w:ascii="Arial" w:cs="Arial" w:eastAsia="Arial" w:hAnsi="Arial"/>
          <w:sz w:val="19"/>
          <w:szCs w:val="19"/>
          <w:u w:val="single" w:color="auto"/>
          <w:color w:val="auto"/>
        </w:rPr>
        <w:t>Cayman Parent Borrower</w:t>
      </w:r>
      <w:r>
        <w:rPr>
          <w:rFonts w:ascii="Arial" w:cs="Arial" w:eastAsia="Arial" w:hAnsi="Arial"/>
          <w:sz w:val="19"/>
          <w:szCs w:val="19"/>
          <w:color w:val="auto"/>
        </w:rPr>
        <w:t>”), WESTERN DIGITAL IRELAND, LTD., an exempted company incorporated under the laws of the Cayman Islands (the “</w:t>
      </w:r>
      <w:r>
        <w:rPr>
          <w:rFonts w:ascii="Arial" w:cs="Arial" w:eastAsia="Arial" w:hAnsi="Arial"/>
          <w:sz w:val="19"/>
          <w:szCs w:val="19"/>
          <w:u w:val="single" w:color="auto"/>
          <w:color w:val="auto"/>
        </w:rPr>
        <w:t>Cayman Subsidiary Borrower</w:t>
      </w:r>
      <w:r>
        <w:rPr>
          <w:rFonts w:ascii="Arial" w:cs="Arial" w:eastAsia="Arial" w:hAnsi="Arial"/>
          <w:sz w:val="19"/>
          <w:szCs w:val="19"/>
          <w:color w:val="auto"/>
        </w:rPr>
        <w:t>” and together with the Cayman Parent Borrower, the “</w:t>
      </w:r>
      <w:r>
        <w:rPr>
          <w:rFonts w:ascii="Arial" w:cs="Arial" w:eastAsia="Arial" w:hAnsi="Arial"/>
          <w:sz w:val="19"/>
          <w:szCs w:val="19"/>
          <w:u w:val="single" w:color="auto"/>
          <w:color w:val="auto"/>
        </w:rPr>
        <w:t>Cayman Borrowers</w:t>
      </w:r>
      <w:r>
        <w:rPr>
          <w:rFonts w:ascii="Arial" w:cs="Arial" w:eastAsia="Arial" w:hAnsi="Arial"/>
          <w:sz w:val="19"/>
          <w:szCs w:val="19"/>
          <w:color w:val="auto"/>
        </w:rPr>
        <w:t>” and the Cayman Borrowers together with the US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each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 JPMORGAN CHASE BANK, N.A., as Administrative Agent.</w:t>
      </w:r>
    </w:p>
    <w:p>
      <w:pPr>
        <w:spacing w:after="0" w:line="158" w:lineRule="exact"/>
        <w:rPr>
          <w:sz w:val="20"/>
          <w:szCs w:val="20"/>
          <w:color w:val="auto"/>
        </w:rPr>
      </w:pPr>
    </w:p>
    <w:p>
      <w:pPr>
        <w:ind w:left="500" w:right="240" w:firstLine="1291"/>
        <w:spacing w:after="0" w:line="276" w:lineRule="auto"/>
        <w:tabs>
          <w:tab w:leader="none" w:pos="2228"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first recital is amended by adding a second sentence thereto reading as follows: “Pursuant to a First Amendment dated as of February 25,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to this Agreement, the Cayman Parent Borrower became an additional Borrower hereunder.”</w:t>
      </w:r>
    </w:p>
    <w:p>
      <w:pPr>
        <w:spacing w:after="0" w:line="22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following definitions are added in the appropriate alphabetical order to Section 1.01 of the Credit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Cayman Borrowers</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Cayman Parent Borrower</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Cayman Subsidiary Borrower</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right="640" w:firstLine="1291"/>
        <w:spacing w:after="0" w:line="276" w:lineRule="auto"/>
        <w:tabs>
          <w:tab w:leader="none" w:pos="17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definition of the term “Cayman Borrower” set forth in Section 1.01 of the Credit Agreement is deleted in its entirety.</w:t>
      </w:r>
    </w:p>
    <w:p>
      <w:pPr>
        <w:spacing w:after="0" w:line="160" w:lineRule="exact"/>
        <w:rPr>
          <w:rFonts w:ascii="Arial" w:cs="Arial" w:eastAsia="Arial" w:hAnsi="Arial"/>
          <w:sz w:val="22"/>
          <w:szCs w:val="22"/>
          <w:color w:val="auto"/>
        </w:rPr>
      </w:pPr>
    </w:p>
    <w:p>
      <w:pPr>
        <w:ind w:right="440" w:firstLine="1291"/>
        <w:spacing w:after="0" w:line="260" w:lineRule="auto"/>
        <w:tabs>
          <w:tab w:leader="none" w:pos="171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definitions of the terms “Defaulting Lender”, “Environmental Liability” and “Loan Document Obligations” set forth in Section 1.01 of the Credit Agreement are amended by replacing each reference therein to “either Borrower” with a reference to “any Borrower”.</w:t>
      </w:r>
    </w:p>
    <w:p>
      <w:pPr>
        <w:spacing w:after="0" w:line="177" w:lineRule="exact"/>
        <w:rPr>
          <w:rFonts w:ascii="Arial" w:cs="Arial" w:eastAsia="Arial" w:hAnsi="Arial"/>
          <w:sz w:val="22"/>
          <w:szCs w:val="22"/>
          <w:color w:val="auto"/>
        </w:rPr>
      </w:pPr>
    </w:p>
    <w:p>
      <w:pPr>
        <w:ind w:right="200" w:firstLine="1291"/>
        <w:spacing w:after="0" w:line="358" w:lineRule="auto"/>
        <w:tabs>
          <w:tab w:leader="none" w:pos="1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definition of the term “Guarantors” set forth in Section 1.01 of the Credit Agreement is amended by replacing the reference therein to “the Cayman Borrower” with a reference to “the Cayman Borrowers”.</w:t>
      </w:r>
    </w:p>
    <w:p>
      <w:pPr>
        <w:spacing w:after="0" w:line="90" w:lineRule="exact"/>
        <w:rPr>
          <w:rFonts w:ascii="Arial" w:cs="Arial" w:eastAsia="Arial" w:hAnsi="Arial"/>
          <w:sz w:val="19"/>
          <w:szCs w:val="19"/>
          <w:color w:val="auto"/>
        </w:rPr>
      </w:pPr>
    </w:p>
    <w:p>
      <w:pPr>
        <w:ind w:right="20" w:firstLine="1291"/>
        <w:spacing w:after="0" w:line="260" w:lineRule="auto"/>
        <w:tabs>
          <w:tab w:leader="none" w:pos="17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definition of the terms “Term A-1 Commitment” and “Term A-1 Note” set forth in Section 1.01 of the Credit Agreement are amended by replacing the reference to “Cayman Borrower” with a reference to “Cayman Subsidiary Borrower”.</w:t>
      </w:r>
    </w:p>
    <w:p>
      <w:pPr>
        <w:spacing w:after="0" w:line="177" w:lineRule="exact"/>
        <w:rPr>
          <w:rFonts w:ascii="Arial" w:cs="Arial" w:eastAsia="Arial" w:hAnsi="Arial"/>
          <w:sz w:val="22"/>
          <w:szCs w:val="22"/>
          <w:color w:val="auto"/>
        </w:rPr>
      </w:pPr>
    </w:p>
    <w:p>
      <w:pPr>
        <w:ind w:right="20" w:firstLine="1291"/>
        <w:spacing w:after="0" w:line="276" w:lineRule="auto"/>
        <w:tabs>
          <w:tab w:leader="none" w:pos="17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Sections 2.01(a), 2.07(c) and 4.01(a)(v) of the Credit Agreement are amended by replacing each reference to “Cayman Borrower” with a reference to “Cayman Subsidiary Borrower”.</w:t>
      </w:r>
    </w:p>
    <w:p>
      <w:pPr>
        <w:spacing w:after="0" w:line="160" w:lineRule="exact"/>
        <w:rPr>
          <w:rFonts w:ascii="Arial" w:cs="Arial" w:eastAsia="Arial" w:hAnsi="Arial"/>
          <w:sz w:val="22"/>
          <w:szCs w:val="22"/>
          <w:color w:val="auto"/>
        </w:rPr>
      </w:pPr>
    </w:p>
    <w:p>
      <w:pPr>
        <w:ind w:right="80" w:firstLine="1291"/>
        <w:spacing w:after="0" w:line="276" w:lineRule="auto"/>
        <w:tabs>
          <w:tab w:leader="none" w:pos="16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Sections 2.01(b), 2.01(e) and 2.02(b) of the Credit Agreement are amended by replacing each reference to “Cayman Borrower” with a reference to “Cayman Borrowers”.</w:t>
      </w:r>
    </w:p>
    <w:p>
      <w:pPr>
        <w:spacing w:after="0" w:line="160" w:lineRule="exact"/>
        <w:rPr>
          <w:rFonts w:ascii="Arial" w:cs="Arial" w:eastAsia="Arial" w:hAnsi="Arial"/>
          <w:sz w:val="22"/>
          <w:szCs w:val="22"/>
          <w:color w:val="auto"/>
        </w:rPr>
      </w:pPr>
    </w:p>
    <w:p>
      <w:pPr>
        <w:ind w:left="1680" w:hanging="389"/>
        <w:spacing w:after="0"/>
        <w:tabs>
          <w:tab w:leader="none" w:pos="16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Section 2.03(a)(i) of the Credit Agreement is amended by revising the final two sentences thereof to read</w:t>
      </w:r>
    </w:p>
    <w:p>
      <w:pPr>
        <w:spacing w:after="0" w:line="56" w:lineRule="exact"/>
        <w:rPr>
          <w:rFonts w:ascii="Arial" w:cs="Arial" w:eastAsia="Arial" w:hAnsi="Arial"/>
          <w:sz w:val="19"/>
          <w:szCs w:val="19"/>
          <w:color w:val="auto"/>
        </w:rPr>
      </w:pPr>
    </w:p>
    <w:p>
      <w:pPr>
        <w:spacing w:after="0" w:line="300" w:lineRule="auto"/>
        <w:rPr>
          <w:rFonts w:ascii="Arial" w:cs="Arial" w:eastAsia="Arial" w:hAnsi="Arial"/>
          <w:sz w:val="19"/>
          <w:szCs w:val="19"/>
          <w:color w:val="auto"/>
        </w:rPr>
      </w:pPr>
      <w:r>
        <w:rPr>
          <w:rFonts w:ascii="Arial" w:cs="Arial" w:eastAsia="Arial" w:hAnsi="Arial"/>
          <w:sz w:val="19"/>
          <w:szCs w:val="19"/>
          <w:color w:val="auto"/>
        </w:rPr>
        <w:t>as follows: “In no event shall the US Borrower be obligated or otherwise liable for any Letter of Credit issued for the account of any Cayman Borrower or any of such Cayman Borrower’s Subsidiaries except in its capacity as a Guarantor. In no event will any Cayman Borrower be obligated or otherwise liable for any Letter of Credit issued for the account of the US Borrower or any of the US Borrower’s Subsidiaries (other than such Cayman Borrower or any of such Cayman</w:t>
      </w:r>
    </w:p>
    <w:p>
      <w:pPr>
        <w:spacing w:after="0" w:line="38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20"/>
          </w:cols>
          <w:pgMar w:left="740" w:top="591" w:right="239" w:bottom="1440" w:gutter="0" w:footer="0" w:header="0"/>
        </w:sectPr>
      </w:pPr>
    </w:p>
    <w:bookmarkStart w:id="54" w:name="page55"/>
    <w:bookmarkEnd w:id="54"/>
    <w:p>
      <w:pPr>
        <w:ind w:left="500"/>
        <w:spacing w:after="0"/>
        <w:rPr>
          <w:sz w:val="20"/>
          <w:szCs w:val="20"/>
          <w:color w:val="auto"/>
        </w:rPr>
      </w:pPr>
      <w:r>
        <w:rPr>
          <w:rFonts w:ascii="Arial" w:cs="Arial" w:eastAsia="Arial" w:hAnsi="Arial"/>
          <w:sz w:val="22"/>
          <w:szCs w:val="22"/>
          <w:color w:val="auto"/>
        </w:rPr>
        <w:t>Borrower’s Subsidiaries for which such Cayman Borrower is a joint and several co-applicant).”</w:t>
      </w:r>
    </w:p>
    <w:p>
      <w:pPr>
        <w:spacing w:after="0" w:line="220" w:lineRule="exact"/>
        <w:rPr>
          <w:sz w:val="20"/>
          <w:szCs w:val="20"/>
          <w:color w:val="auto"/>
        </w:rPr>
      </w:pPr>
    </w:p>
    <w:p>
      <w:pPr>
        <w:ind w:left="500" w:right="120" w:firstLine="1291"/>
        <w:spacing w:after="0" w:line="276" w:lineRule="auto"/>
        <w:tabs>
          <w:tab w:leader="none" w:pos="22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2.03(e)(vi), 5.10(b), 6.04, 8.01(g)(iii), 8.01(i)(iii) and 9.01 of the Credit Agreement are amended by replacing each reference to “either Borrower” with a reference to “any Borrower”.</w:t>
      </w:r>
    </w:p>
    <w:p>
      <w:pPr>
        <w:spacing w:after="0" w:line="160" w:lineRule="exact"/>
        <w:rPr>
          <w:rFonts w:ascii="Arial" w:cs="Arial" w:eastAsia="Arial" w:hAnsi="Arial"/>
          <w:sz w:val="22"/>
          <w:szCs w:val="22"/>
          <w:color w:val="auto"/>
        </w:rPr>
      </w:pPr>
    </w:p>
    <w:p>
      <w:pPr>
        <w:ind w:left="500" w:firstLine="1291"/>
        <w:spacing w:after="0" w:line="254" w:lineRule="auto"/>
        <w:tabs>
          <w:tab w:leader="none" w:pos="21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2.04(a) is amended by revising the final two sentences to read as follows: “In no event will the US Borrower be obligated or otherwise liable for any Swing Line Loan of a Cayman Borrower except in its capacity as a Guarantor. In no event will any Cayman Borrower be obligated or otherwise liable for any Swing Line Loans of the US Borrower.”</w:t>
      </w:r>
    </w:p>
    <w:p>
      <w:pPr>
        <w:spacing w:after="0" w:line="185" w:lineRule="exact"/>
        <w:rPr>
          <w:rFonts w:ascii="Arial" w:cs="Arial" w:eastAsia="Arial" w:hAnsi="Arial"/>
          <w:sz w:val="22"/>
          <w:szCs w:val="22"/>
          <w:color w:val="auto"/>
        </w:rPr>
      </w:pPr>
    </w:p>
    <w:p>
      <w:pPr>
        <w:ind w:left="500" w:right="140" w:firstLine="1291"/>
        <w:spacing w:after="0" w:line="276" w:lineRule="auto"/>
        <w:tabs>
          <w:tab w:leader="none" w:pos="2288"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first sentence of Section 2.14(a) of the Credit Agreement is amended by replacing “Each or both of the Borrowers” with “Any one or more Borrowers”.</w:t>
      </w:r>
    </w:p>
    <w:p>
      <w:pPr>
        <w:spacing w:after="0" w:line="160" w:lineRule="exact"/>
        <w:rPr>
          <w:rFonts w:ascii="Arial" w:cs="Arial" w:eastAsia="Arial" w:hAnsi="Arial"/>
          <w:sz w:val="22"/>
          <w:szCs w:val="22"/>
          <w:color w:val="auto"/>
        </w:rPr>
      </w:pPr>
    </w:p>
    <w:p>
      <w:pPr>
        <w:ind w:left="500" w:right="100" w:firstLine="1291"/>
        <w:spacing w:after="0" w:line="307" w:lineRule="auto"/>
        <w:tabs>
          <w:tab w:leader="none" w:pos="2228"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second sentence of Section 2.14(b) of the Credit Agreement is amended by replacing the phrase “identical to those of the Term A-1 Commitments and the Term A-1 Loans if made to the Cayman Borrower” with “identical to those of the Term A-1 Commitments and the Term A-1 Loans if made to a Cayman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either the Cayman Parent Borrower or the Cayman Subsidiary Borrower may be the borrower thereunder)”.</w:t>
      </w:r>
    </w:p>
    <w:p>
      <w:pPr>
        <w:spacing w:after="0" w:line="138" w:lineRule="exact"/>
        <w:rPr>
          <w:rFonts w:ascii="Arial" w:cs="Arial" w:eastAsia="Arial" w:hAnsi="Arial"/>
          <w:sz w:val="19"/>
          <w:szCs w:val="19"/>
          <w:color w:val="auto"/>
        </w:rPr>
      </w:pPr>
    </w:p>
    <w:p>
      <w:pPr>
        <w:ind w:left="500" w:right="380" w:firstLine="1291"/>
        <w:spacing w:after="0" w:line="276" w:lineRule="auto"/>
        <w:tabs>
          <w:tab w:leader="none" w:pos="22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3.01(e)(ii)(B) of the Credit Agreement is amended by replacing each reference to “W-8BEN” with a reference to “W-8BEN or Form W-8BEN-E, as applicable,”.</w:t>
      </w:r>
    </w:p>
    <w:p>
      <w:pPr>
        <w:spacing w:after="0" w:line="160" w:lineRule="exact"/>
        <w:rPr>
          <w:rFonts w:ascii="Arial" w:cs="Arial" w:eastAsia="Arial" w:hAnsi="Arial"/>
          <w:sz w:val="22"/>
          <w:szCs w:val="22"/>
          <w:color w:val="auto"/>
        </w:rPr>
      </w:pPr>
    </w:p>
    <w:p>
      <w:pPr>
        <w:ind w:left="500" w:right="340" w:firstLine="1291"/>
        <w:spacing w:after="0" w:line="276" w:lineRule="auto"/>
        <w:tabs>
          <w:tab w:leader="none" w:pos="22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5.07(a) of the Credit Agreement is amended by replacing the reference to “Neither Borrower” with a reference to “No Borrower”.</w:t>
      </w:r>
    </w:p>
    <w:p>
      <w:pPr>
        <w:spacing w:after="0" w:line="160" w:lineRule="exact"/>
        <w:rPr>
          <w:rFonts w:ascii="Arial" w:cs="Arial" w:eastAsia="Arial" w:hAnsi="Arial"/>
          <w:sz w:val="22"/>
          <w:szCs w:val="22"/>
          <w:color w:val="auto"/>
        </w:rPr>
      </w:pPr>
    </w:p>
    <w:p>
      <w:pPr>
        <w:ind w:left="500" w:right="940" w:firstLine="1291"/>
        <w:spacing w:after="0" w:line="276" w:lineRule="auto"/>
        <w:tabs>
          <w:tab w:leader="none" w:pos="22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10.07 of the Credit Agreement is amended by replacing each reference to “the Cayman Borrower” with a reference to “any Cayman Borrower”.</w:t>
      </w:r>
    </w:p>
    <w:p>
      <w:pPr>
        <w:spacing w:after="0" w:line="160" w:lineRule="exact"/>
        <w:rPr>
          <w:rFonts w:ascii="Arial" w:cs="Arial" w:eastAsia="Arial" w:hAnsi="Arial"/>
          <w:sz w:val="22"/>
          <w:szCs w:val="22"/>
          <w:color w:val="auto"/>
        </w:rPr>
      </w:pPr>
    </w:p>
    <w:p>
      <w:pPr>
        <w:ind w:left="500" w:right="40" w:firstLine="1291"/>
        <w:spacing w:after="0" w:line="254" w:lineRule="auto"/>
        <w:tabs>
          <w:tab w:leader="none" w:pos="2192"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of Exhibit A (Form of Loan Notice), Exhibit B (Form of Swing Line Loan Notice), Exhibit C-1 (Form of Revolving Credit Note), Exhibit C-2 (Form of Term Note), Exhibit D (Form of Compliance Certificate) and Exhibit E (Assignment and Assumption) is hereby replaced in the form of Annexes A, B, C-1, C-2, D and E, respectively, attached hereto.</w:t>
      </w:r>
    </w:p>
    <w:p>
      <w:pPr>
        <w:spacing w:after="0" w:line="185" w:lineRule="exact"/>
        <w:rPr>
          <w:sz w:val="20"/>
          <w:szCs w:val="20"/>
          <w:color w:val="auto"/>
        </w:rPr>
      </w:pPr>
    </w:p>
    <w:p>
      <w:pPr>
        <w:ind w:right="100" w:firstLine="1297"/>
        <w:spacing w:after="0" w:line="278"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Reaffirmation.</w:t>
      </w:r>
      <w:r>
        <w:rPr>
          <w:rFonts w:ascii="Arial" w:cs="Arial" w:eastAsia="Arial" w:hAnsi="Arial"/>
          <w:sz w:val="21"/>
          <w:szCs w:val="21"/>
          <w:color w:val="auto"/>
        </w:rPr>
        <w:t xml:space="preserve"> Each of Holdings and the US Borrower hereby confirms its guarantee and other obligations under Article X of the Credit Agreement with respect to the Obligations of all Loan Parties, including, on and after the Amendment Effective Date, with respect to the Obligations of the Cayman Parent Borrower.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591" w:right="279" w:bottom="1440" w:gutter="0" w:footer="0" w:header="0"/>
        </w:sectPr>
      </w:pPr>
    </w:p>
    <w:bookmarkStart w:id="55" w:name="page56"/>
    <w:bookmarkEnd w:id="55"/>
    <w:p>
      <w:pPr>
        <w:ind w:right="40" w:firstLine="1297"/>
        <w:spacing w:after="0" w:line="26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To induce the other parties hereto to enter into this Amendment, each of the Borrowers, including the Cayman Parent Borrower, hereby represents and warrants to the Administrative Agent and the Lenders that:</w:t>
      </w:r>
    </w:p>
    <w:p>
      <w:pPr>
        <w:spacing w:after="0" w:line="177" w:lineRule="exact"/>
        <w:rPr>
          <w:sz w:val="20"/>
          <w:szCs w:val="20"/>
          <w:color w:val="auto"/>
        </w:rPr>
      </w:pPr>
    </w:p>
    <w:p>
      <w:pPr>
        <w:ind w:left="660" w:right="140" w:firstLine="645"/>
        <w:spacing w:after="0" w:line="248" w:lineRule="auto"/>
        <w:tabs>
          <w:tab w:leader="none" w:pos="1728" w:val="left"/>
        </w:tabs>
        <w:numPr>
          <w:ilvl w:val="0"/>
          <w:numId w:val="30"/>
        </w:numPr>
        <w:rPr>
          <w:rFonts w:ascii="Arial" w:cs="Arial" w:eastAsia="Arial" w:hAnsi="Arial"/>
          <w:sz w:val="22"/>
          <w:szCs w:val="22"/>
          <w:color w:val="auto"/>
        </w:rPr>
      </w:pPr>
      <w:r>
        <w:rPr>
          <w:rFonts w:ascii="Arial" w:cs="Arial" w:eastAsia="Arial" w:hAnsi="Arial"/>
          <w:sz w:val="22"/>
          <w:szCs w:val="22"/>
          <w:color w:val="auto"/>
        </w:rPr>
        <w:t>(x) the transactions set forth herein are within such Borrower’s organizational powers and have been duly authorized by all necessary organizational and, if required, stockholder action and (y) this Amendment has been duly executed and delivered by such Borrower and constitutes, and the Credit Agreement as amended hereby will on and after the Amendment Effective Date constitute, a legal, valid and binding obligation of such Borrower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5" w:lineRule="exact"/>
        <w:rPr>
          <w:rFonts w:ascii="Arial" w:cs="Arial" w:eastAsia="Arial" w:hAnsi="Arial"/>
          <w:sz w:val="22"/>
          <w:szCs w:val="22"/>
          <w:color w:val="auto"/>
        </w:rPr>
      </w:pPr>
    </w:p>
    <w:p>
      <w:pPr>
        <w:ind w:left="660" w:right="520" w:firstLine="645"/>
        <w:spacing w:after="0" w:line="276" w:lineRule="auto"/>
        <w:tabs>
          <w:tab w:leader="none" w:pos="17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on the Amendment Effective Date and immediately after giving effect to this Amendment, no Default has occurred or is continuing; and</w:t>
      </w:r>
    </w:p>
    <w:p>
      <w:pPr>
        <w:spacing w:after="0" w:line="160" w:lineRule="exact"/>
        <w:rPr>
          <w:rFonts w:ascii="Arial" w:cs="Arial" w:eastAsia="Arial" w:hAnsi="Arial"/>
          <w:sz w:val="22"/>
          <w:szCs w:val="22"/>
          <w:color w:val="auto"/>
        </w:rPr>
      </w:pPr>
    </w:p>
    <w:p>
      <w:pPr>
        <w:ind w:left="660" w:right="60" w:firstLine="645"/>
        <w:spacing w:after="0" w:line="307" w:lineRule="auto"/>
        <w:tabs>
          <w:tab w:leader="none" w:pos="172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representations and warranties of Holdings and the Borrowers set forth in the Credit Agreement are true and correct in all material respects (or, if qualified by materiality, in all respects) on and as of the Amendment Effective Date, except to the extent expressly made as of another date, in which case such representations and warranties were true and correct in all material respects (or, if qualified by materiality, in all respects) on and as of such other date.</w:t>
      </w:r>
    </w:p>
    <w:p>
      <w:pPr>
        <w:spacing w:after="0" w:line="138" w:lineRule="exact"/>
        <w:rPr>
          <w:sz w:val="20"/>
          <w:szCs w:val="20"/>
          <w:color w:val="auto"/>
        </w:rPr>
      </w:pPr>
    </w:p>
    <w:p>
      <w:pPr>
        <w:ind w:right="800" w:firstLine="1297"/>
        <w:spacing w:after="0" w:line="27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Amendment shall become effective as of the first date (the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on which each of the following conditions has been satisfied:</w:t>
      </w:r>
    </w:p>
    <w:p>
      <w:pPr>
        <w:spacing w:after="0" w:line="161" w:lineRule="exact"/>
        <w:rPr>
          <w:sz w:val="20"/>
          <w:szCs w:val="20"/>
          <w:color w:val="auto"/>
        </w:rPr>
      </w:pPr>
    </w:p>
    <w:p>
      <w:pPr>
        <w:ind w:left="500" w:right="580" w:firstLine="1291"/>
        <w:spacing w:after="0" w:line="260" w:lineRule="auto"/>
        <w:tabs>
          <w:tab w:leader="none" w:pos="22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hereof duly executed and delivered by Holdings, each the Borrowers (including the Cayman Parent Borrower), Lenders collectively representing the Required Lenders and the Administrative Agent;</w:t>
      </w:r>
    </w:p>
    <w:p>
      <w:pPr>
        <w:spacing w:after="0" w:line="177" w:lineRule="exact"/>
        <w:rPr>
          <w:rFonts w:ascii="Arial" w:cs="Arial" w:eastAsia="Arial" w:hAnsi="Arial"/>
          <w:sz w:val="22"/>
          <w:szCs w:val="22"/>
          <w:color w:val="auto"/>
        </w:rPr>
      </w:pPr>
    </w:p>
    <w:p>
      <w:pPr>
        <w:ind w:left="500" w:right="100" w:firstLine="1291"/>
        <w:spacing w:after="0" w:line="307" w:lineRule="auto"/>
        <w:tabs>
          <w:tab w:leader="none" w:pos="222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customary documents and certificates as the Administrative Agent or its counsel may reasonably request relating to the organization, existence and good standing of the Cayman Parent Borrower and the authorization of the transactions contemplated hereby by the Cayman Parent Borrower and the other Borrowers, all in form and substance reasonably satisfactory to the Administrative Agent;</w:t>
      </w:r>
    </w:p>
    <w:p>
      <w:pPr>
        <w:spacing w:after="0" w:line="138" w:lineRule="exact"/>
        <w:rPr>
          <w:rFonts w:ascii="Arial" w:cs="Arial" w:eastAsia="Arial" w:hAnsi="Arial"/>
          <w:sz w:val="19"/>
          <w:szCs w:val="19"/>
          <w:color w:val="auto"/>
        </w:rPr>
      </w:pPr>
    </w:p>
    <w:p>
      <w:pPr>
        <w:ind w:left="500" w:firstLine="1291"/>
        <w:spacing w:after="0" w:line="307" w:lineRule="auto"/>
        <w:tabs>
          <w:tab w:leader="none" w:pos="221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Administrative Agent shall have received a favorable opinion of (i) O’Melveny &amp; Myers LLP, counsel to the Borrowers, and (ii) Conyers Dill &amp; Pearman (Cayman) Limited, counsel to the Cayman Borrowers, in each case, addressed to the Administrative Agent, each Lender and the L/C Issuer, in form and substance reasonably satisfactory to the Administrative Agent, concerning the Borrowers, this Amendment and the Credit Agreement, as amended hereby;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56" w:name="page57"/>
    <w:bookmarkEnd w:id="56"/>
    <w:p>
      <w:pPr>
        <w:ind w:left="500" w:right="120" w:firstLine="1291"/>
        <w:spacing w:after="0" w:line="320" w:lineRule="auto"/>
        <w:tabs>
          <w:tab w:leader="none" w:pos="2228" w:val="left"/>
        </w:tabs>
        <w:numPr>
          <w:ilvl w:val="0"/>
          <w:numId w:val="32"/>
        </w:numPr>
        <w:rPr>
          <w:rFonts w:ascii="Arial" w:cs="Arial" w:eastAsia="Arial" w:hAnsi="Arial"/>
          <w:sz w:val="19"/>
          <w:szCs w:val="19"/>
          <w:color w:val="auto"/>
        </w:rPr>
      </w:pPr>
      <w:r>
        <w:rPr>
          <w:rFonts w:ascii="Arial" w:cs="Arial" w:eastAsia="Arial" w:hAnsi="Arial"/>
          <w:sz w:val="19"/>
          <w:szCs w:val="19"/>
          <w:color w:val="auto"/>
        </w:rPr>
        <w:t>each Subsidiary Guarantor shall have entered into a reaffirmation agreement pursuant to which such Subsidiary Guarantor reaffirms its obligations under the Subsidiary Guaranty, including those with respect to the Obligations of the Cayman Parent Borrower, in form and substance reasonably satisfactory to the Administrative Agent;</w:t>
      </w:r>
    </w:p>
    <w:p>
      <w:pPr>
        <w:spacing w:after="0" w:line="125" w:lineRule="exact"/>
        <w:rPr>
          <w:rFonts w:ascii="Arial" w:cs="Arial" w:eastAsia="Arial" w:hAnsi="Arial"/>
          <w:sz w:val="19"/>
          <w:szCs w:val="19"/>
          <w:color w:val="auto"/>
        </w:rPr>
      </w:pPr>
    </w:p>
    <w:p>
      <w:pPr>
        <w:ind w:left="500" w:right="100" w:firstLine="1291"/>
        <w:spacing w:after="0" w:line="254" w:lineRule="auto"/>
        <w:tabs>
          <w:tab w:leader="none" w:pos="22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Cayman Parent Borrower shall have provided to the Lenders all documentation and other information required by bank regulatory authorities under applicable “know your customer” and anti-money laundering rules and regulations, including the USA PATRIOT Act to the extent requested at least 5 days prior to the Amendment Effective Date; and</w:t>
      </w:r>
    </w:p>
    <w:p>
      <w:pPr>
        <w:spacing w:after="0" w:line="185" w:lineRule="exact"/>
        <w:rPr>
          <w:rFonts w:ascii="Arial" w:cs="Arial" w:eastAsia="Arial" w:hAnsi="Arial"/>
          <w:sz w:val="22"/>
          <w:szCs w:val="22"/>
          <w:color w:val="auto"/>
        </w:rPr>
      </w:pPr>
    </w:p>
    <w:p>
      <w:pPr>
        <w:ind w:left="500" w:firstLine="1291"/>
        <w:spacing w:after="0" w:line="251" w:lineRule="auto"/>
        <w:tabs>
          <w:tab w:leader="none" w:pos="21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Administrative Agent shall have received payment from the Borrowers of all reasonable and documented fees and expenses of the Administrative Agent (including the reasonable and documented fees, disbursements and other charges of counsel to the Administrative Agent) payable or subject to reimbursement under Section 10 hereof or under the Credit Agreement to the extent a reasonably detailed invoice therefor has been delivered to the Borrowers at prior to the Amendment Effective Date.</w:t>
      </w:r>
    </w:p>
    <w:p>
      <w:pPr>
        <w:spacing w:after="0" w:line="190"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The Administrative Agent shall notify Holdings, the Borrowers and the Lenders of the Amendment Effective Date and such notice shall be conclusive and binding.</w:t>
      </w:r>
    </w:p>
    <w:p>
      <w:pPr>
        <w:spacing w:after="0" w:line="175"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xml:space="preserve"> %2.Except as expressly set forth herein, this Amendment shall not by implication or otherwise limit, impair, constitute a waiver of or otherwise affect the rights and remedies of the Lenders or the Administrative Agent under the Credit Agreement or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Nothing herein shall be deemed to entitle the Borrowers to a consent to, or a waiver, amendment, modification or other change of, any of the terms, conditions, obligations, covenants or agreements contained in the Credit Agreement or any other Loan Document in similar or different circumstances.</w:t>
      </w:r>
    </w:p>
    <w:p>
      <w:pPr>
        <w:spacing w:after="0" w:line="181" w:lineRule="exact"/>
        <w:rPr>
          <w:sz w:val="20"/>
          <w:szCs w:val="20"/>
          <w:color w:val="auto"/>
        </w:rPr>
      </w:pPr>
    </w:p>
    <w:p>
      <w:pPr>
        <w:ind w:right="80" w:firstLine="1305"/>
        <w:spacing w:after="0" w:line="263" w:lineRule="auto"/>
        <w:tabs>
          <w:tab w:leader="none" w:pos="1603" w:val="left"/>
        </w:tabs>
        <w:numPr>
          <w:ilvl w:val="0"/>
          <w:numId w:val="33"/>
        </w:numPr>
        <w:rPr>
          <w:rFonts w:ascii="Arial" w:cs="Arial" w:eastAsia="Arial" w:hAnsi="Arial"/>
          <w:sz w:val="22"/>
          <w:szCs w:val="22"/>
          <w:color w:val="auto"/>
        </w:rPr>
      </w:pPr>
      <w:r>
        <w:rPr>
          <w:rFonts w:ascii="Arial" w:cs="Arial" w:eastAsia="Arial" w:hAnsi="Arial"/>
          <w:sz w:val="22"/>
          <w:szCs w:val="22"/>
          <w:color w:val="auto"/>
        </w:rPr>
        <w:t>On and after the Amendment Effective Date, the Cayman Parent Borrower will be a “Borrower” for all purposes of the Credit Agreement and the other Loan Documents.</w:t>
      </w:r>
    </w:p>
    <w:p>
      <w:pPr>
        <w:spacing w:after="0" w:line="174" w:lineRule="exact"/>
        <w:rPr>
          <w:rFonts w:ascii="Arial" w:cs="Arial" w:eastAsia="Arial" w:hAnsi="Arial"/>
          <w:sz w:val="22"/>
          <w:szCs w:val="22"/>
          <w:color w:val="auto"/>
        </w:rPr>
      </w:pPr>
    </w:p>
    <w:p>
      <w:pPr>
        <w:ind w:right="100" w:firstLine="1305"/>
        <w:spacing w:after="0" w:line="265" w:lineRule="auto"/>
        <w:tabs>
          <w:tab w:leader="none" w:pos="1590" w:val="left"/>
        </w:tabs>
        <w:numPr>
          <w:ilvl w:val="0"/>
          <w:numId w:val="33"/>
        </w:numPr>
        <w:rPr>
          <w:rFonts w:ascii="Arial" w:cs="Arial" w:eastAsia="Arial" w:hAnsi="Arial"/>
          <w:sz w:val="21"/>
          <w:szCs w:val="21"/>
          <w:color w:val="auto"/>
        </w:rPr>
      </w:pPr>
      <w:r>
        <w:rPr>
          <w:rFonts w:ascii="Arial" w:cs="Arial" w:eastAsia="Arial" w:hAnsi="Arial"/>
          <w:sz w:val="21"/>
          <w:szCs w:val="21"/>
          <w:color w:val="auto"/>
        </w:rPr>
        <w:t>On and after the Amendment Effective Date, each reference in the Credit Agreement to “this Agreement”, “hereunder”, “hereof”, “herein”, or words of like import, and each reference to the Credit Agreement in any other Loan Document shall be deemed a reference to the Credit Agreement as amended hereby. This Amendment shall constitute a “Loan Document” for all purposes of the Credit Agreement and the other Loan Documents.</w:t>
      </w:r>
    </w:p>
    <w:p>
      <w:pPr>
        <w:spacing w:after="0" w:line="176" w:lineRule="exact"/>
        <w:rPr>
          <w:sz w:val="20"/>
          <w:szCs w:val="20"/>
          <w:color w:val="auto"/>
        </w:rPr>
      </w:pPr>
    </w:p>
    <w:p>
      <w:pPr>
        <w:ind w:right="520" w:firstLine="1297"/>
        <w:spacing w:after="0" w:line="276"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Applicable Law.</w:t>
      </w:r>
      <w:r>
        <w:rPr>
          <w:rFonts w:ascii="Arial" w:cs="Arial" w:eastAsia="Arial" w:hAnsi="Arial"/>
          <w:sz w:val="22"/>
          <w:szCs w:val="22"/>
          <w:color w:val="auto"/>
        </w:rPr>
        <w:t xml:space="preserve"> THIS AMENDMENT SHALL BE CONSTRUED IN ACCORDANCE WITH AND GOVERNED BY THE LAWS OF THE STATE OF NEW YORK.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57" w:name="page58"/>
    <w:bookmarkEnd w:id="57"/>
    <w:p>
      <w:pPr>
        <w:jc w:val="both"/>
        <w:ind w:right="100" w:firstLine="1297"/>
        <w:spacing w:after="0" w:line="30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other electronic imaging shall be effective as delivery of a manually executed counterpart of this Amendment.</w:t>
      </w:r>
    </w:p>
    <w:p>
      <w:pPr>
        <w:spacing w:after="0" w:line="138" w:lineRule="exact"/>
        <w:rPr>
          <w:sz w:val="20"/>
          <w:szCs w:val="20"/>
          <w:color w:val="auto"/>
        </w:rPr>
      </w:pPr>
    </w:p>
    <w:p>
      <w:pPr>
        <w:ind w:right="320" w:firstLine="1297"/>
        <w:spacing w:after="0" w:line="358"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Headings.</w:t>
      </w:r>
      <w:r>
        <w:rPr>
          <w:rFonts w:ascii="Arial" w:cs="Arial" w:eastAsia="Arial" w:hAnsi="Arial"/>
          <w:sz w:val="19"/>
          <w:szCs w:val="19"/>
          <w:color w:val="auto"/>
        </w:rPr>
        <w:t xml:space="preserve"> Section headings used herein are for convenience of reference only, are not part of this Amendment and shall not affect the construction of, or be taken into consideration in interpreting, this Amendment.</w:t>
      </w:r>
    </w:p>
    <w:p>
      <w:pPr>
        <w:spacing w:after="0" w:line="91"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The Borrower agrees to reimburse the Administrative Agent for its reasonable and documented out-of-pocket expenses in connection with this Amendment, including the reasonable fees, charges and disbursements of Cravath, Swaine &amp; Moore LLP, counsel for the Administrative Agent, as well as all other out-of-pocket expenses payable under the Credit Agreement that have not yet been reimbursed to the extent such fees and expenses are invoiced prior to the Amendment Effective Date.</w:t>
      </w:r>
    </w:p>
    <w:p>
      <w:pPr>
        <w:spacing w:after="0" w:line="190"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FATCA.</w:t>
      </w:r>
      <w:r>
        <w:rPr>
          <w:rFonts w:ascii="Arial" w:cs="Arial" w:eastAsia="Arial" w:hAnsi="Arial"/>
          <w:sz w:val="21"/>
          <w:szCs w:val="21"/>
          <w:color w:val="auto"/>
        </w:rPr>
        <w:t xml:space="preserve"> From and after the effective date of this Amendment, with respect to the Loans made on or prior to the date hereof under the Credit Agreement, as amended hereby, the Borrowers shall indemnify the Administrative Agent, and hold it harmless from, any and all losses, claims, damages, liabilities and related expenses, including Taxes and the fees, charges and disbursements of any counsel for any of the foregoing, arising in connection with the Administrative Agent’s treating, for purposes of determining withholding Taxes imposed under FATCA, such Loans as qualifying as a “grandfathered obligation” within the meaning of Treasury Regulation Section 1.1471-2(b)(2)(i).</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40"/>
          </w:cols>
          <w:pgMar w:left="240" w:top="591" w:right="319" w:bottom="1440" w:gutter="0" w:footer="0" w:header="0"/>
        </w:sectPr>
      </w:pPr>
    </w:p>
    <w:bookmarkStart w:id="58" w:name="page59"/>
    <w:bookmarkEnd w:id="58"/>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date first above written.</w:t>
      </w:r>
    </w:p>
    <w:p>
      <w:pPr>
        <w:spacing w:after="0" w:line="32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WESTERN DIGITAL TECHNOLOGIES,</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INC., as the US Borrower and Guarantor</w:t>
      </w: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/s/ Olivier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wp:posOffset>
            </wp:positionV>
            <wp:extent cx="2221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Olivier Leonetti</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First Amendment to the Credit Agreement]</w:t>
      </w:r>
    </w:p>
    <w:p>
      <w:pPr>
        <w:sectPr>
          <w:pgSz w:w="11900" w:h="16838" w:orient="portrait"/>
          <w:cols w:equalWidth="0" w:num="1">
            <w:col w:w="11420"/>
          </w:cols>
          <w:pgMar w:left="240" w:top="699" w:right="239" w:bottom="1440" w:gutter="0" w:footer="0" w:header="0"/>
        </w:sectPr>
      </w:pPr>
    </w:p>
    <w:bookmarkStart w:id="59" w:name="page60"/>
    <w:bookmarkEnd w:id="59"/>
    <w:p>
      <w:pPr>
        <w:ind w:left="3920"/>
        <w:spacing w:after="0"/>
        <w:rPr>
          <w:sz w:val="20"/>
          <w:szCs w:val="20"/>
          <w:color w:val="auto"/>
        </w:rPr>
      </w:pPr>
      <w:r>
        <w:rPr>
          <w:rFonts w:ascii="Arial" w:cs="Arial" w:eastAsia="Arial" w:hAnsi="Arial"/>
          <w:sz w:val="22"/>
          <w:szCs w:val="22"/>
          <w:color w:val="auto"/>
        </w:rPr>
        <w:t>WESTERN DIGITAL INTERNATIONAL,</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LTD., as the Cayman Parent Borrower</w:t>
      </w: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wp:posOffset>
            </wp:positionV>
            <wp:extent cx="2221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Michael Ray</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259"/>
        <w:spacing w:after="0"/>
        <w:rPr>
          <w:sz w:val="20"/>
          <w:szCs w:val="20"/>
          <w:color w:val="auto"/>
        </w:rPr>
      </w:pPr>
      <w:r>
        <w:rPr>
          <w:rFonts w:ascii="Arial" w:cs="Arial" w:eastAsia="Arial" w:hAnsi="Arial"/>
          <w:sz w:val="18"/>
          <w:szCs w:val="18"/>
          <w:i w:val="1"/>
          <w:iCs w:val="1"/>
          <w:color w:val="auto"/>
        </w:rPr>
        <w:t>[Signature Page to First Amendment to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[[NYCORP:3508803v11:4340W: 02/25/2015--08:56 AM]]</w:t>
      </w:r>
    </w:p>
    <w:p>
      <w:pPr>
        <w:sectPr>
          <w:pgSz w:w="11900" w:h="16838" w:orient="portrait"/>
          <w:cols w:equalWidth="0" w:num="1">
            <w:col w:w="10219"/>
          </w:cols>
          <w:pgMar w:left="240" w:top="955" w:right="1440" w:bottom="1440" w:gutter="0" w:footer="0" w:header="0"/>
        </w:sectPr>
      </w:pPr>
    </w:p>
    <w:bookmarkStart w:id="60" w:name="page61"/>
    <w:bookmarkEnd w:id="60"/>
    <w:p>
      <w:pPr>
        <w:ind w:left="2720"/>
        <w:spacing w:after="0"/>
        <w:rPr>
          <w:sz w:val="20"/>
          <w:szCs w:val="20"/>
          <w:color w:val="auto"/>
        </w:rPr>
      </w:pPr>
      <w:r>
        <w:rPr>
          <w:rFonts w:ascii="Arial" w:cs="Arial" w:eastAsia="Arial" w:hAnsi="Arial"/>
          <w:sz w:val="19"/>
          <w:szCs w:val="19"/>
          <w:color w:val="auto"/>
        </w:rPr>
        <w:t>WESTERN DIGITAL IRELAND, LTD., as the</w:t>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Cayman Subsidiary Borrower</w:t>
      </w:r>
    </w:p>
    <w:p>
      <w:pPr>
        <w:spacing w:after="0" w:line="200" w:lineRule="exact"/>
        <w:rPr>
          <w:sz w:val="20"/>
          <w:szCs w:val="20"/>
          <w:color w:val="auto"/>
        </w:rPr>
      </w:pPr>
    </w:p>
    <w:p>
      <w:pPr>
        <w:spacing w:after="0" w:line="33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By: /s/ Olivier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24765</wp:posOffset>
            </wp:positionV>
            <wp:extent cx="22212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Name: Olivier Leonetti</w:t>
      </w:r>
    </w:p>
    <w:p>
      <w:pPr>
        <w:spacing w:after="0" w:line="4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Title: Director and Chief Financial</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the Credit Agreement]</w:t>
      </w:r>
    </w:p>
    <w:p>
      <w:pPr>
        <w:sectPr>
          <w:pgSz w:w="11900" w:h="16838" w:orient="portrait"/>
          <w:cols w:equalWidth="0" w:num="1">
            <w:col w:w="9019"/>
          </w:cols>
          <w:pgMar w:left="1440" w:top="955" w:right="1440" w:bottom="1440" w:gutter="0" w:footer="0" w:header="0"/>
        </w:sectPr>
      </w:pPr>
    </w:p>
    <w:bookmarkStart w:id="61" w:name="page62"/>
    <w:bookmarkEnd w:id="61"/>
    <w:p>
      <w:pPr>
        <w:ind w:left="3920"/>
        <w:spacing w:after="0"/>
        <w:rPr>
          <w:sz w:val="20"/>
          <w:szCs w:val="20"/>
          <w:color w:val="auto"/>
        </w:rPr>
      </w:pPr>
      <w:r>
        <w:rPr>
          <w:rFonts w:ascii="Arial" w:cs="Arial" w:eastAsia="Arial" w:hAnsi="Arial"/>
          <w:sz w:val="21"/>
          <w:szCs w:val="21"/>
          <w:color w:val="auto"/>
        </w:rPr>
        <w:t>WESTERN DIGITAL CORPORATION, as</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Holdings and Guarantor</w:t>
      </w: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/s/ Olivier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24765</wp:posOffset>
            </wp:positionV>
            <wp:extent cx="22212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Olivier Leonetti</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2259"/>
        <w:spacing w:after="0"/>
        <w:rPr>
          <w:sz w:val="20"/>
          <w:szCs w:val="20"/>
          <w:color w:val="auto"/>
        </w:rPr>
      </w:pPr>
      <w:r>
        <w:rPr>
          <w:rFonts w:ascii="Arial" w:cs="Arial" w:eastAsia="Arial" w:hAnsi="Arial"/>
          <w:sz w:val="18"/>
          <w:szCs w:val="18"/>
          <w:i w:val="1"/>
          <w:iCs w:val="1"/>
          <w:color w:val="auto"/>
        </w:rPr>
        <w:t>[Signature Page to First Amendment to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[[NYCORP:3508803v11:4340W: 02/25/2015--08:56 AM]]</w:t>
      </w:r>
    </w:p>
    <w:p>
      <w:pPr>
        <w:sectPr>
          <w:pgSz w:w="11900" w:h="16838" w:orient="portrait"/>
          <w:cols w:equalWidth="0" w:num="1">
            <w:col w:w="10219"/>
          </w:cols>
          <w:pgMar w:left="240" w:top="955" w:right="1440" w:bottom="1440" w:gutter="0" w:footer="0" w:header="0"/>
        </w:sectPr>
      </w:pPr>
    </w:p>
    <w:bookmarkStart w:id="62" w:name="page63"/>
    <w:bookmarkEnd w:id="62"/>
    <w:p>
      <w:pPr>
        <w:ind w:left="272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individually and as Administrative Agent</w:t>
      </w:r>
    </w:p>
    <w:p>
      <w:pPr>
        <w:spacing w:after="0" w:line="200" w:lineRule="exact"/>
        <w:rPr>
          <w:sz w:val="20"/>
          <w:szCs w:val="20"/>
          <w:color w:val="auto"/>
        </w:rPr>
      </w:pPr>
    </w:p>
    <w:p>
      <w:pPr>
        <w:spacing w:after="0" w:line="33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By: /s/ Keith Winzenried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24765</wp:posOffset>
            </wp:positionV>
            <wp:extent cx="2221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Name: Keith Winzenried</w:t>
      </w:r>
    </w:p>
    <w:p>
      <w:pPr>
        <w:spacing w:after="0" w:line="4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the Credit Agreement]</w:t>
      </w:r>
    </w:p>
    <w:p>
      <w:pPr>
        <w:sectPr>
          <w:pgSz w:w="11900" w:h="16838" w:orient="portrait"/>
          <w:cols w:equalWidth="0" w:num="1">
            <w:col w:w="9019"/>
          </w:cols>
          <w:pgMar w:left="1440" w:top="955" w:right="1440" w:bottom="1440" w:gutter="0" w:footer="0" w:header="0"/>
        </w:sectPr>
      </w:pPr>
    </w:p>
    <w:bookmarkStart w:id="63" w:name="page64"/>
    <w:bookmarkEnd w:id="63"/>
    <w:p>
      <w:pPr>
        <w:jc w:val="right"/>
        <w:ind w:left="4880"/>
        <w:spacing w:after="0" w:line="257" w:lineRule="auto"/>
        <w:rPr>
          <w:sz w:val="20"/>
          <w:szCs w:val="20"/>
          <w:color w:val="auto"/>
        </w:rPr>
      </w:pPr>
      <w:r>
        <w:rPr>
          <w:rFonts w:ascii="Arial" w:cs="Arial" w:eastAsia="Arial" w:hAnsi="Arial"/>
          <w:sz w:val="18"/>
          <w:szCs w:val="18"/>
          <w:color w:val="auto"/>
        </w:rPr>
        <w:t>LENDER SIGNATURE PAGE TO THE FIRST AMENDMENT TO THE CREDIT AGREEMENT OF WESTERN DIGITAL TECHNOLOGIES, INC., WESTERN DIGITAL INTERNATIONAL, LTD., WESTERN DIGITAL IRELAND, LTD. AND WESTERN DIGITAL CORPORATION</w:t>
      </w:r>
    </w:p>
    <w:p>
      <w:pPr>
        <w:sectPr>
          <w:pgSz w:w="11900" w:h="16838" w:orient="portrait"/>
          <w:cols w:equalWidth="0" w:num="1">
            <w:col w:w="10220"/>
          </w:cols>
          <w:pgMar w:left="14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of</w:t>
      </w:r>
    </w:p>
    <w:p>
      <w:pPr>
        <w:spacing w:after="0" w:line="43" w:lineRule="exact"/>
        <w:rPr>
          <w:sz w:val="20"/>
          <w:szCs w:val="20"/>
          <w:color w:val="auto"/>
        </w:rPr>
      </w:pPr>
    </w:p>
    <w:p>
      <w:pPr>
        <w:ind w:left="2320"/>
        <w:spacing w:after="0"/>
        <w:rPr>
          <w:sz w:val="20"/>
          <w:szCs w:val="20"/>
          <w:color w:val="auto"/>
        </w:rPr>
      </w:pPr>
      <w:r>
        <w:rPr>
          <w:rFonts w:ascii="Arial" w:cs="Arial" w:eastAsia="Arial" w:hAnsi="Arial"/>
          <w:sz w:val="21"/>
          <w:szCs w:val="2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22040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3060" w:space="520"/>
            <w:col w:w="6640"/>
          </w:cols>
          <w:pgMar w:left="1440" w:top="125" w:right="239" w:bottom="1440" w:gutter="0" w:footer="0" w:header="0"/>
          <w:type w:val="continuous"/>
        </w:sectPr>
      </w:pPr>
    </w:p>
    <w:p>
      <w:pPr>
        <w:spacing w:after="0" w:line="81"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Jeannette Lu</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Name: Jeannette Lu</w:t>
      </w:r>
    </w:p>
    <w:p>
      <w:pPr>
        <w:spacing w:after="0" w:line="79"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Title: Vice President</w:t>
      </w:r>
    </w:p>
    <w:p>
      <w:pPr>
        <w:sectPr>
          <w:pgSz w:w="11900" w:h="16838" w:orient="portrait"/>
          <w:cols w:equalWidth="0" w:num="1">
            <w:col w:w="10220"/>
          </w:cols>
          <w:pgMar w:left="14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Name of</w:t>
      </w:r>
    </w:p>
    <w:p>
      <w:pPr>
        <w:spacing w:after="0" w:line="43" w:lineRule="exact"/>
        <w:rPr>
          <w:sz w:val="20"/>
          <w:szCs w:val="20"/>
          <w:color w:val="auto"/>
        </w:rPr>
      </w:pPr>
    </w:p>
    <w:p>
      <w:pPr>
        <w:ind w:left="2320"/>
        <w:spacing w:after="0"/>
        <w:rPr>
          <w:sz w:val="20"/>
          <w:szCs w:val="20"/>
          <w:color w:val="auto"/>
        </w:rPr>
      </w:pPr>
      <w:r>
        <w:rPr>
          <w:rFonts w:ascii="Arial" w:cs="Arial" w:eastAsia="Arial" w:hAnsi="Arial"/>
          <w:sz w:val="21"/>
          <w:szCs w:val="2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rPr>
        <w:t>CITIBANK, N.A.,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2204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3060" w:space="520"/>
            <w:col w:w="6640"/>
          </w:cols>
          <w:pgMar w:left="1440" w:top="125" w:right="239" w:bottom="1440" w:gutter="0" w:footer="0" w:header="0"/>
          <w:type w:val="continuous"/>
        </w:sectPr>
      </w:pPr>
    </w:p>
    <w:p>
      <w:pPr>
        <w:spacing w:after="0" w:line="81"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Sean Klimchalk</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Name: Sean Klimchalk</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320"/>
        <w:spacing w:after="0"/>
        <w:tabs>
          <w:tab w:leader="none" w:pos="3580" w:val="left"/>
        </w:tabs>
        <w:rPr>
          <w:sz w:val="20"/>
          <w:szCs w:val="20"/>
          <w:color w:val="auto"/>
        </w:rPr>
      </w:pPr>
      <w:r>
        <w:rPr>
          <w:rFonts w:ascii="Arial" w:cs="Arial" w:eastAsia="Arial" w:hAnsi="Arial"/>
          <w:sz w:val="22"/>
          <w:szCs w:val="22"/>
          <w:color w:val="auto"/>
        </w:rPr>
        <w:t>Lender:</w:t>
      </w:r>
      <w:r>
        <w:rPr>
          <w:sz w:val="20"/>
          <w:szCs w:val="20"/>
          <w:color w:val="auto"/>
        </w:rPr>
        <w:tab/>
      </w:r>
      <w:r>
        <w:rPr>
          <w:rFonts w:ascii="Arial" w:cs="Arial" w:eastAsia="Arial" w:hAnsi="Arial"/>
          <w:sz w:val="22"/>
          <w:szCs w:val="22"/>
          <w:color w:val="auto"/>
        </w:rPr>
        <w:t>ROYAL BANK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13335</wp:posOffset>
            </wp:positionV>
            <wp:extent cx="2195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Sheldon Pinto</w:t>
      </w: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Name: Sheldon Pinto</w:t>
      </w: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19"/>
          <w:szCs w:val="19"/>
          <w:color w:val="auto"/>
        </w:rPr>
        <w:t>Lender:</w:t>
        <w:tab/>
        <w:t>HSBC Bank USA,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34925</wp:posOffset>
            </wp:positionV>
            <wp:extent cx="23412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Hietala</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Andrew Hietala</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324" w:lineRule="exact"/>
        <w:rPr>
          <w:sz w:val="20"/>
          <w:szCs w:val="20"/>
          <w:color w:val="auto"/>
        </w:rPr>
      </w:pPr>
    </w:p>
    <w:p>
      <w:pPr>
        <w:ind w:left="2260"/>
        <w:spacing w:after="0"/>
        <w:rPr>
          <w:sz w:val="20"/>
          <w:szCs w:val="20"/>
          <w:color w:val="auto"/>
        </w:rPr>
      </w:pPr>
      <w:r>
        <w:rPr>
          <w:rFonts w:ascii="Arial" w:cs="Arial" w:eastAsia="Arial" w:hAnsi="Arial"/>
          <w:sz w:val="16"/>
          <w:szCs w:val="16"/>
          <w:i w:val="1"/>
          <w:iCs w:val="1"/>
          <w:color w:val="auto"/>
        </w:rPr>
        <w:t>[Signature Page to First Amendment to the Credit Agreement]</w:t>
      </w:r>
    </w:p>
    <w:p>
      <w:pPr>
        <w:sectPr>
          <w:pgSz w:w="11900" w:h="16838" w:orient="portrait"/>
          <w:cols w:equalWidth="0" w:num="1">
            <w:col w:w="10220"/>
          </w:cols>
          <w:pgMar w:left="1440" w:top="125" w:right="239" w:bottom="1440" w:gutter="0" w:footer="0" w:header="0"/>
          <w:type w:val="continuous"/>
        </w:sectPr>
      </w:pPr>
    </w:p>
    <w:bookmarkStart w:id="64" w:name="page65"/>
    <w:bookmarkEnd w:id="64"/>
    <w:p>
      <w:pPr>
        <w:jc w:val="right"/>
        <w:ind w:left="4880"/>
        <w:spacing w:after="0" w:line="257" w:lineRule="auto"/>
        <w:rPr>
          <w:sz w:val="20"/>
          <w:szCs w:val="20"/>
          <w:color w:val="auto"/>
        </w:rPr>
      </w:pPr>
      <w:r>
        <w:rPr>
          <w:rFonts w:ascii="Arial" w:cs="Arial" w:eastAsia="Arial" w:hAnsi="Arial"/>
          <w:sz w:val="18"/>
          <w:szCs w:val="18"/>
          <w:color w:val="auto"/>
        </w:rPr>
        <w:t>LENDER SIGNATURE PAGE TO THE FIRST AMENDMENT TO THE CREDIT AGREEMENT OF WESTERN DIGITAL TECHNOLOGIES, INC., WESTERN DIGITAL INTERNATIONAL, LTD., WESTERN DIGITAL IRELAND, LTD. AND 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Sumitomo Mitsui Banking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Shuji Yabe</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Shuji Yabe</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3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TD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Betty Chang</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Betty Chang</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THE BANK OF NOVA SCOTIA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Eugene Dempsey</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Eugene Dempsey</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Wells Fargo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Lacy Houstoun</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Lacy Houstoun</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24"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[Signature Page to First Amendment to the Credit Agreement]</w:t>
      </w:r>
    </w:p>
    <w:p>
      <w:pPr>
        <w:sectPr>
          <w:pgSz w:w="11900" w:h="16838" w:orient="portrait"/>
          <w:cols w:equalWidth="0" w:num="1">
            <w:col w:w="10220"/>
          </w:cols>
          <w:pgMar w:left="1440" w:top="125" w:right="239" w:bottom="1440" w:gutter="0" w:footer="0" w:header="0"/>
        </w:sectPr>
      </w:pPr>
    </w:p>
    <w:bookmarkStart w:id="65" w:name="page66"/>
    <w:bookmarkEnd w:id="65"/>
    <w:p>
      <w:pPr>
        <w:jc w:val="right"/>
        <w:ind w:left="4880"/>
        <w:spacing w:after="0" w:line="257" w:lineRule="auto"/>
        <w:rPr>
          <w:sz w:val="20"/>
          <w:szCs w:val="20"/>
          <w:color w:val="auto"/>
        </w:rPr>
      </w:pPr>
      <w:r>
        <w:rPr>
          <w:rFonts w:ascii="Arial" w:cs="Arial" w:eastAsia="Arial" w:hAnsi="Arial"/>
          <w:sz w:val="18"/>
          <w:szCs w:val="18"/>
          <w:color w:val="auto"/>
        </w:rPr>
        <w:t>LENDER SIGNATURE PAGE TO THE FIRST AMENDMENT TO THE CREDIT AGREEMENT OF WESTERN DIGITAL TECHNOLOGIES, INC., WESTERN DIGITAL INTERNATIONAL, LTD., WESTERN DIGITAL IRELAND, LTD. AND 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COMPASS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Khoa Duong</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Khoa Duong</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DBS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9"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McCabe</w:t>
      </w:r>
    </w:p>
    <w:p>
      <w:pPr>
        <w:spacing w:after="0" w:line="44"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Thomas McCabe</w:t>
      </w:r>
    </w:p>
    <w:p>
      <w:pPr>
        <w:spacing w:after="0" w:line="44"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Country Head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2420"/>
        <w:spacing w:after="0"/>
        <w:tabs>
          <w:tab w:leader="none" w:pos="3320" w:val="left"/>
        </w:tabs>
        <w:rPr>
          <w:sz w:val="20"/>
          <w:szCs w:val="20"/>
          <w:color w:val="auto"/>
        </w:rPr>
      </w:pPr>
      <w:r>
        <w:rPr>
          <w:rFonts w:ascii="Arial" w:cs="Arial" w:eastAsia="Arial" w:hAnsi="Arial"/>
          <w:sz w:val="22"/>
          <w:szCs w:val="22"/>
          <w:color w:val="auto"/>
        </w:rPr>
        <w:t>Lender:</w:t>
        <w:tab/>
        <w:t>Fifth Third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13335</wp:posOffset>
            </wp:positionV>
            <wp:extent cx="23412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Suzanne Rode</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Name: Suzanne Rode</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[Signature Page to First Amendment to the Credit Agreement]</w:t>
      </w:r>
    </w:p>
    <w:p>
      <w:pPr>
        <w:sectPr>
          <w:pgSz w:w="11900" w:h="16838" w:orient="portrait"/>
          <w:cols w:equalWidth="0" w:num="1">
            <w:col w:w="10220"/>
          </w:cols>
          <w:pgMar w:left="1440" w:top="125" w:right="239" w:bottom="1440" w:gutter="0" w:footer="0" w:header="0"/>
        </w:sectPr>
      </w:pPr>
    </w:p>
    <w:bookmarkStart w:id="66" w:name="page67"/>
    <w:bookmarkEnd w:id="66"/>
    <w:p>
      <w:pPr>
        <w:ind w:left="10640"/>
        <w:spacing w:after="0"/>
        <w:rPr>
          <w:sz w:val="20"/>
          <w:szCs w:val="20"/>
          <w:color w:val="auto"/>
        </w:rPr>
      </w:pPr>
      <w:r>
        <w:rPr>
          <w:rFonts w:ascii="Arial" w:cs="Arial" w:eastAsia="Arial" w:hAnsi="Arial"/>
          <w:sz w:val="19"/>
          <w:szCs w:val="19"/>
          <w:color w:val="auto"/>
        </w:rPr>
        <w:t>Annex 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LOAN NOTICE</w:t>
      </w:r>
    </w:p>
    <w:p>
      <w:pPr>
        <w:spacing w:after="0" w:line="266" w:lineRule="exact"/>
        <w:rPr>
          <w:sz w:val="20"/>
          <w:szCs w:val="20"/>
          <w:color w:val="auto"/>
        </w:rPr>
      </w:pPr>
    </w:p>
    <w:p>
      <w:pPr>
        <w:ind w:left="9060"/>
        <w:spacing w:after="0"/>
        <w:rPr>
          <w:sz w:val="20"/>
          <w:szCs w:val="20"/>
          <w:color w:val="auto"/>
        </w:rPr>
      </w:pPr>
      <w:r>
        <w:rPr>
          <w:rFonts w:ascii="Arial" w:cs="Arial" w:eastAsia="Arial" w:hAnsi="Arial"/>
          <w:sz w:val="19"/>
          <w:szCs w:val="19"/>
          <w:color w:val="auto"/>
        </w:rPr>
        <w:t>Date: ___________, _____</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 South Dearborn Street, Floor 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Teresita Siao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888-292-9533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312-385-7051</w:t>
      </w:r>
    </w:p>
    <w:p>
      <w:pPr>
        <w:spacing w:after="0" w:line="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Email:</w:t>
        <w:tab/>
        <w:t>jpm.agency.servicing.4@jpmorgan.com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1301 Second Avenue, Floor 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Seattle, WA 98101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Keith Winzenried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208-298-0693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206-500-1225</w:t>
      </w:r>
    </w:p>
    <w:p>
      <w:pPr>
        <w:spacing w:after="0" w:line="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Email:</w:t>
        <w:tab/>
        <w:t>keith.f.winzenried@jpmorgan.com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Reference is made to the Credit Agreement, dated as of January 9, 2014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Western Digital Technologies, Inc.,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Western Digital International, Ltd., an exempted company incorporated under the laws of the Cayman Islands (the “</w:t>
      </w:r>
      <w:r>
        <w:rPr>
          <w:rFonts w:ascii="Arial" w:cs="Arial" w:eastAsia="Arial" w:hAnsi="Arial"/>
          <w:sz w:val="19"/>
          <w:szCs w:val="19"/>
          <w:u w:val="single" w:color="auto"/>
          <w:color w:val="auto"/>
        </w:rPr>
        <w:t>Cayman Parent Borrower</w:t>
      </w:r>
      <w:r>
        <w:rPr>
          <w:rFonts w:ascii="Arial" w:cs="Arial" w:eastAsia="Arial" w:hAnsi="Arial"/>
          <w:sz w:val="19"/>
          <w:szCs w:val="19"/>
          <w:color w:val="auto"/>
        </w:rPr>
        <w:t>”), Western Digital Ireland, Ltd., an exempted company incorporated under the laws of the Cayman Islands (the “</w:t>
      </w:r>
      <w:r>
        <w:rPr>
          <w:rFonts w:ascii="Arial" w:cs="Arial" w:eastAsia="Arial" w:hAnsi="Arial"/>
          <w:sz w:val="19"/>
          <w:szCs w:val="19"/>
          <w:u w:val="single" w:color="auto"/>
          <w:color w:val="auto"/>
        </w:rPr>
        <w:t>Cayman Subsidiary Borrower</w:t>
      </w:r>
      <w:r>
        <w:rPr>
          <w:rFonts w:ascii="Arial" w:cs="Arial" w:eastAsia="Arial" w:hAnsi="Arial"/>
          <w:sz w:val="19"/>
          <w:szCs w:val="19"/>
          <w:color w:val="auto"/>
        </w:rPr>
        <w:t>” and together with the Cayman Parent Borrower, the “</w:t>
      </w:r>
      <w:r>
        <w:rPr>
          <w:rFonts w:ascii="Arial" w:cs="Arial" w:eastAsia="Arial" w:hAnsi="Arial"/>
          <w:sz w:val="19"/>
          <w:szCs w:val="19"/>
          <w:u w:val="single" w:color="auto"/>
          <w:color w:val="auto"/>
        </w:rPr>
        <w:t>Cayman Borrowers</w:t>
      </w:r>
      <w:r>
        <w:rPr>
          <w:rFonts w:ascii="Arial" w:cs="Arial" w:eastAsia="Arial" w:hAnsi="Arial"/>
          <w:sz w:val="19"/>
          <w:szCs w:val="19"/>
          <w:color w:val="auto"/>
        </w:rPr>
        <w:t>” and the Cayman Borrowers together with the US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each lender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 JPMorgan Chase Bank, N.A., as Administrative Agent.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requests (select one):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36"/>
          <w:szCs w:val="36"/>
          <w:color w:val="auto"/>
        </w:rPr>
        <w:t xml:space="preserve">□ </w:t>
      </w:r>
      <w:r>
        <w:rPr>
          <w:rFonts w:ascii="Arial" w:cs="Arial" w:eastAsia="Arial" w:hAnsi="Arial"/>
          <w:sz w:val="21"/>
          <w:szCs w:val="21"/>
          <w:color w:val="auto"/>
        </w:rPr>
        <w:t>A Borrowing of a Revolving Credit Loan</w:t>
      </w:r>
      <w:r>
        <w:rPr>
          <w:rFonts w:ascii="Arial" w:cs="Arial" w:eastAsia="Arial" w:hAnsi="Arial"/>
          <w:sz w:val="36"/>
          <w:szCs w:val="36"/>
          <w:color w:val="auto"/>
        </w:rPr>
        <w:t xml:space="preserve">   □ </w:t>
      </w:r>
      <w:r>
        <w:rPr>
          <w:rFonts w:ascii="Arial" w:cs="Arial" w:eastAsia="Arial" w:hAnsi="Arial"/>
          <w:sz w:val="21"/>
          <w:szCs w:val="21"/>
          <w:color w:val="auto"/>
        </w:rPr>
        <w:t>A conversion or continuation of Loans</w:t>
      </w:r>
    </w:p>
    <w:p>
      <w:pPr>
        <w:spacing w:after="0" w:line="75" w:lineRule="exact"/>
        <w:rPr>
          <w:sz w:val="20"/>
          <w:szCs w:val="20"/>
          <w:color w:val="auto"/>
        </w:rPr>
      </w:pPr>
    </w:p>
    <w:p>
      <w:pPr>
        <w:ind w:left="960" w:hanging="304"/>
        <w:spacing w:after="0"/>
        <w:tabs>
          <w:tab w:leader="none" w:pos="960" w:val="left"/>
        </w:tabs>
        <w:numPr>
          <w:ilvl w:val="0"/>
          <w:numId w:val="34"/>
        </w:numPr>
        <w:rPr>
          <w:rFonts w:ascii="Arial" w:cs="Arial" w:eastAsia="Arial" w:hAnsi="Arial"/>
          <w:sz w:val="36"/>
          <w:szCs w:val="36"/>
          <w:color w:val="auto"/>
        </w:rPr>
      </w:pPr>
      <w:r>
        <w:rPr>
          <w:rFonts w:ascii="Arial" w:cs="Arial" w:eastAsia="Arial" w:hAnsi="Arial"/>
          <w:sz w:val="22"/>
          <w:szCs w:val="22"/>
          <w:color w:val="auto"/>
        </w:rPr>
        <w:t>A Borrowing of a Term Loan</w:t>
      </w:r>
    </w:p>
    <w:p>
      <w:pPr>
        <w:spacing w:after="0" w:line="333"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On ______________________________ (a Business Day).</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amount of $_______________.</w:t>
      </w:r>
    </w:p>
    <w:p>
      <w:pPr>
        <w:sectPr>
          <w:pgSz w:w="11900" w:h="16838" w:orient="portrait"/>
          <w:cols w:equalWidth="0" w:num="1">
            <w:col w:w="11420"/>
          </w:cols>
          <w:pgMar w:left="240" w:top="132" w:right="239" w:bottom="1440" w:gutter="0" w:footer="0" w:header="0"/>
        </w:sectPr>
      </w:pPr>
    </w:p>
    <w:bookmarkStart w:id="67" w:name="page68"/>
    <w:bookmarkEnd w:id="67"/>
    <w:p>
      <w:pPr>
        <w:ind w:left="4540" w:right="4660" w:hanging="3884"/>
        <w:spacing w:after="0" w:line="343" w:lineRule="auto"/>
        <w:tabs>
          <w:tab w:leader="none" w:pos="1299"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Comprised of __________________________________. [Type of Loan requested]</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For Eurodollar Rate Loans: with an Interest Period of ____ months.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The Borrowing of a Revolving Credit Loan, if any, requested herein complies with the proviso to the first sentence of </w:t>
      </w:r>
      <w:r>
        <w:rPr>
          <w:rFonts w:ascii="Arial" w:cs="Arial" w:eastAsia="Arial" w:hAnsi="Arial"/>
          <w:sz w:val="22"/>
          <w:szCs w:val="22"/>
          <w:u w:val="single" w:color="auto"/>
          <w:color w:val="auto"/>
        </w:rPr>
        <w:t>Section 2.01(c)</w:t>
      </w:r>
      <w:r>
        <w:rPr>
          <w:rFonts w:ascii="Arial" w:cs="Arial" w:eastAsia="Arial" w:hAnsi="Arial"/>
          <w:sz w:val="22"/>
          <w:szCs w:val="22"/>
          <w:color w:val="auto"/>
        </w:rPr>
        <w:t xml:space="preserve"> of the Agreement.</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TECHNOLOGIES, INC.</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tabs>
          <w:tab w:leader="none" w:pos="5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82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INTERNATIONAL, LTD.</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IRELAND, LTD.</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tabs>
          <w:tab w:leader="none" w:pos="5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828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[[NYCORP:3508803v11:4340W: 02/25/2015--08:56 AM]]</w:t>
      </w:r>
    </w:p>
    <w:p>
      <w:pPr>
        <w:sectPr>
          <w:pgSz w:w="11900" w:h="16838" w:orient="portrait"/>
          <w:cols w:equalWidth="0" w:num="1">
            <w:col w:w="11400"/>
          </w:cols>
          <w:pgMar w:left="240" w:top="847"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Annex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SWING LINE LOAN NOTICE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 South Dearborn Street, Floor 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Teresita Siao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888-292-9533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312-385-7051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jpm.agency.servicing.4@jpmorgan.com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1301 Second Avenue, Floor 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Seattle, WA 98101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Keith Winzenried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208-298-0693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206-500-1225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keith.f.winzenried@jpmorgan.com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Reference is made to the Credit Agreement, dated as of January 9, 2014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Western Digital Technologies, Inc.,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Western Digital International, Ltd., an exempted company incorporated under the laws of the Cayman Islands (the “</w:t>
      </w:r>
      <w:r>
        <w:rPr>
          <w:rFonts w:ascii="Arial" w:cs="Arial" w:eastAsia="Arial" w:hAnsi="Arial"/>
          <w:sz w:val="19"/>
          <w:szCs w:val="19"/>
          <w:u w:val="single" w:color="auto"/>
          <w:color w:val="auto"/>
        </w:rPr>
        <w:t>Cayman Parent Borrower</w:t>
      </w:r>
      <w:r>
        <w:rPr>
          <w:rFonts w:ascii="Arial" w:cs="Arial" w:eastAsia="Arial" w:hAnsi="Arial"/>
          <w:sz w:val="19"/>
          <w:szCs w:val="19"/>
          <w:color w:val="auto"/>
        </w:rPr>
        <w:t>”), Western Digital Ireland, Ltd., an exempted company incorporated under the laws of the Cayman Islands (the “</w:t>
      </w:r>
      <w:r>
        <w:rPr>
          <w:rFonts w:ascii="Arial" w:cs="Arial" w:eastAsia="Arial" w:hAnsi="Arial"/>
          <w:sz w:val="19"/>
          <w:szCs w:val="19"/>
          <w:u w:val="single" w:color="auto"/>
          <w:color w:val="auto"/>
        </w:rPr>
        <w:t>Cayman Subsidiary Borrower</w:t>
      </w:r>
      <w:r>
        <w:rPr>
          <w:rFonts w:ascii="Arial" w:cs="Arial" w:eastAsia="Arial" w:hAnsi="Arial"/>
          <w:sz w:val="19"/>
          <w:szCs w:val="19"/>
          <w:color w:val="auto"/>
        </w:rPr>
        <w:t>” and together with the Cayman Parent Borrower, the “</w:t>
      </w:r>
      <w:r>
        <w:rPr>
          <w:rFonts w:ascii="Arial" w:cs="Arial" w:eastAsia="Arial" w:hAnsi="Arial"/>
          <w:sz w:val="19"/>
          <w:szCs w:val="19"/>
          <w:u w:val="single" w:color="auto"/>
          <w:color w:val="auto"/>
        </w:rPr>
        <w:t>Cayman Borrowers</w:t>
      </w:r>
      <w:r>
        <w:rPr>
          <w:rFonts w:ascii="Arial" w:cs="Arial" w:eastAsia="Arial" w:hAnsi="Arial"/>
          <w:sz w:val="19"/>
          <w:szCs w:val="19"/>
          <w:color w:val="auto"/>
        </w:rPr>
        <w:t>” and the Cayman Borrowers together with the US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each lender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 JPMorgan Chase Bank, N.A., as Administrative Agent. This notice constitutes a Swing Line Loan Notice and the undersigned Borrower hereby gives you notice, pursuant to Section 2.04 of the Credit Agreement, that it requests a Swing Line Borrowing under the Credit Agreement, and in connection therewith specifies the following information with respect to such Swing Line Borrowing:</w:t>
      </w:r>
    </w:p>
    <w:p>
      <w:pPr>
        <w:spacing w:after="0" w:line="19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Aggregate principal amount of Swing Line Borrowing: ____________</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Date of Swing Line Borrowing (which is a Business Day): ____________</w:t>
      </w:r>
    </w:p>
    <w:p>
      <w:pPr>
        <w:sectPr>
          <w:pgSz w:w="11900" w:h="16838" w:orient="portrait"/>
          <w:cols w:equalWidth="0" w:num="1">
            <w:col w:w="11420"/>
          </w:cols>
          <w:pgMar w:left="240" w:top="132" w:right="239" w:bottom="1440" w:gutter="0" w:footer="0" w:header="0"/>
        </w:sectPr>
      </w:pPr>
    </w:p>
    <w:bookmarkStart w:id="69" w:name="page70"/>
    <w:bookmarkEnd w:id="69"/>
    <w:p>
      <w:pPr>
        <w:ind w:left="422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TECHNOLOGIES, INC.</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INTERNATIONAL, LTD.</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IRELAND, LTD.</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tabs>
          <w:tab w:leader="none" w:pos="5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82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[FORM OF] REVOLVING CREDIT NOTE</w:t>
      </w:r>
    </w:p>
    <w:p>
      <w:pPr>
        <w:spacing w:after="0" w:line="242" w:lineRule="exact"/>
        <w:rPr>
          <w:sz w:val="20"/>
          <w:szCs w:val="20"/>
          <w:color w:val="auto"/>
        </w:rPr>
      </w:pPr>
    </w:p>
    <w:p>
      <w:pPr>
        <w:ind w:left="8940"/>
        <w:spacing w:after="0"/>
        <w:rPr>
          <w:sz w:val="20"/>
          <w:szCs w:val="20"/>
          <w:color w:val="auto"/>
        </w:rPr>
      </w:pPr>
      <w:r>
        <w:rPr>
          <w:rFonts w:ascii="Arial" w:cs="Arial" w:eastAsia="Arial" w:hAnsi="Arial"/>
          <w:sz w:val="19"/>
          <w:szCs w:val="19"/>
          <w:color w:val="auto"/>
        </w:rPr>
        <w:t>_______________________</w:t>
      </w:r>
    </w:p>
    <w:p>
      <w:pPr>
        <w:spacing w:after="0" w:line="28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FOR VALUE RECEIVED</w:t>
      </w:r>
      <w:r>
        <w:rPr>
          <w:rFonts w:ascii="Arial" w:cs="Arial" w:eastAsia="Arial" w:hAnsi="Arial"/>
          <w:sz w:val="19"/>
          <w:szCs w:val="19"/>
          <w:color w:val="auto"/>
        </w:rPr>
        <w:t>, the undersigned (the [“</w:t>
      </w:r>
      <w:r>
        <w:rPr>
          <w:rFonts w:ascii="Arial" w:cs="Arial" w:eastAsia="Arial" w:hAnsi="Arial"/>
          <w:sz w:val="19"/>
          <w:szCs w:val="19"/>
          <w:u w:val="single" w:color="auto"/>
          <w:color w:val="auto"/>
        </w:rPr>
        <w:t>US Borrower</w:t>
      </w:r>
      <w:r>
        <w:rPr>
          <w:rFonts w:ascii="Arial" w:cs="Arial" w:eastAsia="Arial" w:hAnsi="Arial"/>
          <w:sz w:val="19"/>
          <w:szCs w:val="19"/>
          <w:color w:val="auto"/>
        </w:rPr>
        <w:t>”] [the “</w:t>
      </w:r>
      <w:r>
        <w:rPr>
          <w:rFonts w:ascii="Arial" w:cs="Arial" w:eastAsia="Arial" w:hAnsi="Arial"/>
          <w:sz w:val="19"/>
          <w:szCs w:val="19"/>
          <w:u w:val="single" w:color="auto"/>
          <w:color w:val="auto"/>
        </w:rPr>
        <w:t>Cayman Parent Borrower</w:t>
      </w:r>
      <w:r>
        <w:rPr>
          <w:rFonts w:ascii="Arial" w:cs="Arial" w:eastAsia="Arial" w:hAnsi="Arial"/>
          <w:sz w:val="19"/>
          <w:szCs w:val="19"/>
          <w:color w:val="auto"/>
        </w:rPr>
        <w:t>”] [“</w:t>
      </w:r>
      <w:r>
        <w:rPr>
          <w:rFonts w:ascii="Arial" w:cs="Arial" w:eastAsia="Arial" w:hAnsi="Arial"/>
          <w:sz w:val="19"/>
          <w:szCs w:val="19"/>
          <w:u w:val="single" w:color="auto"/>
          <w:color w:val="auto"/>
        </w:rPr>
        <w:t>Cayman Subsidiary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_____________________ or registered assigns (the “</w:t>
      </w:r>
      <w:r>
        <w:rPr>
          <w:rFonts w:ascii="Arial" w:cs="Arial" w:eastAsia="Arial" w:hAnsi="Arial"/>
          <w:sz w:val="19"/>
          <w:szCs w:val="19"/>
          <w:u w:val="single" w:color="auto"/>
          <w:color w:val="auto"/>
        </w:rPr>
        <w:t>Lender</w:t>
      </w:r>
      <w:r>
        <w:rPr>
          <w:rFonts w:ascii="Arial" w:cs="Arial" w:eastAsia="Arial" w:hAnsi="Arial"/>
          <w:sz w:val="19"/>
          <w:szCs w:val="19"/>
          <w:color w:val="auto"/>
        </w:rPr>
        <w:t>”), in accordance with the</w:t>
      </w:r>
    </w:p>
    <w:p>
      <w:pPr>
        <w:jc w:val="both"/>
        <w:spacing w:after="0" w:line="292" w:lineRule="auto"/>
        <w:rPr>
          <w:sz w:val="20"/>
          <w:szCs w:val="20"/>
          <w:color w:val="auto"/>
        </w:rPr>
      </w:pPr>
      <w:r>
        <w:rPr>
          <w:rFonts w:ascii="Arial" w:cs="Arial" w:eastAsia="Arial" w:hAnsi="Arial"/>
          <w:sz w:val="19"/>
          <w:szCs w:val="19"/>
          <w:color w:val="auto"/>
        </w:rPr>
        <w:t>provisions of the Agreement (as hereinafter defined), the principal amount of each Revolving Credit Loan from time to time made by the Lender to such Borrower under the Credit Agreement, dated as of January 9, 2014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Holdings, the US Borrower, the Cayman Parent Borrower, the Cayman Subsidiary Borrower, the Lenders from time to time party thereto and JPMorgan Chase Bank, N.A., as Administrative Agent.</w:t>
      </w:r>
    </w:p>
    <w:p>
      <w:pPr>
        <w:spacing w:after="0" w:line="19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The [US Borrower] [Cayman Parent Borrower] [Cayman Subsidiary Borrower] promises to pay interest on the unpaid principal amount of each Revolving Credit Loan made to such Borrower from the date of such Revolving Credit Loan until such principal amount is paid in full, at such interest rates and at such times as provided in the Agreement. Except as otherwise provided in </w:t>
      </w:r>
      <w:r>
        <w:rPr>
          <w:rFonts w:ascii="Arial" w:cs="Arial" w:eastAsia="Arial" w:hAnsi="Arial"/>
          <w:sz w:val="19"/>
          <w:szCs w:val="19"/>
          <w:u w:val="single" w:color="auto"/>
          <w:color w:val="auto"/>
        </w:rPr>
        <w:t>Section 2.04(f)</w:t>
      </w:r>
      <w:r>
        <w:rPr>
          <w:rFonts w:ascii="Arial" w:cs="Arial" w:eastAsia="Arial" w:hAnsi="Arial"/>
          <w:sz w:val="19"/>
          <w:szCs w:val="19"/>
          <w:color w:val="auto"/>
        </w:rPr>
        <w:t xml:space="preserve"> of the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w:t>
      </w:r>
    </w:p>
    <w:p>
      <w:pPr>
        <w:sectPr>
          <w:pgSz w:w="11900" w:h="16838" w:orient="portrait"/>
          <w:cols w:equalWidth="0" w:num="1">
            <w:col w:w="11420"/>
          </w:cols>
          <w:pgMar w:left="240" w:top="591" w:right="2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22"/>
          <w:szCs w:val="22"/>
          <w:color w:val="auto"/>
        </w:rPr>
        <w:t>date thereof until the date of actual payment (and before as well as after judgment) computed at the per annum rate set forth in the Agreement.</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This Note is one of the Notes referred to in the Agreement, is entitled to the benefits thereof and may be prepaid in whole or in part subject to the terms and conditions provided therein. This Note is also entitled to the benefits of the Guaranty.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the Lender to maintain any such accounts or records shall not affect the obligations of the [US Borrower] [Cayman Parent Borrower] [Cayman Subsidiary Borrower] hereunder or under the Agreement. The Lender may also attach schedules to this Note and endorse thereon the date, amount and maturity of its Loans and payments with respect thereto.</w:t>
      </w:r>
    </w:p>
    <w:p>
      <w:pPr>
        <w:spacing w:after="0" w:line="19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[US Borrower] [Cayman Parent Borrower] [Cayman Subsidiary Borrower], for itself, its successors and assigns, hereby waives diligence, presentment, protest and demand and notice of protest, demand, dishonor and non-payment of this Note.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591" w:right="239" w:bottom="1440" w:gutter="0" w:footer="0" w:header="0"/>
        </w:sectPr>
      </w:pPr>
    </w:p>
    <w:bookmarkStart w:id="71" w:name="page72"/>
    <w:bookmarkEnd w:id="71"/>
    <w:p>
      <w:pPr>
        <w:ind w:firstLine="648"/>
        <w:spacing w:after="0" w:line="263"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TECHNOLOGIES, INC.</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INTERNATIONAL, LTD.</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IRELAND, LTD.</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tabs>
          <w:tab w:leader="none" w:pos="5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828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Annex C-2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TERM NOTE</w:t>
      </w:r>
    </w:p>
    <w:p>
      <w:pPr>
        <w:spacing w:after="0" w:line="266" w:lineRule="exact"/>
        <w:rPr>
          <w:sz w:val="20"/>
          <w:szCs w:val="20"/>
          <w:color w:val="auto"/>
        </w:rPr>
      </w:pPr>
    </w:p>
    <w:p>
      <w:pPr>
        <w:ind w:left="8940"/>
        <w:spacing w:after="0"/>
        <w:rPr>
          <w:sz w:val="20"/>
          <w:szCs w:val="20"/>
          <w:color w:val="auto"/>
        </w:rPr>
      </w:pPr>
      <w:r>
        <w:rPr>
          <w:rFonts w:ascii="Arial" w:cs="Arial" w:eastAsia="Arial" w:hAnsi="Arial"/>
          <w:sz w:val="19"/>
          <w:szCs w:val="19"/>
          <w:color w:val="auto"/>
        </w:rPr>
        <w:t>_______________________</w:t>
      </w:r>
    </w:p>
    <w:p>
      <w:pPr>
        <w:spacing w:after="0" w:line="28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FOR VALUE RECEIVED</w:t>
      </w:r>
      <w:r>
        <w:rPr>
          <w:rFonts w:ascii="Arial" w:cs="Arial" w:eastAsia="Arial" w:hAnsi="Arial"/>
          <w:sz w:val="19"/>
          <w:szCs w:val="19"/>
          <w:color w:val="auto"/>
        </w:rPr>
        <w:t>, the undersigned (the [“</w:t>
      </w:r>
      <w:r>
        <w:rPr>
          <w:rFonts w:ascii="Arial" w:cs="Arial" w:eastAsia="Arial" w:hAnsi="Arial"/>
          <w:sz w:val="19"/>
          <w:szCs w:val="19"/>
          <w:u w:val="single" w:color="auto"/>
          <w:color w:val="auto"/>
        </w:rPr>
        <w:t>US Borrower</w:t>
      </w:r>
      <w:r>
        <w:rPr>
          <w:rFonts w:ascii="Arial" w:cs="Arial" w:eastAsia="Arial" w:hAnsi="Arial"/>
          <w:sz w:val="19"/>
          <w:szCs w:val="19"/>
          <w:color w:val="auto"/>
        </w:rPr>
        <w:t>”] [“</w:t>
      </w:r>
      <w:r>
        <w:rPr>
          <w:rFonts w:ascii="Arial" w:cs="Arial" w:eastAsia="Arial" w:hAnsi="Arial"/>
          <w:sz w:val="19"/>
          <w:szCs w:val="19"/>
          <w:u w:val="single" w:color="auto"/>
          <w:color w:val="auto"/>
        </w:rPr>
        <w:t>Cayman Parent Borrower</w:t>
      </w:r>
      <w:r>
        <w:rPr>
          <w:rFonts w:ascii="Arial" w:cs="Arial" w:eastAsia="Arial" w:hAnsi="Arial"/>
          <w:sz w:val="19"/>
          <w:szCs w:val="19"/>
          <w:color w:val="auto"/>
        </w:rPr>
        <w:t>”] [the “</w:t>
      </w:r>
      <w:r>
        <w:rPr>
          <w:rFonts w:ascii="Arial" w:cs="Arial" w:eastAsia="Arial" w:hAnsi="Arial"/>
          <w:sz w:val="19"/>
          <w:szCs w:val="19"/>
          <w:u w:val="single" w:color="auto"/>
          <w:color w:val="auto"/>
        </w:rPr>
        <w:t>Cayman Subsidiary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_____________________ or registered assigns (the “</w:t>
      </w:r>
      <w:r>
        <w:rPr>
          <w:rFonts w:ascii="Arial" w:cs="Arial" w:eastAsia="Arial" w:hAnsi="Arial"/>
          <w:sz w:val="19"/>
          <w:szCs w:val="19"/>
          <w:u w:val="single" w:color="auto"/>
          <w:color w:val="auto"/>
        </w:rPr>
        <w:t>Lender</w:t>
      </w:r>
      <w:r>
        <w:rPr>
          <w:rFonts w:ascii="Arial" w:cs="Arial" w:eastAsia="Arial" w:hAnsi="Arial"/>
          <w:sz w:val="19"/>
          <w:szCs w:val="19"/>
          <w:color w:val="auto"/>
        </w:rPr>
        <w:t>”), in accordance with the</w:t>
      </w:r>
    </w:p>
    <w:p>
      <w:pPr>
        <w:jc w:val="both"/>
        <w:spacing w:after="0" w:line="244" w:lineRule="auto"/>
        <w:rPr>
          <w:sz w:val="20"/>
          <w:szCs w:val="20"/>
          <w:color w:val="auto"/>
        </w:rPr>
      </w:pPr>
      <w:r>
        <w:rPr>
          <w:rFonts w:ascii="Arial" w:cs="Arial" w:eastAsia="Arial" w:hAnsi="Arial"/>
          <w:sz w:val="22"/>
          <w:szCs w:val="22"/>
          <w:color w:val="auto"/>
        </w:rPr>
        <w:t>provisions of the Agreement (as hereinafter defined), the principal amount of each Term Loan from time to time made by the Lender to such Borrower under the Credit Agreement, dated as of January 9, 2014 (as amended, restated, extended, supplemented or otherwise modified in writing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the terms defined therein being used herein as therein defined), among Holdings, the US Borrower, the Cayman Borrowers, the Lenders from time to time party thereto and JPMorgan Chase Bank, N.A., as Administrative Agent.</w:t>
      </w:r>
    </w:p>
    <w:p>
      <w:pPr>
        <w:spacing w:after="0" w:line="23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The [US Borrower] [Cayman Parent Borrower] [Cayman Subsidiary Borrower] promises to pay interest on the unpaid principal amount of each Term Loan made to such Borrower from the date of such Term Loan until such principal amount is paid in full, at such interest rates and at such times as provided in the Agreement. Except as otherwise provided in </w:t>
      </w:r>
      <w:r>
        <w:rPr>
          <w:rFonts w:ascii="Arial" w:cs="Arial" w:eastAsia="Arial" w:hAnsi="Arial"/>
          <w:sz w:val="19"/>
          <w:szCs w:val="19"/>
          <w:u w:val="single" w:color="auto"/>
          <w:color w:val="auto"/>
        </w:rPr>
        <w:t>Section 2.04(f)</w:t>
      </w:r>
      <w:r>
        <w:rPr>
          <w:rFonts w:ascii="Arial" w:cs="Arial" w:eastAsia="Arial" w:hAnsi="Arial"/>
          <w:sz w:val="19"/>
          <w:szCs w:val="19"/>
          <w:color w:val="auto"/>
        </w:rPr>
        <w:t xml:space="preserve"> of the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This Note is one of the Notes referred to in the Agreement, is entitled to the benefits thereof and may be prepaid in whole or in part subject to the terms and conditions provided therein. This Note is also entitled to the benefits of the Guaranty.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the Lender to maintain any such accounts or records shall not affect the obligations of the [US Borrower] [Cayman Parent Borrower] [Cayman Subsidiary Borrower] hereunder or under the Agreement. The Lender may also attach schedules to this Note and endorse thereon the date, amount and maturity of its Loans and payments with respect thereto.</w:t>
      </w:r>
    </w:p>
    <w:p>
      <w:pPr>
        <w:spacing w:after="0" w:line="19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[US Borrower] [Cayman Parent Borrower] [Cayman Subsidiary Borrower], for itself, its successors and assigns, hereby waives diligence, presentment, protest and demand and notice of protest, demand, dishonor and non-payment of this Note.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132" w:right="239" w:bottom="1440" w:gutter="0" w:footer="0" w:header="0"/>
        </w:sectPr>
      </w:pPr>
    </w:p>
    <w:bookmarkStart w:id="73" w:name="page74"/>
    <w:bookmarkEnd w:id="73"/>
    <w:p>
      <w:pPr>
        <w:ind w:firstLine="648"/>
        <w:spacing w:after="0" w:line="263"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TECHNOLOGIES, INC.</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INTERNATIONAL, LTD.</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IRELAND, LTD.</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tabs>
          <w:tab w:leader="none" w:pos="5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828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4" w:name="page75"/>
    <w:bookmarkEnd w:id="74"/>
    <w:p>
      <w:pPr>
        <w:ind w:left="4220"/>
        <w:spacing w:after="0"/>
        <w:rPr>
          <w:sz w:val="20"/>
          <w:szCs w:val="20"/>
          <w:color w:val="auto"/>
        </w:rPr>
      </w:pPr>
      <w:r>
        <w:rPr>
          <w:rFonts w:ascii="Arial" w:cs="Arial" w:eastAsia="Arial" w:hAnsi="Arial"/>
          <w:sz w:val="25"/>
          <w:szCs w:val="25"/>
          <w:b w:val="1"/>
          <w:bCs w:val="1"/>
          <w:color w:val="auto"/>
        </w:rPr>
        <w:t>TERM LOANS AND PAYMENTS WITH RESPECT THERETO</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740" w:type="dxa"/>
            <w:vAlign w:val="bottom"/>
            <w:tcBorders>
              <w:top w:val="single" w:sz="8" w:color="00000A"/>
              <w:left w:val="single" w:sz="8" w:color="00000A"/>
              <w:right w:val="single" w:sz="8" w:color="00000A"/>
            </w:tcBorders>
          </w:tcPr>
          <w:p>
            <w:pPr>
              <w:spacing w:after="0"/>
              <w:rPr>
                <w:sz w:val="21"/>
                <w:szCs w:val="21"/>
                <w:color w:val="auto"/>
              </w:rPr>
            </w:pPr>
          </w:p>
        </w:tc>
        <w:tc>
          <w:tcPr>
            <w:tcW w:w="1620" w:type="dxa"/>
            <w:vAlign w:val="bottom"/>
            <w:tcBorders>
              <w:top w:val="single" w:sz="8" w:color="00000A"/>
              <w:right w:val="single" w:sz="8" w:color="00000A"/>
            </w:tcBorders>
          </w:tcPr>
          <w:p>
            <w:pPr>
              <w:spacing w:after="0"/>
              <w:rPr>
                <w:sz w:val="21"/>
                <w:szCs w:val="21"/>
                <w:color w:val="auto"/>
              </w:rPr>
            </w:pPr>
          </w:p>
        </w:tc>
        <w:tc>
          <w:tcPr>
            <w:tcW w:w="1600" w:type="dxa"/>
            <w:vAlign w:val="bottom"/>
            <w:tcBorders>
              <w:top w:val="single" w:sz="8" w:color="00000A"/>
              <w:right w:val="single" w:sz="8" w:color="00000A"/>
            </w:tcBorders>
          </w:tcPr>
          <w:p>
            <w:pPr>
              <w:spacing w:after="0"/>
              <w:rPr>
                <w:sz w:val="21"/>
                <w:szCs w:val="21"/>
                <w:color w:val="auto"/>
              </w:rPr>
            </w:pPr>
          </w:p>
        </w:tc>
        <w:tc>
          <w:tcPr>
            <w:tcW w:w="1600" w:type="dxa"/>
            <w:vAlign w:val="bottom"/>
            <w:tcBorders>
              <w:top w:val="single" w:sz="8" w:color="00000A"/>
              <w:right w:val="single" w:sz="8" w:color="00000A"/>
            </w:tcBorders>
          </w:tcPr>
          <w:p>
            <w:pPr>
              <w:spacing w:after="0"/>
              <w:rPr>
                <w:sz w:val="21"/>
                <w:szCs w:val="21"/>
                <w:color w:val="auto"/>
              </w:rPr>
            </w:pPr>
          </w:p>
        </w:tc>
        <w:tc>
          <w:tcPr>
            <w:tcW w:w="15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Amount of</w:t>
            </w:r>
          </w:p>
        </w:tc>
        <w:tc>
          <w:tcPr>
            <w:tcW w:w="1700" w:type="dxa"/>
            <w:vAlign w:val="bottom"/>
            <w:tcBorders>
              <w:top w:val="single" w:sz="8" w:color="00000A"/>
              <w:right w:val="single" w:sz="8" w:color="00000A"/>
            </w:tcBorders>
          </w:tcPr>
          <w:p>
            <w:pPr>
              <w:spacing w:after="0"/>
              <w:rPr>
                <w:sz w:val="21"/>
                <w:szCs w:val="21"/>
                <w:color w:val="auto"/>
              </w:rPr>
            </w:pPr>
          </w:p>
        </w:tc>
        <w:tc>
          <w:tcPr>
            <w:tcW w:w="1600" w:type="dxa"/>
            <w:vAlign w:val="bottom"/>
            <w:tcBorders>
              <w:top w:val="single" w:sz="8" w:color="00000A"/>
              <w:right w:val="single" w:sz="8" w:color="00000A"/>
            </w:tcBorders>
          </w:tcPr>
          <w:p>
            <w:pPr>
              <w:spacing w:after="0"/>
              <w:rPr>
                <w:sz w:val="21"/>
                <w:szCs w:val="21"/>
                <w:color w:val="auto"/>
              </w:rPr>
            </w:pPr>
          </w:p>
        </w:tc>
      </w:tr>
      <w:tr>
        <w:trPr>
          <w:trHeight w:val="230"/>
        </w:trPr>
        <w:tc>
          <w:tcPr>
            <w:tcW w:w="1740" w:type="dxa"/>
            <w:vAlign w:val="bottom"/>
            <w:tcBorders>
              <w:left w:val="single" w:sz="8" w:color="00000A"/>
              <w:right w:val="single" w:sz="8" w:color="00000A"/>
            </w:tcBorders>
          </w:tcPr>
          <w:p>
            <w:pPr>
              <w:spacing w:after="0"/>
              <w:rPr>
                <w:sz w:val="19"/>
                <w:szCs w:val="19"/>
                <w:color w:val="auto"/>
              </w:rPr>
            </w:pPr>
          </w:p>
        </w:tc>
        <w:tc>
          <w:tcPr>
            <w:tcW w:w="1620" w:type="dxa"/>
            <w:vAlign w:val="bottom"/>
            <w:tcBorders>
              <w:right w:val="single" w:sz="8" w:color="00000A"/>
            </w:tcBorders>
          </w:tcPr>
          <w:p>
            <w:pPr>
              <w:spacing w:after="0"/>
              <w:rPr>
                <w:sz w:val="19"/>
                <w:szCs w:val="19"/>
                <w:color w:val="auto"/>
              </w:rPr>
            </w:pPr>
          </w:p>
        </w:tc>
        <w:tc>
          <w:tcPr>
            <w:tcW w:w="1600" w:type="dxa"/>
            <w:vAlign w:val="bottom"/>
            <w:tcBorders>
              <w:right w:val="single" w:sz="8" w:color="00000A"/>
            </w:tcBorders>
          </w:tcPr>
          <w:p>
            <w:pPr>
              <w:spacing w:after="0"/>
              <w:rPr>
                <w:sz w:val="19"/>
                <w:szCs w:val="19"/>
                <w:color w:val="auto"/>
              </w:rPr>
            </w:pPr>
          </w:p>
        </w:tc>
        <w:tc>
          <w:tcPr>
            <w:tcW w:w="1600" w:type="dxa"/>
            <w:vAlign w:val="bottom"/>
            <w:tcBorders>
              <w:right w:val="single" w:sz="8" w:color="00000A"/>
            </w:tcBorders>
          </w:tcPr>
          <w:p>
            <w:pPr>
              <w:spacing w:after="0"/>
              <w:rPr>
                <w:sz w:val="19"/>
                <w:szCs w:val="19"/>
                <w:color w:val="auto"/>
              </w:rPr>
            </w:pPr>
          </w:p>
        </w:tc>
        <w:tc>
          <w:tcPr>
            <w:tcW w:w="1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Principal or</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Outstanding</w:t>
            </w:r>
          </w:p>
        </w:tc>
        <w:tc>
          <w:tcPr>
            <w:tcW w:w="1600" w:type="dxa"/>
            <w:vAlign w:val="bottom"/>
            <w:tcBorders>
              <w:right w:val="single" w:sz="8" w:color="00000A"/>
            </w:tcBorders>
          </w:tcPr>
          <w:p>
            <w:pPr>
              <w:spacing w:after="0"/>
              <w:rPr>
                <w:sz w:val="19"/>
                <w:szCs w:val="19"/>
                <w:color w:val="auto"/>
              </w:rPr>
            </w:pPr>
          </w:p>
        </w:tc>
      </w:tr>
      <w:tr>
        <w:trPr>
          <w:trHeight w:val="230"/>
        </w:trPr>
        <w:tc>
          <w:tcPr>
            <w:tcW w:w="1740" w:type="dxa"/>
            <w:vAlign w:val="bottom"/>
            <w:tcBorders>
              <w:left w:val="single" w:sz="8" w:color="00000A"/>
              <w:right w:val="single" w:sz="8" w:color="00000A"/>
            </w:tcBorders>
          </w:tcPr>
          <w:p>
            <w:pPr>
              <w:spacing w:after="0"/>
              <w:rPr>
                <w:sz w:val="19"/>
                <w:szCs w:val="19"/>
                <w:color w:val="auto"/>
              </w:rPr>
            </w:pPr>
          </w:p>
        </w:tc>
        <w:tc>
          <w:tcPr>
            <w:tcW w:w="1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Type of Loan</w:t>
            </w:r>
          </w:p>
        </w:tc>
        <w:tc>
          <w:tcPr>
            <w:tcW w:w="16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1"/>
              </w:rPr>
              <w:t>Amount of Loan</w:t>
            </w:r>
          </w:p>
        </w:tc>
        <w:tc>
          <w:tcPr>
            <w:tcW w:w="16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1"/>
              </w:rPr>
              <w:t>End of Interest</w:t>
            </w:r>
          </w:p>
        </w:tc>
        <w:tc>
          <w:tcPr>
            <w:tcW w:w="1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1"/>
              </w:rPr>
              <w:t>Interest Paid This</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Principal Balance</w:t>
            </w:r>
          </w:p>
        </w:tc>
        <w:tc>
          <w:tcPr>
            <w:tcW w:w="16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1"/>
              </w:rPr>
              <w:t>Notation Made</w:t>
            </w:r>
          </w:p>
        </w:tc>
      </w:tr>
      <w:tr>
        <w:trPr>
          <w:trHeight w:val="256"/>
        </w:trPr>
        <w:tc>
          <w:tcPr>
            <w:tcW w:w="1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1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3"/>
              </w:rPr>
              <w:t>Made</w:t>
            </w:r>
          </w:p>
        </w:tc>
        <w:tc>
          <w:tcPr>
            <w:tcW w:w="16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3"/>
              </w:rPr>
              <w:t>Made</w:t>
            </w:r>
          </w:p>
        </w:tc>
        <w:tc>
          <w:tcPr>
            <w:tcW w:w="16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Period</w:t>
            </w:r>
          </w:p>
        </w:tc>
        <w:tc>
          <w:tcPr>
            <w:tcW w:w="1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1"/>
              </w:rPr>
              <w:t>This Date</w:t>
            </w:r>
          </w:p>
        </w:tc>
        <w:tc>
          <w:tcPr>
            <w:tcW w:w="16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5"/>
              </w:rPr>
              <w:t>By</w:t>
            </w:r>
          </w:p>
        </w:tc>
      </w:tr>
      <w:tr>
        <w:trPr>
          <w:trHeight w:val="23"/>
        </w:trPr>
        <w:tc>
          <w:tcPr>
            <w:tcW w:w="1740" w:type="dxa"/>
            <w:vAlign w:val="bottom"/>
            <w:tcBorders>
              <w:left w:val="single" w:sz="8" w:color="00000A"/>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84"/>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r>
        <w:trPr>
          <w:trHeight w:val="291"/>
        </w:trPr>
        <w:tc>
          <w:tcPr>
            <w:tcW w:w="1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________</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________</w:t>
            </w:r>
          </w:p>
        </w:tc>
      </w:tr>
    </w:tbl>
    <w:p>
      <w:pPr>
        <w:sectPr>
          <w:pgSz w:w="11900" w:h="16838" w:orient="portrait"/>
          <w:cols w:equalWidth="0" w:num="1">
            <w:col w:w="11440"/>
          </w:cols>
          <w:pgMar w:left="240" w:top="576" w:right="219" w:bottom="1440" w:gutter="0" w:footer="0" w:header="0"/>
        </w:sectPr>
      </w:pPr>
    </w:p>
    <w:bookmarkStart w:id="75" w:name="page76"/>
    <w:bookmarkEnd w:id="75"/>
    <w:p>
      <w:pPr>
        <w:ind w:left="10640"/>
        <w:spacing w:after="0"/>
        <w:rPr>
          <w:sz w:val="20"/>
          <w:szCs w:val="20"/>
          <w:color w:val="auto"/>
        </w:rPr>
      </w:pPr>
      <w:r>
        <w:rPr>
          <w:rFonts w:ascii="Arial" w:cs="Arial" w:eastAsia="Arial" w:hAnsi="Arial"/>
          <w:sz w:val="19"/>
          <w:szCs w:val="19"/>
          <w:color w:val="auto"/>
        </w:rPr>
        <w:t>Annex 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266" w:lineRule="exact"/>
        <w:rPr>
          <w:sz w:val="20"/>
          <w:szCs w:val="20"/>
          <w:color w:val="auto"/>
        </w:rPr>
      </w:pPr>
    </w:p>
    <w:p>
      <w:pPr>
        <w:ind w:left="7720"/>
        <w:spacing w:after="0"/>
        <w:rPr>
          <w:sz w:val="20"/>
          <w:szCs w:val="20"/>
          <w:color w:val="auto"/>
        </w:rPr>
      </w:pPr>
      <w:r>
        <w:rPr>
          <w:rFonts w:ascii="Arial" w:cs="Arial" w:eastAsia="Arial" w:hAnsi="Arial"/>
          <w:sz w:val="19"/>
          <w:szCs w:val="19"/>
          <w:color w:val="auto"/>
        </w:rPr>
        <w:t>Financial Statement Date: _____________</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 South Dearborn Street, Floor 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Teresita Siao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888-292-9533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312-385-7051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jpm.agency.servicing.4@jpmorgan.com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1301 Second Avenue, Floor 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Seattle, WA 98101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Keith Winzenried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208-298-0693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206-500-1225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keith.f.winzenried@jpmorgan.com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Reference is made to the Credit Agreement, dated as of January 9, 2014 (as amended, restated, extended, supplemented or otherwise modified in writing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the terms defined therein being used herein as therein defined), among Western Digital Technologies, Inc., a Delaware corporation (the “</w:t>
      </w:r>
      <w:r>
        <w:rPr>
          <w:rFonts w:ascii="Arial" w:cs="Arial" w:eastAsia="Arial" w:hAnsi="Arial"/>
          <w:sz w:val="21"/>
          <w:szCs w:val="21"/>
          <w:u w:val="single" w:color="auto"/>
          <w:color w:val="auto"/>
        </w:rPr>
        <w:t>US Borrower</w:t>
      </w:r>
      <w:r>
        <w:rPr>
          <w:rFonts w:ascii="Arial" w:cs="Arial" w:eastAsia="Arial" w:hAnsi="Arial"/>
          <w:sz w:val="21"/>
          <w:szCs w:val="21"/>
          <w:color w:val="auto"/>
        </w:rPr>
        <w:t>”), Western Digital International, Ltd., an exempted company incorporated under the laws of the Cayman Islands (the “</w:t>
      </w:r>
      <w:r>
        <w:rPr>
          <w:rFonts w:ascii="Arial" w:cs="Arial" w:eastAsia="Arial" w:hAnsi="Arial"/>
          <w:sz w:val="21"/>
          <w:szCs w:val="21"/>
          <w:u w:val="single" w:color="auto"/>
          <w:color w:val="auto"/>
        </w:rPr>
        <w:t>Cayman Parent Borrower</w:t>
      </w:r>
      <w:r>
        <w:rPr>
          <w:rFonts w:ascii="Arial" w:cs="Arial" w:eastAsia="Arial" w:hAnsi="Arial"/>
          <w:sz w:val="21"/>
          <w:szCs w:val="21"/>
          <w:color w:val="auto"/>
        </w:rPr>
        <w:t>”) Western Digital Ireland, Ltd., an exempted company incorporated under the laws of the Cayman Islands (the “</w:t>
      </w:r>
      <w:r>
        <w:rPr>
          <w:rFonts w:ascii="Arial" w:cs="Arial" w:eastAsia="Arial" w:hAnsi="Arial"/>
          <w:sz w:val="21"/>
          <w:szCs w:val="21"/>
          <w:u w:val="single" w:color="auto"/>
          <w:color w:val="auto"/>
        </w:rPr>
        <w:t>Cayman Subsidiary Borrower</w:t>
      </w:r>
      <w:r>
        <w:rPr>
          <w:rFonts w:ascii="Arial" w:cs="Arial" w:eastAsia="Arial" w:hAnsi="Arial"/>
          <w:sz w:val="21"/>
          <w:szCs w:val="21"/>
          <w:color w:val="auto"/>
        </w:rPr>
        <w:t>”), Western Digital Corporation, a Delaware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each Lender from time to time party thereto and JPMorgan Chase Bank, N.A., as Administrative Agent.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undersigned [chief executive officer] [chief financial officer] [treasurer] [controller] of Holdings hereby certifies as of the date hereof that he/she is the [chief executive officer] [chief financial officer] [treasurer] [controller] of Holdings, and that, as such, he/she is authorized to execute and deliver this Certificate to the Administrative Agent on the behalf of Holdings, and that, on behalf of Holdings: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[Use following paragraph 1 for fiscal year-end financial statements]</w:t>
      </w:r>
    </w:p>
    <w:p>
      <w:pPr>
        <w:spacing w:after="0" w:line="260" w:lineRule="exact"/>
        <w:rPr>
          <w:sz w:val="20"/>
          <w:szCs w:val="20"/>
          <w:color w:val="auto"/>
        </w:rPr>
      </w:pPr>
    </w:p>
    <w:p>
      <w:pPr>
        <w:jc w:val="both"/>
        <w:ind w:firstLine="656"/>
        <w:spacing w:after="0" w:line="253" w:lineRule="auto"/>
        <w:tabs>
          <w:tab w:leader="none" w:pos="1061"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Holdings has delivered the year-end audited financial statements required by </w:t>
      </w:r>
      <w:r>
        <w:rPr>
          <w:rFonts w:ascii="Arial" w:cs="Arial" w:eastAsia="Arial" w:hAnsi="Arial"/>
          <w:sz w:val="22"/>
          <w:szCs w:val="22"/>
          <w:u w:val="single" w:color="auto"/>
          <w:color w:val="auto"/>
        </w:rPr>
        <w:t>Section 6.09(b)</w:t>
      </w:r>
      <w:r>
        <w:rPr>
          <w:rFonts w:ascii="Arial" w:cs="Arial" w:eastAsia="Arial" w:hAnsi="Arial"/>
          <w:sz w:val="22"/>
          <w:szCs w:val="22"/>
          <w:color w:val="auto"/>
        </w:rPr>
        <w:t xml:space="preserve"> of the Agreement for the fiscal year of Holdings ended as of the above date, together with the report and opinion of an independent certified public accountant required by such section.</w:t>
      </w:r>
    </w:p>
    <w:p>
      <w:pPr>
        <w:sectPr>
          <w:pgSz w:w="11900" w:h="16838" w:orient="portrait"/>
          <w:cols w:equalWidth="0" w:num="1">
            <w:col w:w="11420"/>
          </w:cols>
          <w:pgMar w:left="240" w:top="132"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22"/>
          <w:szCs w:val="22"/>
          <w:i w:val="1"/>
          <w:iCs w:val="1"/>
          <w:color w:val="auto"/>
        </w:rPr>
        <w:t>[Use following paragraph 1 for fiscal quarter-end financial statements]</w:t>
      </w:r>
    </w:p>
    <w:p>
      <w:pPr>
        <w:spacing w:after="0" w:line="260" w:lineRule="exact"/>
        <w:rPr>
          <w:sz w:val="20"/>
          <w:szCs w:val="20"/>
          <w:color w:val="auto"/>
        </w:rPr>
      </w:pPr>
    </w:p>
    <w:p>
      <w:pPr>
        <w:jc w:val="both"/>
        <w:ind w:firstLine="656"/>
        <w:spacing w:after="0" w:line="250" w:lineRule="auto"/>
        <w:tabs>
          <w:tab w:leader="none" w:pos="1076"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Holdings has delivered the unaudited financial statements required by </w:t>
      </w:r>
      <w:r>
        <w:rPr>
          <w:rFonts w:ascii="Arial" w:cs="Arial" w:eastAsia="Arial" w:hAnsi="Arial"/>
          <w:sz w:val="22"/>
          <w:szCs w:val="22"/>
          <w:u w:val="single" w:color="auto"/>
          <w:color w:val="auto"/>
        </w:rPr>
        <w:t>Section 6.09(a)</w:t>
      </w:r>
      <w:r>
        <w:rPr>
          <w:rFonts w:ascii="Arial" w:cs="Arial" w:eastAsia="Arial" w:hAnsi="Arial"/>
          <w:sz w:val="22"/>
          <w:szCs w:val="22"/>
          <w:color w:val="auto"/>
        </w:rPr>
        <w:t xml:space="preserve"> of the Agreement for the fiscal quarter of Holdings ended as of the above date. Such financial statements fairly present, in all material respects, the financial condition of Holdings and its Subsidiaries as of the date thereof and their results of operations for the period covered thereby, subject to normal year-end audit adjustments and the absence of footnotes.</w:t>
      </w:r>
    </w:p>
    <w:p>
      <w:pPr>
        <w:spacing w:after="0" w:line="228" w:lineRule="exact"/>
        <w:rPr>
          <w:rFonts w:ascii="Arial" w:cs="Arial" w:eastAsia="Arial" w:hAnsi="Arial"/>
          <w:sz w:val="22"/>
          <w:szCs w:val="22"/>
          <w:color w:val="auto"/>
        </w:rPr>
      </w:pPr>
    </w:p>
    <w:p>
      <w:pPr>
        <w:jc w:val="both"/>
        <w:ind w:firstLine="656"/>
        <w:spacing w:after="0" w:line="253" w:lineRule="auto"/>
        <w:tabs>
          <w:tab w:leader="none" w:pos="10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undersigned has reviewed and is familiar with the terms of the Agreement and has made, or has caused to be made under his/her supervision, a review of the transactions and condition (financial or otherwise) of Holdings and its Subsidiaries during the accounting period covered by such financial statements.</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174"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review of the activities of Holdings and the Loan Parties during such fiscal period has been made under the supervision of the undersigned with a view to determining whether during such fiscal period Holdings and each Loan Party performed and observed all its Obligations under the Loan Documents, and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[select one:]</w:t>
      </w:r>
    </w:p>
    <w:p>
      <w:pPr>
        <w:spacing w:after="0" w:line="26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[to the knowledge of the undersigned, during such fiscal period, Holdings and each Loan Party has performed and observed each covenant of the Loan Documents applicable to it, and no Default has occurred and is continuing.]</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[to the knowledge of the undersigned, during such fiscal period the following covenants have not been performed or observed and the following is a list of each such Default and its nature and status:]</w:t>
      </w:r>
    </w:p>
    <w:p>
      <w:pPr>
        <w:spacing w:after="0" w:line="215" w:lineRule="exact"/>
        <w:rPr>
          <w:sz w:val="20"/>
          <w:szCs w:val="20"/>
          <w:color w:val="auto"/>
        </w:rPr>
      </w:pPr>
    </w:p>
    <w:p>
      <w:pPr>
        <w:ind w:right="20" w:firstLine="656"/>
        <w:spacing w:after="0" w:line="263" w:lineRule="auto"/>
        <w:tabs>
          <w:tab w:leader="none" w:pos="1027"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The financial covenant analyses and information set forth on </w:t>
      </w:r>
      <w:r>
        <w:rPr>
          <w:rFonts w:ascii="Arial" w:cs="Arial" w:eastAsia="Arial" w:hAnsi="Arial"/>
          <w:sz w:val="22"/>
          <w:szCs w:val="22"/>
          <w:u w:val="single" w:color="auto"/>
          <w:color w:val="auto"/>
        </w:rPr>
        <w:t>Schedules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w:t>
      </w:r>
      <w:r>
        <w:rPr>
          <w:rFonts w:ascii="Arial" w:cs="Arial" w:eastAsia="Arial" w:hAnsi="Arial"/>
          <w:sz w:val="22"/>
          <w:szCs w:val="22"/>
          <w:color w:val="auto"/>
        </w:rPr>
        <w:t xml:space="preserve"> attached hereto are true and accurate, in all material respects, on and as of the date of this Certificate.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IN WITNESS WHEREOF</w:t>
      </w:r>
      <w:r>
        <w:rPr>
          <w:rFonts w:ascii="Arial" w:cs="Arial" w:eastAsia="Arial" w:hAnsi="Arial"/>
          <w:sz w:val="19"/>
          <w:szCs w:val="19"/>
          <w:color w:val="auto"/>
        </w:rPr>
        <w:t>, the undersigned has executed this Certificate, on behalf of Holdings, as of 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w:t>
      </w: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WESTERN DIGITAL CORPORATION</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-29210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-29210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7" w:name="page78"/>
    <w:bookmarkEnd w:id="77"/>
    <w:p>
      <w:pPr>
        <w:ind w:left="5300"/>
        <w:spacing w:after="0"/>
        <w:rPr>
          <w:sz w:val="20"/>
          <w:szCs w:val="20"/>
          <w:color w:val="auto"/>
        </w:rPr>
      </w:pPr>
      <w:r>
        <w:rPr>
          <w:rFonts w:ascii="Arial" w:cs="Arial" w:eastAsia="Arial" w:hAnsi="Arial"/>
          <w:sz w:val="19"/>
          <w:szCs w:val="19"/>
          <w:color w:val="auto"/>
        </w:rPr>
        <w:t>For the Quarter/Year ended ___________________(“</w:t>
      </w:r>
      <w:r>
        <w:rPr>
          <w:rFonts w:ascii="Arial" w:cs="Arial" w:eastAsia="Arial" w:hAnsi="Arial"/>
          <w:sz w:val="19"/>
          <w:szCs w:val="19"/>
          <w:u w:val="single" w:color="auto"/>
          <w:color w:val="auto"/>
        </w:rPr>
        <w:t>Statement Date</w:t>
      </w:r>
      <w:r>
        <w:rPr>
          <w:rFonts w:ascii="Arial" w:cs="Arial" w:eastAsia="Arial" w:hAnsi="Arial"/>
          <w:sz w:val="19"/>
          <w:szCs w:val="19"/>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 Compliance Certificate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in 000’s)</w:t>
      </w:r>
    </w:p>
    <w:p>
      <w:pPr>
        <w:spacing w:after="0" w:line="254"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7.09(a)</w:t>
      </w:r>
      <w:r>
        <w:rPr>
          <w:rFonts w:ascii="Arial" w:cs="Arial" w:eastAsia="Arial" w:hAnsi="Arial"/>
          <w:sz w:val="22"/>
          <w:szCs w:val="22"/>
          <w:b w:val="1"/>
          <w:bCs w:val="1"/>
          <w:color w:val="auto"/>
        </w:rPr>
        <w:t xml:space="preserve"> – Consolidated Leverage Ratio.</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  Consolidated Debt for Borrowed Money at Statement Date:   $__________</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40" w:type="dxa"/>
            <w:vAlign w:val="bottom"/>
          </w:tcPr>
          <w:p>
            <w:pPr>
              <w:spacing w:after="0"/>
              <w:rPr>
                <w:sz w:val="23"/>
                <w:szCs w:val="23"/>
                <w:color w:val="auto"/>
              </w:rPr>
            </w:pPr>
          </w:p>
        </w:tc>
        <w:tc>
          <w:tcPr>
            <w:tcW w:w="440" w:type="dxa"/>
            <w:vAlign w:val="bottom"/>
          </w:tcPr>
          <w:p>
            <w:pPr>
              <w:ind w:left="220"/>
              <w:spacing w:after="0"/>
              <w:rPr>
                <w:sz w:val="20"/>
                <w:szCs w:val="20"/>
                <w:color w:val="auto"/>
              </w:rPr>
            </w:pPr>
            <w:r>
              <w:rPr>
                <w:rFonts w:ascii="Arial" w:cs="Arial" w:eastAsia="Arial" w:hAnsi="Arial"/>
                <w:sz w:val="22"/>
                <w:szCs w:val="22"/>
                <w:color w:val="auto"/>
                <w:w w:val="95"/>
              </w:rPr>
              <w:t>B.</w:t>
            </w:r>
          </w:p>
        </w:tc>
        <w:tc>
          <w:tcPr>
            <w:tcW w:w="7120" w:type="dxa"/>
            <w:vAlign w:val="bottom"/>
            <w:gridSpan w:val="2"/>
          </w:tcPr>
          <w:p>
            <w:pPr>
              <w:ind w:left="240"/>
              <w:spacing w:after="0"/>
              <w:rPr>
                <w:sz w:val="20"/>
                <w:szCs w:val="20"/>
                <w:color w:val="auto"/>
              </w:rPr>
            </w:pPr>
            <w:r>
              <w:rPr>
                <w:rFonts w:ascii="Arial" w:cs="Arial" w:eastAsia="Arial" w:hAnsi="Arial"/>
                <w:sz w:val="22"/>
                <w:szCs w:val="22"/>
                <w:color w:val="auto"/>
                <w:w w:val="96"/>
              </w:rPr>
              <w:t>Consolidated EBITDA for four prior fiscal quarters ending Statement Date</w:t>
            </w:r>
          </w:p>
        </w:tc>
        <w:tc>
          <w:tcPr>
            <w:tcW w:w="1820" w:type="dxa"/>
            <w:vAlign w:val="bottom"/>
          </w:tcPr>
          <w:p>
            <w:pPr>
              <w:ind w:left="300"/>
              <w:spacing w:after="0"/>
              <w:rPr>
                <w:sz w:val="20"/>
                <w:szCs w:val="20"/>
                <w:color w:val="auto"/>
              </w:rPr>
            </w:pPr>
            <w:r>
              <w:rPr>
                <w:rFonts w:ascii="Arial" w:cs="Arial" w:eastAsia="Arial" w:hAnsi="Arial"/>
                <w:sz w:val="22"/>
                <w:szCs w:val="22"/>
                <w:color w:val="auto"/>
                <w:w w:val="86"/>
              </w:rPr>
              <w:t>(see Schedule 2):</w:t>
            </w:r>
          </w:p>
        </w:tc>
      </w:tr>
      <w:tr>
        <w:trPr>
          <w:trHeight w:val="463"/>
        </w:trPr>
        <w:tc>
          <w:tcPr>
            <w:tcW w:w="440" w:type="dxa"/>
            <w:vAlign w:val="bottom"/>
          </w:tcPr>
          <w:p>
            <w:pPr>
              <w:jc w:val="right"/>
              <w:spacing w:after="0"/>
              <w:rPr>
                <w:sz w:val="20"/>
                <w:szCs w:val="20"/>
                <w:color w:val="auto"/>
              </w:rPr>
            </w:pPr>
            <w:r>
              <w:rPr>
                <w:rFonts w:ascii="Arial" w:cs="Arial" w:eastAsia="Arial" w:hAnsi="Arial"/>
                <w:sz w:val="22"/>
                <w:szCs w:val="22"/>
                <w:color w:val="auto"/>
                <w:w w:val="85"/>
              </w:rPr>
              <w:t>$___</w:t>
            </w:r>
          </w:p>
        </w:tc>
        <w:tc>
          <w:tcPr>
            <w:tcW w:w="440" w:type="dxa"/>
            <w:vAlign w:val="bottom"/>
            <w:tcBorders>
              <w:bottom w:val="single" w:sz="8" w:color="auto"/>
            </w:tcBorders>
          </w:tcPr>
          <w:p>
            <w:pPr>
              <w:spacing w:after="0"/>
              <w:rPr>
                <w:sz w:val="24"/>
                <w:szCs w:val="24"/>
                <w:color w:val="auto"/>
              </w:rPr>
            </w:pPr>
          </w:p>
        </w:tc>
        <w:tc>
          <w:tcPr>
            <w:tcW w:w="4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544"/>
        </w:trPr>
        <w:tc>
          <w:tcPr>
            <w:tcW w:w="44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Arial" w:cs="Arial" w:eastAsia="Arial" w:hAnsi="Arial"/>
                <w:sz w:val="22"/>
                <w:szCs w:val="22"/>
                <w:color w:val="auto"/>
                <w:w w:val="90"/>
              </w:rPr>
              <w:t>C.</w:t>
            </w:r>
          </w:p>
        </w:tc>
        <w:tc>
          <w:tcPr>
            <w:tcW w:w="4860" w:type="dxa"/>
            <w:vAlign w:val="bottom"/>
          </w:tcPr>
          <w:p>
            <w:pPr>
              <w:ind w:left="200"/>
              <w:spacing w:after="0"/>
              <w:rPr>
                <w:sz w:val="20"/>
                <w:szCs w:val="20"/>
                <w:color w:val="auto"/>
              </w:rPr>
            </w:pPr>
            <w:r>
              <w:rPr>
                <w:rFonts w:ascii="Arial" w:cs="Arial" w:eastAsia="Arial" w:hAnsi="Arial"/>
                <w:sz w:val="22"/>
                <w:szCs w:val="22"/>
                <w:color w:val="auto"/>
                <w:w w:val="95"/>
              </w:rPr>
              <w:t>Consolidated Leverage Ratio (Line I.A ÷ Line I.B):</w:t>
            </w:r>
          </w:p>
        </w:tc>
        <w:tc>
          <w:tcPr>
            <w:tcW w:w="2260" w:type="dxa"/>
            <w:vAlign w:val="bottom"/>
          </w:tcPr>
          <w:p>
            <w:pPr>
              <w:ind w:left="220"/>
              <w:spacing w:after="0"/>
              <w:rPr>
                <w:sz w:val="20"/>
                <w:szCs w:val="20"/>
                <w:color w:val="auto"/>
              </w:rPr>
            </w:pPr>
            <w:r>
              <w:rPr>
                <w:rFonts w:ascii="Arial" w:cs="Arial" w:eastAsia="Arial" w:hAnsi="Arial"/>
                <w:sz w:val="22"/>
                <w:szCs w:val="22"/>
                <w:color w:val="auto"/>
              </w:rPr>
              <w:t>________ to 1</w:t>
            </w:r>
          </w:p>
        </w:tc>
        <w:tc>
          <w:tcPr>
            <w:tcW w:w="1820" w:type="dxa"/>
            <w:vAlign w:val="bottom"/>
          </w:tcPr>
          <w:p>
            <w:pPr>
              <w:spacing w:after="0"/>
              <w:rPr>
                <w:sz w:val="24"/>
                <w:szCs w:val="24"/>
                <w:color w:val="auto"/>
              </w:rPr>
            </w:pPr>
          </w:p>
        </w:tc>
      </w:tr>
    </w:tbl>
    <w:p>
      <w:pPr>
        <w:spacing w:after="0" w:line="239" w:lineRule="exact"/>
        <w:rPr>
          <w:sz w:val="20"/>
          <w:szCs w:val="20"/>
          <w:color w:val="auto"/>
        </w:rPr>
      </w:pPr>
    </w:p>
    <w:p>
      <w:pPr>
        <w:jc w:val="both"/>
        <w:ind w:firstLine="648"/>
        <w:spacing w:after="0" w:line="484" w:lineRule="auto"/>
        <w:rPr>
          <w:sz w:val="20"/>
          <w:szCs w:val="20"/>
          <w:color w:val="auto"/>
        </w:rPr>
      </w:pPr>
      <w:r>
        <w:rPr>
          <w:rFonts w:ascii="Arial" w:cs="Arial" w:eastAsia="Arial" w:hAnsi="Arial"/>
          <w:sz w:val="22"/>
          <w:szCs w:val="22"/>
          <w:i w:val="1"/>
          <w:iCs w:val="1"/>
          <w:color w:val="auto"/>
        </w:rPr>
        <w:t>Maximum permitted as of the last day of the fiscal quarter in which the Closing Date occurs, (i) until April 3, 2015, calculated on a Pro Forma Basis, to be greater than 3.0 to 1.0, and (ii) thereafter, calculated on a Pro Forma Basis, to be greater than 2.75 to 1.0.</w:t>
      </w:r>
    </w:p>
    <w:p>
      <w:pPr>
        <w:spacing w:after="0" w:line="3"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7.09(b)</w:t>
      </w:r>
      <w:r>
        <w:rPr>
          <w:rFonts w:ascii="Arial" w:cs="Arial" w:eastAsia="Arial" w:hAnsi="Arial"/>
          <w:sz w:val="22"/>
          <w:szCs w:val="22"/>
          <w:b w:val="1"/>
          <w:bCs w:val="1"/>
          <w:color w:val="auto"/>
        </w:rPr>
        <w:t xml:space="preserve"> – Consolidated Interest Coverage Ratio.</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440" w:type="dxa"/>
            <w:vAlign w:val="bottom"/>
          </w:tcPr>
          <w:p>
            <w:pPr>
              <w:ind w:left="120"/>
              <w:spacing w:after="0"/>
              <w:rPr>
                <w:sz w:val="20"/>
                <w:szCs w:val="20"/>
                <w:color w:val="auto"/>
              </w:rPr>
            </w:pPr>
            <w:r>
              <w:rPr>
                <w:rFonts w:ascii="Arial" w:cs="Arial" w:eastAsia="Arial" w:hAnsi="Arial"/>
                <w:sz w:val="22"/>
                <w:szCs w:val="22"/>
                <w:color w:val="auto"/>
              </w:rPr>
              <w:t>A.</w:t>
            </w:r>
          </w:p>
        </w:tc>
        <w:tc>
          <w:tcPr>
            <w:tcW w:w="6920" w:type="dxa"/>
            <w:vAlign w:val="bottom"/>
            <w:gridSpan w:val="3"/>
          </w:tcPr>
          <w:p>
            <w:pPr>
              <w:ind w:left="120"/>
              <w:spacing w:after="0"/>
              <w:rPr>
                <w:sz w:val="20"/>
                <w:szCs w:val="20"/>
                <w:color w:val="auto"/>
              </w:rPr>
            </w:pPr>
            <w:r>
              <w:rPr>
                <w:rFonts w:ascii="Arial" w:cs="Arial" w:eastAsia="Arial" w:hAnsi="Arial"/>
                <w:sz w:val="22"/>
                <w:szCs w:val="22"/>
                <w:color w:val="auto"/>
                <w:w w:val="97"/>
              </w:rPr>
              <w:t>Consolidated EBITDA for four prior fiscal quarters ending on Statement</w:t>
            </w:r>
          </w:p>
        </w:tc>
        <w:tc>
          <w:tcPr>
            <w:tcW w:w="3500" w:type="dxa"/>
            <w:vAlign w:val="bottom"/>
          </w:tcPr>
          <w:p>
            <w:pPr>
              <w:ind w:left="340"/>
              <w:spacing w:after="0"/>
              <w:rPr>
                <w:sz w:val="20"/>
                <w:szCs w:val="20"/>
                <w:color w:val="auto"/>
              </w:rPr>
            </w:pPr>
            <w:r>
              <w:rPr>
                <w:rFonts w:ascii="Arial" w:cs="Arial" w:eastAsia="Arial" w:hAnsi="Arial"/>
                <w:sz w:val="22"/>
                <w:szCs w:val="22"/>
                <w:color w:val="auto"/>
              </w:rPr>
              <w:t>Date (see Schedule 2):</w:t>
            </w:r>
          </w:p>
        </w:tc>
      </w:tr>
      <w:tr>
        <w:trPr>
          <w:trHeight w:val="463"/>
        </w:trPr>
        <w:tc>
          <w:tcPr>
            <w:tcW w:w="540" w:type="dxa"/>
            <w:vAlign w:val="bottom"/>
          </w:tcPr>
          <w:p>
            <w:pPr>
              <w:spacing w:after="0"/>
              <w:rPr>
                <w:sz w:val="20"/>
                <w:szCs w:val="20"/>
                <w:color w:val="auto"/>
              </w:rPr>
            </w:pPr>
            <w:r>
              <w:rPr>
                <w:rFonts w:ascii="Arial" w:cs="Arial" w:eastAsia="Arial" w:hAnsi="Arial"/>
                <w:sz w:val="22"/>
                <w:szCs w:val="22"/>
                <w:color w:val="auto"/>
                <w:w w:val="84"/>
              </w:rPr>
              <w:t>$____</w:t>
            </w:r>
          </w:p>
        </w:tc>
        <w:tc>
          <w:tcPr>
            <w:tcW w:w="4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44"/>
        </w:trPr>
        <w:tc>
          <w:tcPr>
            <w:tcW w:w="54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22"/>
                <w:szCs w:val="22"/>
                <w:color w:val="auto"/>
              </w:rPr>
              <w:t>B.</w:t>
            </w:r>
          </w:p>
        </w:tc>
        <w:tc>
          <w:tcPr>
            <w:tcW w:w="6920" w:type="dxa"/>
            <w:vAlign w:val="bottom"/>
            <w:gridSpan w:val="3"/>
          </w:tcPr>
          <w:p>
            <w:pPr>
              <w:ind w:left="240"/>
              <w:spacing w:after="0"/>
              <w:rPr>
                <w:sz w:val="20"/>
                <w:szCs w:val="20"/>
                <w:color w:val="auto"/>
              </w:rPr>
            </w:pPr>
            <w:r>
              <w:rPr>
                <w:rFonts w:ascii="Arial" w:cs="Arial" w:eastAsia="Arial" w:hAnsi="Arial"/>
                <w:sz w:val="22"/>
                <w:szCs w:val="22"/>
                <w:color w:val="auto"/>
                <w:w w:val="99"/>
              </w:rPr>
              <w:t>Consolidated Interest Expense for four prior fiscal quarters ending on</w:t>
            </w:r>
          </w:p>
        </w:tc>
        <w:tc>
          <w:tcPr>
            <w:tcW w:w="3500" w:type="dxa"/>
            <w:vAlign w:val="bottom"/>
          </w:tcPr>
          <w:p>
            <w:pPr>
              <w:ind w:left="820"/>
              <w:spacing w:after="0"/>
              <w:rPr>
                <w:sz w:val="20"/>
                <w:szCs w:val="20"/>
                <w:color w:val="auto"/>
              </w:rPr>
            </w:pPr>
            <w:r>
              <w:rPr>
                <w:rFonts w:ascii="Arial" w:cs="Arial" w:eastAsia="Arial" w:hAnsi="Arial"/>
                <w:sz w:val="22"/>
                <w:szCs w:val="22"/>
                <w:color w:val="auto"/>
                <w:w w:val="88"/>
              </w:rPr>
              <w:t>Statement Date (see Schedule</w:t>
            </w:r>
          </w:p>
        </w:tc>
      </w:tr>
      <w:tr>
        <w:trPr>
          <w:trHeight w:val="463"/>
        </w:trPr>
        <w:tc>
          <w:tcPr>
            <w:tcW w:w="540" w:type="dxa"/>
            <w:vAlign w:val="bottom"/>
          </w:tcPr>
          <w:p>
            <w:pPr>
              <w:spacing w:after="0"/>
              <w:rPr>
                <w:sz w:val="20"/>
                <w:szCs w:val="20"/>
                <w:color w:val="auto"/>
              </w:rPr>
            </w:pPr>
            <w:r>
              <w:rPr>
                <w:rFonts w:ascii="Arial" w:cs="Arial" w:eastAsia="Arial" w:hAnsi="Arial"/>
                <w:sz w:val="22"/>
                <w:szCs w:val="22"/>
                <w:color w:val="auto"/>
              </w:rPr>
              <w:t>3):</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$____</w:t>
            </w:r>
          </w:p>
        </w:tc>
        <w:tc>
          <w:tcPr>
            <w:tcW w:w="440" w:type="dxa"/>
            <w:vAlign w:val="bottom"/>
            <w:tcBorders>
              <w:bottom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44"/>
        </w:trPr>
        <w:tc>
          <w:tcPr>
            <w:tcW w:w="54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22"/>
                <w:szCs w:val="22"/>
                <w:color w:val="auto"/>
              </w:rPr>
              <w:t>C.</w:t>
            </w:r>
          </w:p>
        </w:tc>
        <w:tc>
          <w:tcPr>
            <w:tcW w:w="6920" w:type="dxa"/>
            <w:vAlign w:val="bottom"/>
            <w:gridSpan w:val="3"/>
          </w:tcPr>
          <w:p>
            <w:pPr>
              <w:ind w:left="100"/>
              <w:spacing w:after="0"/>
              <w:rPr>
                <w:sz w:val="20"/>
                <w:szCs w:val="20"/>
                <w:color w:val="auto"/>
              </w:rPr>
            </w:pPr>
            <w:r>
              <w:rPr>
                <w:rFonts w:ascii="Arial" w:cs="Arial" w:eastAsia="Arial" w:hAnsi="Arial"/>
                <w:sz w:val="22"/>
                <w:szCs w:val="22"/>
                <w:color w:val="auto"/>
              </w:rPr>
              <w:t>Consolidated Interest Coverage Ratio (Line II.A ÷ Line II.B):</w:t>
            </w:r>
          </w:p>
        </w:tc>
        <w:tc>
          <w:tcPr>
            <w:tcW w:w="3500" w:type="dxa"/>
            <w:vAlign w:val="bottom"/>
          </w:tcPr>
          <w:p>
            <w:pPr>
              <w:ind w:left="1100"/>
              <w:spacing w:after="0"/>
              <w:rPr>
                <w:sz w:val="20"/>
                <w:szCs w:val="20"/>
                <w:color w:val="auto"/>
              </w:rPr>
            </w:pPr>
            <w:r>
              <w:rPr>
                <w:rFonts w:ascii="Arial" w:cs="Arial" w:eastAsia="Arial" w:hAnsi="Arial"/>
                <w:sz w:val="22"/>
                <w:szCs w:val="22"/>
                <w:color w:val="auto"/>
              </w:rPr>
              <w:t>________ to 1</w:t>
            </w:r>
          </w:p>
        </w:tc>
      </w:tr>
    </w:tbl>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Minimum required: 3.0 to 1.0</w:t>
      </w:r>
    </w:p>
    <w:p>
      <w:pPr>
        <w:sectPr>
          <w:pgSz w:w="11900" w:h="16838" w:orient="portrait"/>
          <w:cols w:equalWidth="0" w:num="1">
            <w:col w:w="11420"/>
          </w:cols>
          <w:pgMar w:left="240" w:top="712" w:right="239" w:bottom="1440" w:gutter="0" w:footer="0" w:header="0"/>
        </w:sectPr>
      </w:pPr>
    </w:p>
    <w:bookmarkStart w:id="78" w:name="page79"/>
    <w:bookmarkEnd w:id="78"/>
    <w:p>
      <w:pPr>
        <w:ind w:left="3860"/>
        <w:spacing w:after="0"/>
        <w:rPr>
          <w:sz w:val="20"/>
          <w:szCs w:val="20"/>
          <w:color w:val="auto"/>
        </w:rPr>
      </w:pPr>
      <w:r>
        <w:rPr>
          <w:rFonts w:ascii="Arial" w:cs="Arial" w:eastAsia="Arial" w:hAnsi="Arial"/>
          <w:sz w:val="22"/>
          <w:szCs w:val="22"/>
          <w:color w:val="auto"/>
        </w:rPr>
        <w:t>For the Quarter/Year ended __________________</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SCHEDULE 2</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the Compliance Certificate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in 000’s)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EBITDA</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4600" w:type="dxa"/>
            <w:vAlign w:val="bottom"/>
            <w:tcBorders>
              <w:top w:val="single" w:sz="8" w:color="auto"/>
              <w:left w:val="single" w:sz="8" w:color="auto"/>
              <w:right w:val="single" w:sz="8" w:color="auto"/>
            </w:tcBorders>
            <w:vMerge w:val="restart"/>
            <w:shd w:val="clear" w:color="auto" w:fill="D9D9D9"/>
          </w:tcPr>
          <w:p>
            <w:pPr>
              <w:ind w:left="1220"/>
              <w:spacing w:after="0"/>
              <w:rPr>
                <w:sz w:val="20"/>
                <w:szCs w:val="20"/>
                <w:color w:val="auto"/>
              </w:rPr>
            </w:pPr>
            <w:r>
              <w:rPr>
                <w:rFonts w:ascii="Arial" w:cs="Arial" w:eastAsia="Arial" w:hAnsi="Arial"/>
                <w:sz w:val="18"/>
                <w:szCs w:val="18"/>
                <w:b w:val="1"/>
                <w:bCs w:val="1"/>
                <w:color w:val="auto"/>
              </w:rPr>
              <w:t>CONSOLIDATED EBITDA</w:t>
            </w:r>
          </w:p>
        </w:tc>
        <w:tc>
          <w:tcPr>
            <w:tcW w:w="28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260" w:type="dxa"/>
            <w:vAlign w:val="bottom"/>
            <w:tcBorders>
              <w:top w:val="single" w:sz="8" w:color="auto"/>
            </w:tcBorders>
            <w:shd w:val="clear" w:color="auto" w:fill="D9D9D9"/>
          </w:tcPr>
          <w:p>
            <w:pPr>
              <w:spacing w:after="0"/>
              <w:rPr>
                <w:sz w:val="24"/>
                <w:szCs w:val="24"/>
                <w:color w:val="auto"/>
              </w:rPr>
            </w:pPr>
          </w:p>
        </w:tc>
        <w:tc>
          <w:tcPr>
            <w:tcW w:w="820" w:type="dxa"/>
            <w:vAlign w:val="bottom"/>
            <w:tcBorders>
              <w:top w:val="single" w:sz="8" w:color="auto"/>
            </w:tcBorders>
            <w:shd w:val="clear" w:color="auto" w:fill="D9D9D9"/>
          </w:tcPr>
          <w:p>
            <w:pPr>
              <w:spacing w:after="0"/>
              <w:rPr>
                <w:sz w:val="24"/>
                <w:szCs w:val="24"/>
                <w:color w:val="auto"/>
              </w:rPr>
            </w:pPr>
          </w:p>
        </w:tc>
        <w:tc>
          <w:tcPr>
            <w:tcW w:w="280" w:type="dxa"/>
            <w:vAlign w:val="bottom"/>
            <w:tcBorders>
              <w:top w:val="single" w:sz="8" w:color="auto"/>
              <w:right w:val="single" w:sz="8" w:color="auto"/>
            </w:tcBorders>
            <w:shd w:val="clear" w:color="auto" w:fill="D9D9D9"/>
          </w:tcPr>
          <w:p>
            <w:pPr>
              <w:spacing w:after="0"/>
              <w:rPr>
                <w:sz w:val="24"/>
                <w:szCs w:val="24"/>
                <w:color w:val="auto"/>
              </w:rPr>
            </w:pPr>
          </w:p>
        </w:tc>
        <w:tc>
          <w:tcPr>
            <w:tcW w:w="28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26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1360" w:type="dxa"/>
            <w:vAlign w:val="bottom"/>
            <w:tcBorders>
              <w:top w:val="single" w:sz="8" w:color="auto"/>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color w:val="auto"/>
                <w:w w:val="91"/>
              </w:rPr>
              <w:t>Four Quarter</w:t>
            </w: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vMerge w:val="continue"/>
            <w:shd w:val="clear" w:color="auto" w:fill="D9D9D9"/>
          </w:tcPr>
          <w:p>
            <w:pPr>
              <w:spacing w:after="0"/>
              <w:rPr>
                <w:sz w:val="18"/>
                <w:szCs w:val="18"/>
                <w:color w:val="auto"/>
              </w:rPr>
            </w:pPr>
          </w:p>
        </w:tc>
        <w:tc>
          <w:tcPr>
            <w:tcW w:w="1380" w:type="dxa"/>
            <w:vAlign w:val="bottom"/>
            <w:tcBorders>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color w:val="auto"/>
                <w:w w:val="88"/>
              </w:rPr>
              <w:t>Quarter Ended</w:t>
            </w:r>
          </w:p>
        </w:tc>
        <w:tc>
          <w:tcPr>
            <w:tcW w:w="1360" w:type="dxa"/>
            <w:vAlign w:val="bottom"/>
            <w:tcBorders>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color w:val="auto"/>
                <w:w w:val="89"/>
              </w:rPr>
              <w:t>Quarter Ended</w:t>
            </w:r>
          </w:p>
        </w:tc>
        <w:tc>
          <w:tcPr>
            <w:tcW w:w="1380" w:type="dxa"/>
            <w:vAlign w:val="bottom"/>
            <w:tcBorders>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18"/>
                <w:szCs w:val="18"/>
                <w:color w:val="auto"/>
                <w:w w:val="89"/>
              </w:rPr>
              <w:t>Quarter Ended</w:t>
            </w:r>
          </w:p>
        </w:tc>
        <w:tc>
          <w:tcPr>
            <w:tcW w:w="1360" w:type="dxa"/>
            <w:vAlign w:val="bottom"/>
            <w:tcBorders>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18"/>
                <w:szCs w:val="18"/>
                <w:color w:val="auto"/>
                <w:w w:val="88"/>
              </w:rPr>
              <w:t>Quarter Ended</w:t>
            </w:r>
          </w:p>
        </w:tc>
        <w:tc>
          <w:tcPr>
            <w:tcW w:w="260" w:type="dxa"/>
            <w:vAlign w:val="bottom"/>
            <w:shd w:val="clear" w:color="auto" w:fill="D9D9D9"/>
          </w:tcPr>
          <w:p>
            <w:pPr>
              <w:spacing w:after="0"/>
              <w:rPr>
                <w:sz w:val="18"/>
                <w:szCs w:val="18"/>
                <w:color w:val="auto"/>
              </w:rPr>
            </w:pPr>
          </w:p>
        </w:tc>
        <w:tc>
          <w:tcPr>
            <w:tcW w:w="1100" w:type="dxa"/>
            <w:vAlign w:val="bottom"/>
            <w:tcBorders>
              <w:right w:val="single" w:sz="8" w:color="auto"/>
            </w:tcBorders>
            <w:gridSpan w:val="2"/>
            <w:shd w:val="clear" w:color="auto" w:fill="D9D9D9"/>
          </w:tcPr>
          <w:p>
            <w:pPr>
              <w:jc w:val="center"/>
              <w:ind w:right="300"/>
              <w:spacing w:after="0"/>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190"/>
        </w:trPr>
        <w:tc>
          <w:tcPr>
            <w:tcW w:w="4600" w:type="dxa"/>
            <w:vAlign w:val="bottom"/>
            <w:tcBorders>
              <w:left w:val="single" w:sz="8" w:color="auto"/>
              <w:right w:val="single" w:sz="8" w:color="auto"/>
            </w:tcBorders>
            <w:shd w:val="clear" w:color="auto" w:fill="D9D9D9"/>
          </w:tcPr>
          <w:p>
            <w:pPr>
              <w:ind w:left="200"/>
              <w:spacing w:after="0" w:line="190" w:lineRule="exact"/>
              <w:rPr>
                <w:sz w:val="20"/>
                <w:szCs w:val="20"/>
                <w:color w:val="auto"/>
              </w:rPr>
            </w:pPr>
            <w:r>
              <w:rPr>
                <w:rFonts w:ascii="Arial" w:cs="Arial" w:eastAsia="Arial" w:hAnsi="Arial"/>
                <w:sz w:val="18"/>
                <w:szCs w:val="18"/>
                <w:color w:val="auto"/>
                <w:w w:val="94"/>
              </w:rPr>
              <w:t>(for Holdings and its Subsidiaries on a consolidated basis)</w:t>
            </w:r>
          </w:p>
        </w:tc>
        <w:tc>
          <w:tcPr>
            <w:tcW w:w="1380" w:type="dxa"/>
            <w:vAlign w:val="bottom"/>
            <w:tcBorders>
              <w:right w:val="single" w:sz="8" w:color="auto"/>
            </w:tcBorders>
            <w:gridSpan w:val="3"/>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1360" w:type="dxa"/>
            <w:vAlign w:val="bottom"/>
            <w:tcBorders>
              <w:right w:val="single" w:sz="8" w:color="auto"/>
            </w:tcBorders>
            <w:gridSpan w:val="3"/>
            <w:shd w:val="clear" w:color="auto" w:fill="D9D9D9"/>
          </w:tcPr>
          <w:p>
            <w:pPr>
              <w:jc w:val="right"/>
              <w:ind w:right="280"/>
              <w:spacing w:after="0" w:line="190" w:lineRule="exact"/>
              <w:rPr>
                <w:sz w:val="20"/>
                <w:szCs w:val="20"/>
                <w:color w:val="auto"/>
              </w:rPr>
            </w:pPr>
            <w:r>
              <w:rPr>
                <w:rFonts w:ascii="Arial" w:cs="Arial" w:eastAsia="Arial" w:hAnsi="Arial"/>
                <w:sz w:val="18"/>
                <w:szCs w:val="18"/>
                <w:color w:val="auto"/>
              </w:rPr>
              <w:t>_________</w:t>
            </w:r>
          </w:p>
        </w:tc>
        <w:tc>
          <w:tcPr>
            <w:tcW w:w="1380" w:type="dxa"/>
            <w:vAlign w:val="bottom"/>
            <w:tcBorders>
              <w:right w:val="single" w:sz="8" w:color="auto"/>
            </w:tcBorders>
            <w:gridSpan w:val="3"/>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1360" w:type="dxa"/>
            <w:vAlign w:val="bottom"/>
            <w:tcBorders>
              <w:right w:val="single" w:sz="8" w:color="auto"/>
            </w:tcBorders>
            <w:gridSpan w:val="3"/>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260" w:type="dxa"/>
            <w:vAlign w:val="bottom"/>
            <w:shd w:val="clear" w:color="auto" w:fill="D9D9D9"/>
          </w:tcPr>
          <w:p>
            <w:pPr>
              <w:spacing w:after="0"/>
              <w:rPr>
                <w:sz w:val="16"/>
                <w:szCs w:val="16"/>
                <w:color w:val="auto"/>
              </w:rPr>
            </w:pPr>
          </w:p>
        </w:tc>
        <w:tc>
          <w:tcPr>
            <w:tcW w:w="1100" w:type="dxa"/>
            <w:vAlign w:val="bottom"/>
            <w:tcBorders>
              <w:right w:val="single" w:sz="8" w:color="auto"/>
            </w:tcBorders>
            <w:gridSpan w:val="2"/>
            <w:shd w:val="clear" w:color="auto" w:fill="D9D9D9"/>
          </w:tcPr>
          <w:p>
            <w:pPr>
              <w:jc w:val="center"/>
              <w:ind w:right="280"/>
              <w:spacing w:after="0" w:line="190" w:lineRule="exact"/>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196"/>
        </w:trPr>
        <w:tc>
          <w:tcPr>
            <w:tcW w:w="4600" w:type="dxa"/>
            <w:vAlign w:val="bottom"/>
            <w:tcBorders>
              <w:top w:val="single" w:sz="8" w:color="D9D9D9"/>
              <w:left w:val="single" w:sz="8" w:color="auto"/>
              <w:right w:val="single" w:sz="8" w:color="auto"/>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D9D9D9"/>
              <w:right w:val="single" w:sz="8" w:color="auto"/>
            </w:tcBorders>
            <w:shd w:val="clear" w:color="auto" w:fill="D9D9D9"/>
          </w:tcPr>
          <w:p>
            <w:pPr>
              <w:spacing w:after="0"/>
              <w:rPr>
                <w:sz w:val="17"/>
                <w:szCs w:val="17"/>
                <w:color w:val="auto"/>
              </w:rPr>
            </w:pPr>
          </w:p>
        </w:tc>
        <w:tc>
          <w:tcPr>
            <w:tcW w:w="260" w:type="dxa"/>
            <w:vAlign w:val="bottom"/>
            <w:tcBorders>
              <w:top w:val="single" w:sz="8" w:color="D9D9D9"/>
            </w:tcBorders>
            <w:shd w:val="clear" w:color="auto" w:fill="D9D9D9"/>
          </w:tcPr>
          <w:p>
            <w:pPr>
              <w:spacing w:after="0"/>
              <w:rPr>
                <w:sz w:val="17"/>
                <w:szCs w:val="17"/>
                <w:color w:val="auto"/>
              </w:rPr>
            </w:pPr>
          </w:p>
        </w:tc>
        <w:tc>
          <w:tcPr>
            <w:tcW w:w="820" w:type="dxa"/>
            <w:vAlign w:val="bottom"/>
            <w:tcBorders>
              <w:top w:val="single" w:sz="8" w:color="auto"/>
            </w:tcBorders>
            <w:shd w:val="clear" w:color="auto" w:fill="D9D9D9"/>
          </w:tcPr>
          <w:p>
            <w:pPr>
              <w:spacing w:after="0"/>
              <w:rPr>
                <w:sz w:val="17"/>
                <w:szCs w:val="17"/>
                <w:color w:val="auto"/>
              </w:rPr>
            </w:pPr>
          </w:p>
        </w:tc>
        <w:tc>
          <w:tcPr>
            <w:tcW w:w="280" w:type="dxa"/>
            <w:vAlign w:val="bottom"/>
            <w:tcBorders>
              <w:top w:val="single" w:sz="8" w:color="D9D9D9"/>
              <w:right w:val="single" w:sz="8" w:color="auto"/>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D9D9D9"/>
              <w:right w:val="single" w:sz="8" w:color="auto"/>
            </w:tcBorders>
            <w:shd w:val="clear" w:color="auto" w:fill="D9D9D9"/>
          </w:tcPr>
          <w:p>
            <w:pPr>
              <w:spacing w:after="0"/>
              <w:rPr>
                <w:sz w:val="17"/>
                <w:szCs w:val="17"/>
                <w:color w:val="auto"/>
              </w:rPr>
            </w:pPr>
          </w:p>
        </w:tc>
        <w:tc>
          <w:tcPr>
            <w:tcW w:w="260" w:type="dxa"/>
            <w:vAlign w:val="bottom"/>
            <w:tcBorders>
              <w:top w:val="single" w:sz="8" w:color="D9D9D9"/>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D9D9D9"/>
              <w:right w:val="single" w:sz="8" w:color="auto"/>
            </w:tcBorders>
            <w:shd w:val="clear" w:color="auto" w:fill="D9D9D9"/>
          </w:tcPr>
          <w:p>
            <w:pPr>
              <w:spacing w:after="0"/>
              <w:rPr>
                <w:sz w:val="17"/>
                <w:szCs w:val="17"/>
                <w:color w:val="auto"/>
              </w:rPr>
            </w:pPr>
          </w:p>
        </w:tc>
        <w:tc>
          <w:tcPr>
            <w:tcW w:w="1360" w:type="dxa"/>
            <w:vAlign w:val="bottom"/>
            <w:tcBorders>
              <w:top w:val="single" w:sz="8" w:color="D9D9D9"/>
              <w:right w:val="single" w:sz="8" w:color="auto"/>
            </w:tcBorders>
            <w:gridSpan w:val="3"/>
            <w:shd w:val="clear" w:color="auto" w:fill="D9D9D9"/>
          </w:tcPr>
          <w:p>
            <w:pPr>
              <w:jc w:val="center"/>
              <w:ind w:right="40"/>
              <w:spacing w:after="0" w:line="196" w:lineRule="exact"/>
              <w:rPr>
                <w:sz w:val="20"/>
                <w:szCs w:val="20"/>
                <w:color w:val="auto"/>
              </w:rPr>
            </w:pPr>
            <w:r>
              <w:rPr>
                <w:rFonts w:ascii="Arial" w:cs="Arial" w:eastAsia="Arial" w:hAnsi="Arial"/>
                <w:sz w:val="18"/>
                <w:szCs w:val="18"/>
                <w:color w:val="auto"/>
                <w:w w:val="88"/>
              </w:rPr>
              <w:t>_________</w:t>
            </w:r>
          </w:p>
        </w:tc>
        <w:tc>
          <w:tcPr>
            <w:tcW w:w="0" w:type="dxa"/>
            <w:vAlign w:val="bottom"/>
          </w:tcPr>
          <w:p>
            <w:pPr>
              <w:spacing w:after="0"/>
              <w:rPr>
                <w:sz w:val="1"/>
                <w:szCs w:val="1"/>
                <w:color w:val="auto"/>
              </w:rPr>
            </w:pPr>
          </w:p>
        </w:tc>
      </w:tr>
      <w:tr>
        <w:trPr>
          <w:trHeight w:val="264"/>
        </w:trPr>
        <w:tc>
          <w:tcPr>
            <w:tcW w:w="4600" w:type="dxa"/>
            <w:vAlign w:val="bottom"/>
            <w:tcBorders>
              <w:top w:val="single" w:sz="8" w:color="D9D9D9"/>
              <w:left w:val="single" w:sz="8" w:color="auto"/>
              <w:bottom w:val="single" w:sz="8" w:color="auto"/>
              <w:right w:val="single" w:sz="8" w:color="auto"/>
            </w:tcBorders>
            <w:shd w:val="clear" w:color="auto" w:fill="D9D9D9"/>
          </w:tcPr>
          <w:p>
            <w:pPr>
              <w:spacing w:after="0"/>
              <w:rPr>
                <w:sz w:val="22"/>
                <w:szCs w:val="22"/>
                <w:color w:val="auto"/>
              </w:rPr>
            </w:pPr>
          </w:p>
        </w:tc>
        <w:tc>
          <w:tcPr>
            <w:tcW w:w="28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auto"/>
            </w:tcBorders>
            <w:shd w:val="clear" w:color="auto" w:fill="D9D9D9"/>
          </w:tcPr>
          <w:p>
            <w:pPr>
              <w:spacing w:after="0"/>
              <w:rPr>
                <w:sz w:val="22"/>
                <w:szCs w:val="22"/>
                <w:color w:val="auto"/>
              </w:rPr>
            </w:pPr>
          </w:p>
        </w:tc>
        <w:tc>
          <w:tcPr>
            <w:tcW w:w="820" w:type="dxa"/>
            <w:vAlign w:val="bottom"/>
            <w:tcBorders>
              <w:top w:val="single" w:sz="8" w:color="D9D9D9"/>
              <w:bottom w:val="single" w:sz="8" w:color="auto"/>
            </w:tcBorders>
            <w:shd w:val="clear" w:color="auto" w:fill="D9D9D9"/>
          </w:tcPr>
          <w:p>
            <w:pPr>
              <w:spacing w:after="0"/>
              <w:rPr>
                <w:sz w:val="22"/>
                <w:szCs w:val="22"/>
                <w:color w:val="auto"/>
              </w:rPr>
            </w:pPr>
          </w:p>
        </w:tc>
        <w:tc>
          <w:tcPr>
            <w:tcW w:w="28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8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auto"/>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Income/Loss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depreciation expense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2"/>
              </w:rPr>
              <w:t xml:space="preserve">plus </w:t>
            </w:r>
            <w:r>
              <w:rPr>
                <w:rFonts w:ascii="Arial" w:cs="Arial" w:eastAsia="Arial" w:hAnsi="Arial"/>
                <w:sz w:val="18"/>
                <w:szCs w:val="18"/>
                <w:color w:val="auto"/>
                <w:w w:val="92"/>
              </w:rPr>
              <w:t>amortization expense (including amortization of deferred</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financing fees and other original issue discount and banking</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fees, charges and commissions (such as letter of credit fees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commitment fees))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Borders>
              <w:left w:val="single" w:sz="8" w:color="auto"/>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extraordinary losses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 xml:space="preserve">plus </w:t>
            </w:r>
            <w:r>
              <w:rPr>
                <w:rFonts w:ascii="Arial" w:cs="Arial" w:eastAsia="Arial" w:hAnsi="Arial"/>
                <w:sz w:val="18"/>
                <w:szCs w:val="18"/>
                <w:color w:val="auto"/>
                <w:w w:val="99"/>
              </w:rPr>
              <w:t>other non-cash items reducing net income (including</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impairment charges but excluding any such non-cash item to</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extent it represents an accrual of or reserve for cash</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expenditures in any future period, provided, however, that all</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cash and non-cash charges and expenses with respect to the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Seagate Arbitration shall be added back to Consolidated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EBITDA to the extent that the aggregate amount of all such</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charges and expenses do not exceed 110% of the aggregate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amount recorded by Holdings as an accrual in connection with</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Seagate Arbitration through and including the fiscal</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quarter ended September 27, 2013 identified in its Quarterly</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Report on Form 10-Q as originally filed with the SEC on</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October 29, 2013)</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2"/>
              </w:rPr>
              <w:t xml:space="preserve">plus </w:t>
            </w:r>
            <w:r>
              <w:rPr>
                <w:rFonts w:ascii="Arial" w:cs="Arial" w:eastAsia="Arial" w:hAnsi="Arial"/>
                <w:sz w:val="18"/>
                <w:szCs w:val="18"/>
                <w:color w:val="auto"/>
                <w:w w:val="92"/>
              </w:rPr>
              <w:t>any expenses or charges incurred in connection with any</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issuance of debt or equity securities (including upfront fees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payable in respect of bank facilities)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2" w:right="219" w:bottom="1440" w:gutter="0" w:footer="0" w:header="0"/>
        </w:sectPr>
      </w:pPr>
    </w:p>
    <w:bookmarkStart w:id="79" w:name="page80"/>
    <w:bookmarkEnd w:id="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4600" w:type="dxa"/>
            <w:vAlign w:val="bottom"/>
            <w:tcBorders>
              <w:top w:val="single" w:sz="8" w:color="auto"/>
              <w:left w:val="single" w:sz="8" w:color="auto"/>
              <w:right w:val="single" w:sz="8" w:color="auto"/>
            </w:tcBorders>
            <w:vMerge w:val="restart"/>
            <w:shd w:val="clear" w:color="auto" w:fill="D9D9D9"/>
          </w:tcPr>
          <w:p>
            <w:pPr>
              <w:ind w:left="1220"/>
              <w:spacing w:after="0"/>
              <w:rPr>
                <w:sz w:val="20"/>
                <w:szCs w:val="20"/>
                <w:color w:val="auto"/>
              </w:rPr>
            </w:pPr>
            <w:r>
              <w:rPr>
                <w:rFonts w:ascii="Arial" w:cs="Arial" w:eastAsia="Arial" w:hAnsi="Arial"/>
                <w:sz w:val="18"/>
                <w:szCs w:val="18"/>
                <w:b w:val="1"/>
                <w:bCs w:val="1"/>
                <w:color w:val="auto"/>
              </w:rPr>
              <w:t>CONSOLIDATED EBITDA</w:t>
            </w:r>
          </w:p>
        </w:tc>
        <w:tc>
          <w:tcPr>
            <w:tcW w:w="28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260" w:type="dxa"/>
            <w:vAlign w:val="bottom"/>
            <w:tcBorders>
              <w:top w:val="single" w:sz="8" w:color="auto"/>
            </w:tcBorders>
            <w:shd w:val="clear" w:color="auto" w:fill="D9D9D9"/>
          </w:tcPr>
          <w:p>
            <w:pPr>
              <w:spacing w:after="0"/>
              <w:rPr>
                <w:sz w:val="24"/>
                <w:szCs w:val="24"/>
                <w:color w:val="auto"/>
              </w:rPr>
            </w:pPr>
          </w:p>
        </w:tc>
        <w:tc>
          <w:tcPr>
            <w:tcW w:w="820" w:type="dxa"/>
            <w:vAlign w:val="bottom"/>
            <w:tcBorders>
              <w:top w:val="single" w:sz="8" w:color="auto"/>
            </w:tcBorders>
            <w:shd w:val="clear" w:color="auto" w:fill="D9D9D9"/>
          </w:tcPr>
          <w:p>
            <w:pPr>
              <w:spacing w:after="0"/>
              <w:rPr>
                <w:sz w:val="24"/>
                <w:szCs w:val="24"/>
                <w:color w:val="auto"/>
              </w:rPr>
            </w:pPr>
          </w:p>
        </w:tc>
        <w:tc>
          <w:tcPr>
            <w:tcW w:w="280" w:type="dxa"/>
            <w:vAlign w:val="bottom"/>
            <w:tcBorders>
              <w:top w:val="single" w:sz="8" w:color="auto"/>
              <w:right w:val="single" w:sz="8" w:color="auto"/>
            </w:tcBorders>
            <w:shd w:val="clear" w:color="auto" w:fill="D9D9D9"/>
          </w:tcPr>
          <w:p>
            <w:pPr>
              <w:spacing w:after="0"/>
              <w:rPr>
                <w:sz w:val="24"/>
                <w:szCs w:val="24"/>
                <w:color w:val="auto"/>
              </w:rPr>
            </w:pPr>
          </w:p>
        </w:tc>
        <w:tc>
          <w:tcPr>
            <w:tcW w:w="28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26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1360" w:type="dxa"/>
            <w:vAlign w:val="bottom"/>
            <w:tcBorders>
              <w:top w:val="single" w:sz="8" w:color="auto"/>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color w:val="auto"/>
                <w:w w:val="91"/>
              </w:rPr>
              <w:t>Four Quarter</w:t>
            </w: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vMerge w:val="continue"/>
            <w:shd w:val="clear" w:color="auto" w:fill="D9D9D9"/>
          </w:tcPr>
          <w:p>
            <w:pPr>
              <w:spacing w:after="0"/>
              <w:rPr>
                <w:sz w:val="18"/>
                <w:szCs w:val="18"/>
                <w:color w:val="auto"/>
              </w:rPr>
            </w:pPr>
          </w:p>
        </w:tc>
        <w:tc>
          <w:tcPr>
            <w:tcW w:w="1380" w:type="dxa"/>
            <w:vAlign w:val="bottom"/>
            <w:tcBorders>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color w:val="auto"/>
                <w:w w:val="88"/>
              </w:rPr>
              <w:t>Quarter Ended</w:t>
            </w:r>
          </w:p>
        </w:tc>
        <w:tc>
          <w:tcPr>
            <w:tcW w:w="1360" w:type="dxa"/>
            <w:vAlign w:val="bottom"/>
            <w:tcBorders>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color w:val="auto"/>
                <w:w w:val="89"/>
              </w:rPr>
              <w:t>Quarter Ended</w:t>
            </w:r>
          </w:p>
        </w:tc>
        <w:tc>
          <w:tcPr>
            <w:tcW w:w="1380" w:type="dxa"/>
            <w:vAlign w:val="bottom"/>
            <w:tcBorders>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18"/>
                <w:szCs w:val="18"/>
                <w:color w:val="auto"/>
                <w:w w:val="89"/>
              </w:rPr>
              <w:t>Quarter Ended</w:t>
            </w:r>
          </w:p>
        </w:tc>
        <w:tc>
          <w:tcPr>
            <w:tcW w:w="1360" w:type="dxa"/>
            <w:vAlign w:val="bottom"/>
            <w:tcBorders>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18"/>
                <w:szCs w:val="18"/>
                <w:color w:val="auto"/>
                <w:w w:val="88"/>
              </w:rPr>
              <w:t>Quarter Ended</w:t>
            </w:r>
          </w:p>
        </w:tc>
        <w:tc>
          <w:tcPr>
            <w:tcW w:w="260" w:type="dxa"/>
            <w:vAlign w:val="bottom"/>
            <w:shd w:val="clear" w:color="auto" w:fill="D9D9D9"/>
          </w:tcPr>
          <w:p>
            <w:pPr>
              <w:spacing w:after="0"/>
              <w:rPr>
                <w:sz w:val="18"/>
                <w:szCs w:val="18"/>
                <w:color w:val="auto"/>
              </w:rPr>
            </w:pPr>
          </w:p>
        </w:tc>
        <w:tc>
          <w:tcPr>
            <w:tcW w:w="1100" w:type="dxa"/>
            <w:vAlign w:val="bottom"/>
            <w:tcBorders>
              <w:right w:val="single" w:sz="8" w:color="auto"/>
            </w:tcBorders>
            <w:gridSpan w:val="2"/>
            <w:shd w:val="clear" w:color="auto" w:fill="D9D9D9"/>
          </w:tcPr>
          <w:p>
            <w:pPr>
              <w:jc w:val="center"/>
              <w:ind w:right="300"/>
              <w:spacing w:after="0"/>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190"/>
        </w:trPr>
        <w:tc>
          <w:tcPr>
            <w:tcW w:w="4600" w:type="dxa"/>
            <w:vAlign w:val="bottom"/>
            <w:tcBorders>
              <w:left w:val="single" w:sz="8" w:color="auto"/>
              <w:right w:val="single" w:sz="8" w:color="auto"/>
            </w:tcBorders>
            <w:shd w:val="clear" w:color="auto" w:fill="D9D9D9"/>
          </w:tcPr>
          <w:p>
            <w:pPr>
              <w:ind w:left="200"/>
              <w:spacing w:after="0" w:line="190" w:lineRule="exact"/>
              <w:rPr>
                <w:sz w:val="20"/>
                <w:szCs w:val="20"/>
                <w:color w:val="auto"/>
              </w:rPr>
            </w:pPr>
            <w:r>
              <w:rPr>
                <w:rFonts w:ascii="Arial" w:cs="Arial" w:eastAsia="Arial" w:hAnsi="Arial"/>
                <w:sz w:val="18"/>
                <w:szCs w:val="18"/>
                <w:color w:val="auto"/>
                <w:w w:val="94"/>
              </w:rPr>
              <w:t>(for Holdings and its Subsidiaries on a consolidated basis)</w:t>
            </w:r>
          </w:p>
        </w:tc>
        <w:tc>
          <w:tcPr>
            <w:tcW w:w="1380" w:type="dxa"/>
            <w:vAlign w:val="bottom"/>
            <w:tcBorders>
              <w:right w:val="single" w:sz="8" w:color="auto"/>
            </w:tcBorders>
            <w:gridSpan w:val="3"/>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1360" w:type="dxa"/>
            <w:vAlign w:val="bottom"/>
            <w:tcBorders>
              <w:right w:val="single" w:sz="8" w:color="auto"/>
            </w:tcBorders>
            <w:gridSpan w:val="3"/>
            <w:shd w:val="clear" w:color="auto" w:fill="D9D9D9"/>
          </w:tcPr>
          <w:p>
            <w:pPr>
              <w:jc w:val="right"/>
              <w:ind w:right="280"/>
              <w:spacing w:after="0" w:line="190" w:lineRule="exact"/>
              <w:rPr>
                <w:sz w:val="20"/>
                <w:szCs w:val="20"/>
                <w:color w:val="auto"/>
              </w:rPr>
            </w:pPr>
            <w:r>
              <w:rPr>
                <w:rFonts w:ascii="Arial" w:cs="Arial" w:eastAsia="Arial" w:hAnsi="Arial"/>
                <w:sz w:val="18"/>
                <w:szCs w:val="18"/>
                <w:color w:val="auto"/>
              </w:rPr>
              <w:t>_________</w:t>
            </w:r>
          </w:p>
        </w:tc>
        <w:tc>
          <w:tcPr>
            <w:tcW w:w="1380" w:type="dxa"/>
            <w:vAlign w:val="bottom"/>
            <w:tcBorders>
              <w:right w:val="single" w:sz="8" w:color="auto"/>
            </w:tcBorders>
            <w:gridSpan w:val="3"/>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1360" w:type="dxa"/>
            <w:vAlign w:val="bottom"/>
            <w:tcBorders>
              <w:right w:val="single" w:sz="8" w:color="auto"/>
            </w:tcBorders>
            <w:gridSpan w:val="3"/>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260" w:type="dxa"/>
            <w:vAlign w:val="bottom"/>
            <w:shd w:val="clear" w:color="auto" w:fill="D9D9D9"/>
          </w:tcPr>
          <w:p>
            <w:pPr>
              <w:spacing w:after="0"/>
              <w:rPr>
                <w:sz w:val="16"/>
                <w:szCs w:val="16"/>
                <w:color w:val="auto"/>
              </w:rPr>
            </w:pPr>
          </w:p>
        </w:tc>
        <w:tc>
          <w:tcPr>
            <w:tcW w:w="1100" w:type="dxa"/>
            <w:vAlign w:val="bottom"/>
            <w:tcBorders>
              <w:right w:val="single" w:sz="8" w:color="auto"/>
            </w:tcBorders>
            <w:gridSpan w:val="2"/>
            <w:shd w:val="clear" w:color="auto" w:fill="D9D9D9"/>
          </w:tcPr>
          <w:p>
            <w:pPr>
              <w:jc w:val="center"/>
              <w:ind w:right="280"/>
              <w:spacing w:after="0" w:line="190" w:lineRule="exact"/>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196"/>
        </w:trPr>
        <w:tc>
          <w:tcPr>
            <w:tcW w:w="4600" w:type="dxa"/>
            <w:vAlign w:val="bottom"/>
            <w:tcBorders>
              <w:top w:val="single" w:sz="8" w:color="D9D9D9"/>
              <w:left w:val="single" w:sz="8" w:color="auto"/>
              <w:right w:val="single" w:sz="8" w:color="auto"/>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D9D9D9"/>
              <w:right w:val="single" w:sz="8" w:color="auto"/>
            </w:tcBorders>
            <w:shd w:val="clear" w:color="auto" w:fill="D9D9D9"/>
          </w:tcPr>
          <w:p>
            <w:pPr>
              <w:spacing w:after="0"/>
              <w:rPr>
                <w:sz w:val="17"/>
                <w:szCs w:val="17"/>
                <w:color w:val="auto"/>
              </w:rPr>
            </w:pPr>
          </w:p>
        </w:tc>
        <w:tc>
          <w:tcPr>
            <w:tcW w:w="260" w:type="dxa"/>
            <w:vAlign w:val="bottom"/>
            <w:tcBorders>
              <w:top w:val="single" w:sz="8" w:color="D9D9D9"/>
            </w:tcBorders>
            <w:shd w:val="clear" w:color="auto" w:fill="D9D9D9"/>
          </w:tcPr>
          <w:p>
            <w:pPr>
              <w:spacing w:after="0"/>
              <w:rPr>
                <w:sz w:val="17"/>
                <w:szCs w:val="17"/>
                <w:color w:val="auto"/>
              </w:rPr>
            </w:pPr>
          </w:p>
        </w:tc>
        <w:tc>
          <w:tcPr>
            <w:tcW w:w="820" w:type="dxa"/>
            <w:vAlign w:val="bottom"/>
            <w:tcBorders>
              <w:top w:val="single" w:sz="8" w:color="auto"/>
            </w:tcBorders>
            <w:shd w:val="clear" w:color="auto" w:fill="D9D9D9"/>
          </w:tcPr>
          <w:p>
            <w:pPr>
              <w:spacing w:after="0"/>
              <w:rPr>
                <w:sz w:val="17"/>
                <w:szCs w:val="17"/>
                <w:color w:val="auto"/>
              </w:rPr>
            </w:pPr>
          </w:p>
        </w:tc>
        <w:tc>
          <w:tcPr>
            <w:tcW w:w="280" w:type="dxa"/>
            <w:vAlign w:val="bottom"/>
            <w:tcBorders>
              <w:top w:val="single" w:sz="8" w:color="D9D9D9"/>
              <w:right w:val="single" w:sz="8" w:color="auto"/>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D9D9D9"/>
              <w:right w:val="single" w:sz="8" w:color="auto"/>
            </w:tcBorders>
            <w:shd w:val="clear" w:color="auto" w:fill="D9D9D9"/>
          </w:tcPr>
          <w:p>
            <w:pPr>
              <w:spacing w:after="0"/>
              <w:rPr>
                <w:sz w:val="17"/>
                <w:szCs w:val="17"/>
                <w:color w:val="auto"/>
              </w:rPr>
            </w:pPr>
          </w:p>
        </w:tc>
        <w:tc>
          <w:tcPr>
            <w:tcW w:w="260" w:type="dxa"/>
            <w:vAlign w:val="bottom"/>
            <w:tcBorders>
              <w:top w:val="single" w:sz="8" w:color="D9D9D9"/>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D9D9D9"/>
              <w:right w:val="single" w:sz="8" w:color="auto"/>
            </w:tcBorders>
            <w:shd w:val="clear" w:color="auto" w:fill="D9D9D9"/>
          </w:tcPr>
          <w:p>
            <w:pPr>
              <w:spacing w:after="0"/>
              <w:rPr>
                <w:sz w:val="17"/>
                <w:szCs w:val="17"/>
                <w:color w:val="auto"/>
              </w:rPr>
            </w:pPr>
          </w:p>
        </w:tc>
        <w:tc>
          <w:tcPr>
            <w:tcW w:w="1360" w:type="dxa"/>
            <w:vAlign w:val="bottom"/>
            <w:tcBorders>
              <w:top w:val="single" w:sz="8" w:color="D9D9D9"/>
              <w:right w:val="single" w:sz="8" w:color="auto"/>
            </w:tcBorders>
            <w:gridSpan w:val="3"/>
            <w:shd w:val="clear" w:color="auto" w:fill="D9D9D9"/>
          </w:tcPr>
          <w:p>
            <w:pPr>
              <w:jc w:val="center"/>
              <w:ind w:right="40"/>
              <w:spacing w:after="0" w:line="196" w:lineRule="exact"/>
              <w:rPr>
                <w:sz w:val="20"/>
                <w:szCs w:val="20"/>
                <w:color w:val="auto"/>
              </w:rPr>
            </w:pPr>
            <w:r>
              <w:rPr>
                <w:rFonts w:ascii="Arial" w:cs="Arial" w:eastAsia="Arial" w:hAnsi="Arial"/>
                <w:sz w:val="18"/>
                <w:szCs w:val="18"/>
                <w:color w:val="auto"/>
                <w:w w:val="88"/>
              </w:rPr>
              <w:t>_________</w:t>
            </w:r>
          </w:p>
        </w:tc>
        <w:tc>
          <w:tcPr>
            <w:tcW w:w="0" w:type="dxa"/>
            <w:vAlign w:val="bottom"/>
          </w:tcPr>
          <w:p>
            <w:pPr>
              <w:spacing w:after="0"/>
              <w:rPr>
                <w:sz w:val="1"/>
                <w:szCs w:val="1"/>
                <w:color w:val="auto"/>
              </w:rPr>
            </w:pPr>
          </w:p>
        </w:tc>
      </w:tr>
      <w:tr>
        <w:trPr>
          <w:trHeight w:val="264"/>
        </w:trPr>
        <w:tc>
          <w:tcPr>
            <w:tcW w:w="4600" w:type="dxa"/>
            <w:vAlign w:val="bottom"/>
            <w:tcBorders>
              <w:top w:val="single" w:sz="8" w:color="D9D9D9"/>
              <w:left w:val="single" w:sz="8" w:color="auto"/>
              <w:bottom w:val="single" w:sz="8" w:color="auto"/>
              <w:right w:val="single" w:sz="8" w:color="auto"/>
            </w:tcBorders>
            <w:shd w:val="clear" w:color="auto" w:fill="D9D9D9"/>
          </w:tcPr>
          <w:p>
            <w:pPr>
              <w:spacing w:after="0"/>
              <w:rPr>
                <w:sz w:val="22"/>
                <w:szCs w:val="22"/>
                <w:color w:val="auto"/>
              </w:rPr>
            </w:pPr>
          </w:p>
        </w:tc>
        <w:tc>
          <w:tcPr>
            <w:tcW w:w="28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auto"/>
            </w:tcBorders>
            <w:shd w:val="clear" w:color="auto" w:fill="D9D9D9"/>
          </w:tcPr>
          <w:p>
            <w:pPr>
              <w:spacing w:after="0"/>
              <w:rPr>
                <w:sz w:val="22"/>
                <w:szCs w:val="22"/>
                <w:color w:val="auto"/>
              </w:rPr>
            </w:pPr>
          </w:p>
        </w:tc>
        <w:tc>
          <w:tcPr>
            <w:tcW w:w="820" w:type="dxa"/>
            <w:vAlign w:val="bottom"/>
            <w:tcBorders>
              <w:top w:val="single" w:sz="8" w:color="D9D9D9"/>
              <w:bottom w:val="single" w:sz="8" w:color="auto"/>
            </w:tcBorders>
            <w:shd w:val="clear" w:color="auto" w:fill="D9D9D9"/>
          </w:tcPr>
          <w:p>
            <w:pPr>
              <w:spacing w:after="0"/>
              <w:rPr>
                <w:sz w:val="22"/>
                <w:szCs w:val="22"/>
                <w:color w:val="auto"/>
              </w:rPr>
            </w:pPr>
          </w:p>
        </w:tc>
        <w:tc>
          <w:tcPr>
            <w:tcW w:w="28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8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D9D9D9"/>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260" w:type="dxa"/>
            <w:vAlign w:val="bottom"/>
            <w:tcBorders>
              <w:top w:val="single" w:sz="8" w:color="D9D9D9"/>
              <w:bottom w:val="single" w:sz="8" w:color="auto"/>
            </w:tcBorders>
            <w:shd w:val="clear" w:color="auto" w:fill="D9D9D9"/>
          </w:tcPr>
          <w:p>
            <w:pPr>
              <w:spacing w:after="0"/>
              <w:rPr>
                <w:sz w:val="22"/>
                <w:szCs w:val="22"/>
                <w:color w:val="auto"/>
              </w:rPr>
            </w:pPr>
          </w:p>
        </w:tc>
        <w:tc>
          <w:tcPr>
            <w:tcW w:w="800" w:type="dxa"/>
            <w:vAlign w:val="bottom"/>
            <w:tcBorders>
              <w:top w:val="single" w:sz="8" w:color="auto"/>
              <w:bottom w:val="single" w:sz="8" w:color="auto"/>
            </w:tcBorders>
            <w:shd w:val="clear" w:color="auto" w:fill="D9D9D9"/>
          </w:tcPr>
          <w:p>
            <w:pPr>
              <w:spacing w:after="0"/>
              <w:rPr>
                <w:sz w:val="22"/>
                <w:szCs w:val="22"/>
                <w:color w:val="auto"/>
              </w:rPr>
            </w:pPr>
          </w:p>
        </w:tc>
        <w:tc>
          <w:tcPr>
            <w:tcW w:w="30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any fees and expenses related to acquisitions and</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investments permitted under the Credit Agreement (whether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or not any such transaction is consummated) or acquisitions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consummated prior to the Closing Date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8"/>
              </w:rPr>
              <w:t xml:space="preserve">plus </w:t>
            </w:r>
            <w:r>
              <w:rPr>
                <w:rFonts w:ascii="Arial" w:cs="Arial" w:eastAsia="Arial" w:hAnsi="Arial"/>
                <w:sz w:val="18"/>
                <w:szCs w:val="18"/>
                <w:color w:val="auto"/>
                <w:w w:val="98"/>
              </w:rPr>
              <w:t>restructuring charges, reserves, severance and other</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transformational charges and other non-recurring or unusual</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expenses not to exceed, in any period of four consecutive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fiscal quarters, an aggregate amount equal to the greater of</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$250,000,000 and 10% of Consolidated EBITDA for such</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period (calculated prior to giving effect to any add-back</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pursuant to this clause)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 xml:space="preserve">plus </w:t>
            </w:r>
            <w:r>
              <w:rPr>
                <w:rFonts w:ascii="Arial" w:cs="Arial" w:eastAsia="Arial" w:hAnsi="Arial"/>
                <w:sz w:val="18"/>
                <w:szCs w:val="18"/>
                <w:color w:val="auto"/>
                <w:w w:val="94"/>
              </w:rPr>
              <w:t>unrealized losses in respect of Hedge Agreements (but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adding any realized losses to the extent not deducted in</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calculating such net income (or net loss))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extraordinary gains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 xml:space="preserve">minus </w:t>
            </w:r>
            <w:r>
              <w:rPr>
                <w:rFonts w:ascii="Arial" w:cs="Arial" w:eastAsia="Arial" w:hAnsi="Arial"/>
                <w:sz w:val="18"/>
                <w:szCs w:val="18"/>
                <w:color w:val="auto"/>
                <w:w w:val="94"/>
              </w:rPr>
              <w:t>non-cash gains increasing net income (excluding any</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such non-cash gain to the extent it represents the reversal of</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 accrual or reserve for potential cash gain in any prior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0" w:type="dxa"/>
            <w:vAlign w:val="bottom"/>
            <w:tcBorders>
              <w:left w:val="single" w:sz="8" w:color="auto"/>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Consolidated EBITDA</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80" w:name="page81"/>
    <w:bookmarkEnd w:id="80"/>
    <w:p>
      <w:pPr>
        <w:ind w:left="3860"/>
        <w:spacing w:after="0"/>
        <w:rPr>
          <w:sz w:val="20"/>
          <w:szCs w:val="20"/>
          <w:color w:val="auto"/>
        </w:rPr>
      </w:pPr>
      <w:r>
        <w:rPr>
          <w:rFonts w:ascii="Arial" w:cs="Arial" w:eastAsia="Arial" w:hAnsi="Arial"/>
          <w:sz w:val="22"/>
          <w:szCs w:val="22"/>
          <w:color w:val="auto"/>
        </w:rPr>
        <w:t>For the Quarter/Year ended __________________</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SCHEDULE 3</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the Compliance Certificate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in 000’s)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INTEREST EXPENSE</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346"/>
        </w:trPr>
        <w:tc>
          <w:tcPr>
            <w:tcW w:w="38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CONSOLIDATED</w:t>
            </w:r>
          </w:p>
        </w:tc>
        <w:tc>
          <w:tcPr>
            <w:tcW w:w="260" w:type="dxa"/>
            <w:vAlign w:val="bottom"/>
            <w:tcBorders>
              <w:top w:val="single" w:sz="8" w:color="auto"/>
            </w:tcBorders>
            <w:shd w:val="clear" w:color="auto" w:fill="D9D9D9"/>
          </w:tcPr>
          <w:p>
            <w:pPr>
              <w:spacing w:after="0"/>
              <w:rPr>
                <w:sz w:val="24"/>
                <w:szCs w:val="24"/>
                <w:color w:val="auto"/>
              </w:rPr>
            </w:pPr>
          </w:p>
        </w:tc>
        <w:tc>
          <w:tcPr>
            <w:tcW w:w="82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right w:val="single" w:sz="8" w:color="auto"/>
            </w:tcBorders>
            <w:shd w:val="clear" w:color="auto" w:fill="D9D9D9"/>
          </w:tcPr>
          <w:p>
            <w:pPr>
              <w:spacing w:after="0"/>
              <w:rPr>
                <w:sz w:val="24"/>
                <w:szCs w:val="24"/>
                <w:color w:val="auto"/>
              </w:rPr>
            </w:pPr>
          </w:p>
        </w:tc>
        <w:tc>
          <w:tcPr>
            <w:tcW w:w="38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420" w:type="dxa"/>
            <w:vAlign w:val="bottom"/>
            <w:tcBorders>
              <w:top w:val="single" w:sz="8" w:color="auto"/>
              <w:right w:val="single" w:sz="8" w:color="auto"/>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360" w:type="dxa"/>
            <w:vAlign w:val="bottom"/>
            <w:tcBorders>
              <w:top w:val="single" w:sz="8" w:color="auto"/>
              <w:right w:val="single" w:sz="8" w:color="auto"/>
            </w:tcBorders>
            <w:shd w:val="clear" w:color="auto" w:fill="D9D9D9"/>
          </w:tcPr>
          <w:p>
            <w:pPr>
              <w:spacing w:after="0"/>
              <w:rPr>
                <w:sz w:val="24"/>
                <w:szCs w:val="24"/>
                <w:color w:val="auto"/>
              </w:rPr>
            </w:pPr>
          </w:p>
        </w:tc>
        <w:tc>
          <w:tcPr>
            <w:tcW w:w="380" w:type="dxa"/>
            <w:vAlign w:val="bottom"/>
            <w:tcBorders>
              <w:top w:val="single" w:sz="8" w:color="auto"/>
            </w:tcBorders>
            <w:shd w:val="clear" w:color="auto" w:fill="D9D9D9"/>
          </w:tcPr>
          <w:p>
            <w:pPr>
              <w:spacing w:after="0"/>
              <w:rPr>
                <w:sz w:val="24"/>
                <w:szCs w:val="24"/>
                <w:color w:val="auto"/>
              </w:rPr>
            </w:pPr>
          </w:p>
        </w:tc>
        <w:tc>
          <w:tcPr>
            <w:tcW w:w="800" w:type="dxa"/>
            <w:vAlign w:val="bottom"/>
            <w:tcBorders>
              <w:top w:val="single" w:sz="8" w:color="auto"/>
            </w:tcBorders>
            <w:shd w:val="clear" w:color="auto" w:fill="D9D9D9"/>
          </w:tcPr>
          <w:p>
            <w:pPr>
              <w:spacing w:after="0"/>
              <w:rPr>
                <w:sz w:val="24"/>
                <w:szCs w:val="24"/>
                <w:color w:val="auto"/>
              </w:rPr>
            </w:pPr>
          </w:p>
        </w:tc>
        <w:tc>
          <w:tcPr>
            <w:tcW w:w="400" w:type="dxa"/>
            <w:vAlign w:val="bottom"/>
            <w:tcBorders>
              <w:top w:val="single" w:sz="8" w:color="auto"/>
              <w:right w:val="single" w:sz="8" w:color="auto"/>
            </w:tcBorders>
            <w:shd w:val="clear" w:color="auto" w:fill="D9D9D9"/>
          </w:tcPr>
          <w:p>
            <w:pPr>
              <w:spacing w:after="0"/>
              <w:rPr>
                <w:sz w:val="24"/>
                <w:szCs w:val="24"/>
                <w:color w:val="auto"/>
              </w:rPr>
            </w:pPr>
          </w:p>
        </w:tc>
        <w:tc>
          <w:tcPr>
            <w:tcW w:w="1600" w:type="dxa"/>
            <w:vAlign w:val="bottom"/>
            <w:tcBorders>
              <w:top w:val="single" w:sz="8" w:color="auto"/>
              <w:right w:val="single" w:sz="8" w:color="auto"/>
            </w:tcBorders>
            <w:gridSpan w:val="3"/>
            <w:vMerge w:val="restart"/>
            <w:shd w:val="clear" w:color="auto" w:fill="D9D9D9"/>
          </w:tcPr>
          <w:p>
            <w:pPr>
              <w:jc w:val="center"/>
              <w:ind w:right="20"/>
              <w:spacing w:after="0"/>
              <w:rPr>
                <w:sz w:val="20"/>
                <w:szCs w:val="20"/>
                <w:color w:val="auto"/>
              </w:rPr>
            </w:pPr>
            <w:r>
              <w:rPr>
                <w:rFonts w:ascii="Arial" w:cs="Arial" w:eastAsia="Arial" w:hAnsi="Arial"/>
                <w:sz w:val="18"/>
                <w:szCs w:val="18"/>
                <w:color w:val="auto"/>
                <w:w w:val="91"/>
              </w:rPr>
              <w:t>Four Quarter Period</w:t>
            </w:r>
          </w:p>
        </w:tc>
        <w:tc>
          <w:tcPr>
            <w:tcW w:w="0" w:type="dxa"/>
            <w:vAlign w:val="bottom"/>
          </w:tcPr>
          <w:p>
            <w:pPr>
              <w:spacing w:after="0"/>
              <w:rPr>
                <w:sz w:val="1"/>
                <w:szCs w:val="1"/>
                <w:color w:val="auto"/>
              </w:rPr>
            </w:pPr>
          </w:p>
        </w:tc>
      </w:tr>
      <w:tr>
        <w:trPr>
          <w:trHeight w:val="112"/>
        </w:trPr>
        <w:tc>
          <w:tcPr>
            <w:tcW w:w="38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D9D9D9"/>
          </w:tcPr>
          <w:p>
            <w:pPr>
              <w:spacing w:after="0"/>
              <w:rPr>
                <w:sz w:val="9"/>
                <w:szCs w:val="9"/>
                <w:color w:val="auto"/>
              </w:rPr>
            </w:pPr>
          </w:p>
        </w:tc>
        <w:tc>
          <w:tcPr>
            <w:tcW w:w="820" w:type="dxa"/>
            <w:vAlign w:val="bottom"/>
            <w:shd w:val="clear" w:color="auto" w:fill="D9D9D9"/>
          </w:tcPr>
          <w:p>
            <w:pPr>
              <w:spacing w:after="0"/>
              <w:rPr>
                <w:sz w:val="9"/>
                <w:szCs w:val="9"/>
                <w:color w:val="auto"/>
              </w:rPr>
            </w:pPr>
          </w:p>
        </w:tc>
        <w:tc>
          <w:tcPr>
            <w:tcW w:w="300" w:type="dxa"/>
            <w:vAlign w:val="bottom"/>
            <w:tcBorders>
              <w:right w:val="single" w:sz="8" w:color="auto"/>
            </w:tcBorders>
            <w:shd w:val="clear" w:color="auto" w:fill="D9D9D9"/>
          </w:tcPr>
          <w:p>
            <w:pPr>
              <w:spacing w:after="0"/>
              <w:rPr>
                <w:sz w:val="9"/>
                <w:szCs w:val="9"/>
                <w:color w:val="auto"/>
              </w:rPr>
            </w:pPr>
          </w:p>
        </w:tc>
        <w:tc>
          <w:tcPr>
            <w:tcW w:w="380" w:type="dxa"/>
            <w:vAlign w:val="bottom"/>
            <w:shd w:val="clear" w:color="auto" w:fill="D9D9D9"/>
          </w:tcPr>
          <w:p>
            <w:pPr>
              <w:spacing w:after="0"/>
              <w:rPr>
                <w:sz w:val="9"/>
                <w:szCs w:val="9"/>
                <w:color w:val="auto"/>
              </w:rPr>
            </w:pPr>
          </w:p>
        </w:tc>
        <w:tc>
          <w:tcPr>
            <w:tcW w:w="800" w:type="dxa"/>
            <w:vAlign w:val="bottom"/>
            <w:shd w:val="clear" w:color="auto" w:fill="D9D9D9"/>
          </w:tcPr>
          <w:p>
            <w:pPr>
              <w:spacing w:after="0"/>
              <w:rPr>
                <w:sz w:val="9"/>
                <w:szCs w:val="9"/>
                <w:color w:val="auto"/>
              </w:rPr>
            </w:pPr>
          </w:p>
        </w:tc>
        <w:tc>
          <w:tcPr>
            <w:tcW w:w="420" w:type="dxa"/>
            <w:vAlign w:val="bottom"/>
            <w:tcBorders>
              <w:right w:val="single" w:sz="8" w:color="auto"/>
            </w:tcBorders>
            <w:shd w:val="clear" w:color="auto" w:fill="D9D9D9"/>
          </w:tcPr>
          <w:p>
            <w:pPr>
              <w:spacing w:after="0"/>
              <w:rPr>
                <w:sz w:val="9"/>
                <w:szCs w:val="9"/>
                <w:color w:val="auto"/>
              </w:rPr>
            </w:pPr>
          </w:p>
        </w:tc>
        <w:tc>
          <w:tcPr>
            <w:tcW w:w="320" w:type="dxa"/>
            <w:vAlign w:val="bottom"/>
            <w:shd w:val="clear" w:color="auto" w:fill="D9D9D9"/>
          </w:tcPr>
          <w:p>
            <w:pPr>
              <w:spacing w:after="0"/>
              <w:rPr>
                <w:sz w:val="9"/>
                <w:szCs w:val="9"/>
                <w:color w:val="auto"/>
              </w:rPr>
            </w:pPr>
          </w:p>
        </w:tc>
        <w:tc>
          <w:tcPr>
            <w:tcW w:w="800" w:type="dxa"/>
            <w:vAlign w:val="bottom"/>
            <w:shd w:val="clear" w:color="auto" w:fill="D9D9D9"/>
          </w:tcPr>
          <w:p>
            <w:pPr>
              <w:spacing w:after="0"/>
              <w:rPr>
                <w:sz w:val="9"/>
                <w:szCs w:val="9"/>
                <w:color w:val="auto"/>
              </w:rPr>
            </w:pPr>
          </w:p>
        </w:tc>
        <w:tc>
          <w:tcPr>
            <w:tcW w:w="360" w:type="dxa"/>
            <w:vAlign w:val="bottom"/>
            <w:tcBorders>
              <w:right w:val="single" w:sz="8" w:color="auto"/>
            </w:tcBorders>
            <w:shd w:val="clear" w:color="auto" w:fill="D9D9D9"/>
          </w:tcPr>
          <w:p>
            <w:pPr>
              <w:spacing w:after="0"/>
              <w:rPr>
                <w:sz w:val="9"/>
                <w:szCs w:val="9"/>
                <w:color w:val="auto"/>
              </w:rPr>
            </w:pPr>
          </w:p>
        </w:tc>
        <w:tc>
          <w:tcPr>
            <w:tcW w:w="380" w:type="dxa"/>
            <w:vAlign w:val="bottom"/>
            <w:shd w:val="clear" w:color="auto" w:fill="D9D9D9"/>
          </w:tcPr>
          <w:p>
            <w:pPr>
              <w:spacing w:after="0"/>
              <w:rPr>
                <w:sz w:val="9"/>
                <w:szCs w:val="9"/>
                <w:color w:val="auto"/>
              </w:rPr>
            </w:pPr>
          </w:p>
        </w:tc>
        <w:tc>
          <w:tcPr>
            <w:tcW w:w="800" w:type="dxa"/>
            <w:vAlign w:val="bottom"/>
            <w:shd w:val="clear" w:color="auto" w:fill="D9D9D9"/>
          </w:tcPr>
          <w:p>
            <w:pPr>
              <w:spacing w:after="0"/>
              <w:rPr>
                <w:sz w:val="9"/>
                <w:szCs w:val="9"/>
                <w:color w:val="auto"/>
              </w:rPr>
            </w:pPr>
          </w:p>
        </w:tc>
        <w:tc>
          <w:tcPr>
            <w:tcW w:w="400" w:type="dxa"/>
            <w:vAlign w:val="bottom"/>
            <w:tcBorders>
              <w:right w:val="single" w:sz="8" w:color="auto"/>
            </w:tcBorders>
            <w:shd w:val="clear" w:color="auto" w:fill="D9D9D9"/>
          </w:tcPr>
          <w:p>
            <w:pPr>
              <w:spacing w:after="0"/>
              <w:rPr>
                <w:sz w:val="9"/>
                <w:szCs w:val="9"/>
                <w:color w:val="auto"/>
              </w:rPr>
            </w:pPr>
          </w:p>
        </w:tc>
        <w:tc>
          <w:tcPr>
            <w:tcW w:w="1600" w:type="dxa"/>
            <w:vAlign w:val="bottom"/>
            <w:tcBorders>
              <w:right w:val="single" w:sz="8" w:color="auto"/>
            </w:tcBorders>
            <w:gridSpan w:val="3"/>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380" w:type="dxa"/>
            <w:vAlign w:val="bottom"/>
            <w:tcBorders>
              <w:right w:val="single" w:sz="8" w:color="auto"/>
            </w:tcBorders>
            <w:gridSpan w:val="3"/>
            <w:vMerge w:val="restart"/>
            <w:shd w:val="clear" w:color="auto" w:fill="D9D9D9"/>
          </w:tcPr>
          <w:p>
            <w:pPr>
              <w:jc w:val="center"/>
              <w:ind w:right="40"/>
              <w:spacing w:after="0"/>
              <w:rPr>
                <w:sz w:val="20"/>
                <w:szCs w:val="20"/>
                <w:color w:val="auto"/>
              </w:rPr>
            </w:pPr>
            <w:r>
              <w:rPr>
                <w:rFonts w:ascii="Arial" w:cs="Arial" w:eastAsia="Arial" w:hAnsi="Arial"/>
                <w:sz w:val="18"/>
                <w:szCs w:val="18"/>
                <w:color w:val="auto"/>
                <w:w w:val="89"/>
              </w:rPr>
              <w:t>Quarter Ended</w:t>
            </w:r>
          </w:p>
        </w:tc>
        <w:tc>
          <w:tcPr>
            <w:tcW w:w="1600" w:type="dxa"/>
            <w:vAlign w:val="bottom"/>
            <w:tcBorders>
              <w:right w:val="single" w:sz="8" w:color="auto"/>
            </w:tcBorders>
            <w:gridSpan w:val="3"/>
            <w:vMerge w:val="restart"/>
            <w:shd w:val="clear" w:color="auto" w:fill="D9D9D9"/>
          </w:tcPr>
          <w:p>
            <w:pPr>
              <w:jc w:val="center"/>
              <w:ind w:right="20"/>
              <w:spacing w:after="0"/>
              <w:rPr>
                <w:sz w:val="20"/>
                <w:szCs w:val="20"/>
                <w:color w:val="auto"/>
              </w:rPr>
            </w:pPr>
            <w:r>
              <w:rPr>
                <w:rFonts w:ascii="Arial" w:cs="Arial" w:eastAsia="Arial" w:hAnsi="Arial"/>
                <w:sz w:val="18"/>
                <w:szCs w:val="18"/>
                <w:color w:val="auto"/>
                <w:w w:val="89"/>
              </w:rPr>
              <w:t>Quarter Ended</w:t>
            </w:r>
          </w:p>
        </w:tc>
        <w:tc>
          <w:tcPr>
            <w:tcW w:w="1480" w:type="dxa"/>
            <w:vAlign w:val="bottom"/>
            <w:tcBorders>
              <w:right w:val="single" w:sz="8" w:color="auto"/>
            </w:tcBorders>
            <w:gridSpan w:val="3"/>
            <w:vMerge w:val="restart"/>
            <w:shd w:val="clear" w:color="auto" w:fill="D9D9D9"/>
          </w:tcPr>
          <w:p>
            <w:pPr>
              <w:jc w:val="center"/>
              <w:ind w:right="20"/>
              <w:spacing w:after="0"/>
              <w:rPr>
                <w:sz w:val="20"/>
                <w:szCs w:val="20"/>
                <w:color w:val="auto"/>
              </w:rPr>
            </w:pPr>
            <w:r>
              <w:rPr>
                <w:rFonts w:ascii="Arial" w:cs="Arial" w:eastAsia="Arial" w:hAnsi="Arial"/>
                <w:sz w:val="18"/>
                <w:szCs w:val="18"/>
                <w:color w:val="auto"/>
                <w:w w:val="89"/>
              </w:rPr>
              <w:t>Quarter Ended</w:t>
            </w:r>
          </w:p>
        </w:tc>
        <w:tc>
          <w:tcPr>
            <w:tcW w:w="1580" w:type="dxa"/>
            <w:vAlign w:val="bottom"/>
            <w:tcBorders>
              <w:right w:val="single" w:sz="8" w:color="auto"/>
            </w:tcBorders>
            <w:gridSpan w:val="3"/>
            <w:vMerge w:val="restart"/>
            <w:shd w:val="clear" w:color="auto" w:fill="D9D9D9"/>
          </w:tcPr>
          <w:p>
            <w:pPr>
              <w:jc w:val="center"/>
              <w:ind w:right="40"/>
              <w:spacing w:after="0"/>
              <w:rPr>
                <w:sz w:val="20"/>
                <w:szCs w:val="20"/>
                <w:color w:val="auto"/>
              </w:rPr>
            </w:pPr>
            <w:r>
              <w:rPr>
                <w:rFonts w:ascii="Arial" w:cs="Arial" w:eastAsia="Arial" w:hAnsi="Arial"/>
                <w:sz w:val="18"/>
                <w:szCs w:val="18"/>
                <w:color w:val="auto"/>
                <w:w w:val="89"/>
              </w:rPr>
              <w:t>Quarter Ended</w:t>
            </w:r>
          </w:p>
        </w:tc>
        <w:tc>
          <w:tcPr>
            <w:tcW w:w="380" w:type="dxa"/>
            <w:vAlign w:val="bottom"/>
            <w:shd w:val="clear" w:color="auto" w:fill="D9D9D9"/>
          </w:tcPr>
          <w:p>
            <w:pPr>
              <w:spacing w:after="0"/>
              <w:rPr>
                <w:sz w:val="9"/>
                <w:szCs w:val="9"/>
                <w:color w:val="auto"/>
              </w:rPr>
            </w:pPr>
          </w:p>
        </w:tc>
        <w:tc>
          <w:tcPr>
            <w:tcW w:w="1220" w:type="dxa"/>
            <w:vAlign w:val="bottom"/>
            <w:tcBorders>
              <w:right w:val="single" w:sz="8" w:color="auto"/>
            </w:tcBorders>
            <w:gridSpan w:val="2"/>
            <w:vMerge w:val="restart"/>
            <w:shd w:val="clear" w:color="auto" w:fill="D9D9D9"/>
          </w:tcPr>
          <w:p>
            <w:pPr>
              <w:jc w:val="center"/>
              <w:ind w:right="40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1"/>
              </w:rPr>
              <w:t>(for Holdings and its Subsidiaries on a</w:t>
            </w:r>
          </w:p>
        </w:tc>
        <w:tc>
          <w:tcPr>
            <w:tcW w:w="1380" w:type="dxa"/>
            <w:vAlign w:val="bottom"/>
            <w:tcBorders>
              <w:right w:val="single" w:sz="8" w:color="auto"/>
            </w:tcBorders>
            <w:gridSpan w:val="3"/>
            <w:vMerge w:val="continue"/>
            <w:shd w:val="clear" w:color="auto" w:fill="D9D9D9"/>
          </w:tcPr>
          <w:p>
            <w:pPr>
              <w:spacing w:after="0"/>
              <w:rPr>
                <w:sz w:val="9"/>
                <w:szCs w:val="9"/>
                <w:color w:val="auto"/>
              </w:rPr>
            </w:pPr>
          </w:p>
        </w:tc>
        <w:tc>
          <w:tcPr>
            <w:tcW w:w="1600" w:type="dxa"/>
            <w:vAlign w:val="bottom"/>
            <w:tcBorders>
              <w:right w:val="single" w:sz="8" w:color="auto"/>
            </w:tcBorders>
            <w:gridSpan w:val="3"/>
            <w:vMerge w:val="continue"/>
            <w:shd w:val="clear" w:color="auto" w:fill="D9D9D9"/>
          </w:tcPr>
          <w:p>
            <w:pPr>
              <w:spacing w:after="0"/>
              <w:rPr>
                <w:sz w:val="9"/>
                <w:szCs w:val="9"/>
                <w:color w:val="auto"/>
              </w:rPr>
            </w:pPr>
          </w:p>
        </w:tc>
        <w:tc>
          <w:tcPr>
            <w:tcW w:w="1480" w:type="dxa"/>
            <w:vAlign w:val="bottom"/>
            <w:tcBorders>
              <w:right w:val="single" w:sz="8" w:color="auto"/>
            </w:tcBorders>
            <w:gridSpan w:val="3"/>
            <w:vMerge w:val="continue"/>
            <w:shd w:val="clear" w:color="auto" w:fill="D9D9D9"/>
          </w:tcPr>
          <w:p>
            <w:pPr>
              <w:spacing w:after="0"/>
              <w:rPr>
                <w:sz w:val="9"/>
                <w:szCs w:val="9"/>
                <w:color w:val="auto"/>
              </w:rPr>
            </w:pPr>
          </w:p>
        </w:tc>
        <w:tc>
          <w:tcPr>
            <w:tcW w:w="1580" w:type="dxa"/>
            <w:vAlign w:val="bottom"/>
            <w:tcBorders>
              <w:right w:val="single" w:sz="8" w:color="auto"/>
            </w:tcBorders>
            <w:gridSpan w:val="3"/>
            <w:vMerge w:val="continue"/>
            <w:shd w:val="clear" w:color="auto" w:fill="D9D9D9"/>
          </w:tcPr>
          <w:p>
            <w:pPr>
              <w:spacing w:after="0"/>
              <w:rPr>
                <w:sz w:val="9"/>
                <w:szCs w:val="9"/>
                <w:color w:val="auto"/>
              </w:rPr>
            </w:pPr>
          </w:p>
        </w:tc>
        <w:tc>
          <w:tcPr>
            <w:tcW w:w="380" w:type="dxa"/>
            <w:vAlign w:val="bottom"/>
            <w:shd w:val="clear" w:color="auto" w:fill="D9D9D9"/>
          </w:tcPr>
          <w:p>
            <w:pPr>
              <w:spacing w:after="0"/>
              <w:rPr>
                <w:sz w:val="9"/>
                <w:szCs w:val="9"/>
                <w:color w:val="auto"/>
              </w:rPr>
            </w:pPr>
          </w:p>
        </w:tc>
        <w:tc>
          <w:tcPr>
            <w:tcW w:w="1220" w:type="dxa"/>
            <w:vAlign w:val="bottom"/>
            <w:tcBorders>
              <w:right w:val="single" w:sz="8" w:color="auto"/>
            </w:tcBorders>
            <w:gridSpan w:val="2"/>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380" w:type="dxa"/>
            <w:vAlign w:val="bottom"/>
            <w:tcBorders>
              <w:right w:val="single" w:sz="8" w:color="auto"/>
            </w:tcBorders>
            <w:gridSpan w:val="3"/>
            <w:vMerge w:val="restart"/>
            <w:shd w:val="clear" w:color="auto" w:fill="D9D9D9"/>
          </w:tcPr>
          <w:p>
            <w:pPr>
              <w:jc w:val="right"/>
              <w:ind w:right="300"/>
              <w:spacing w:after="0" w:line="190" w:lineRule="exact"/>
              <w:rPr>
                <w:sz w:val="20"/>
                <w:szCs w:val="20"/>
                <w:color w:val="auto"/>
              </w:rPr>
            </w:pPr>
            <w:r>
              <w:rPr>
                <w:rFonts w:ascii="Arial" w:cs="Arial" w:eastAsia="Arial" w:hAnsi="Arial"/>
                <w:sz w:val="18"/>
                <w:szCs w:val="18"/>
                <w:color w:val="auto"/>
              </w:rPr>
              <w:t>_________</w:t>
            </w:r>
          </w:p>
        </w:tc>
        <w:tc>
          <w:tcPr>
            <w:tcW w:w="1600" w:type="dxa"/>
            <w:vAlign w:val="bottom"/>
            <w:tcBorders>
              <w:right w:val="single" w:sz="8" w:color="auto"/>
            </w:tcBorders>
            <w:gridSpan w:val="3"/>
            <w:vMerge w:val="restart"/>
            <w:shd w:val="clear" w:color="auto" w:fill="D9D9D9"/>
          </w:tcPr>
          <w:p>
            <w:pPr>
              <w:jc w:val="right"/>
              <w:ind w:right="420"/>
              <w:spacing w:after="0" w:line="190" w:lineRule="exact"/>
              <w:rPr>
                <w:sz w:val="20"/>
                <w:szCs w:val="20"/>
                <w:color w:val="auto"/>
              </w:rPr>
            </w:pPr>
            <w:r>
              <w:rPr>
                <w:rFonts w:ascii="Arial" w:cs="Arial" w:eastAsia="Arial" w:hAnsi="Arial"/>
                <w:sz w:val="18"/>
                <w:szCs w:val="18"/>
                <w:color w:val="auto"/>
              </w:rPr>
              <w:t>_________</w:t>
            </w:r>
          </w:p>
        </w:tc>
        <w:tc>
          <w:tcPr>
            <w:tcW w:w="1480" w:type="dxa"/>
            <w:vAlign w:val="bottom"/>
            <w:tcBorders>
              <w:right w:val="single" w:sz="8" w:color="auto"/>
            </w:tcBorders>
            <w:gridSpan w:val="3"/>
            <w:vMerge w:val="restart"/>
            <w:shd w:val="clear" w:color="auto" w:fill="D9D9D9"/>
          </w:tcPr>
          <w:p>
            <w:pPr>
              <w:jc w:val="right"/>
              <w:ind w:right="360"/>
              <w:spacing w:after="0" w:line="190" w:lineRule="exact"/>
              <w:rPr>
                <w:sz w:val="20"/>
                <w:szCs w:val="20"/>
                <w:color w:val="auto"/>
              </w:rPr>
            </w:pPr>
            <w:r>
              <w:rPr>
                <w:rFonts w:ascii="Arial" w:cs="Arial" w:eastAsia="Arial" w:hAnsi="Arial"/>
                <w:sz w:val="18"/>
                <w:szCs w:val="18"/>
                <w:color w:val="auto"/>
              </w:rPr>
              <w:t>_________</w:t>
            </w:r>
          </w:p>
        </w:tc>
        <w:tc>
          <w:tcPr>
            <w:tcW w:w="1580" w:type="dxa"/>
            <w:vAlign w:val="bottom"/>
            <w:tcBorders>
              <w:right w:val="single" w:sz="8" w:color="auto"/>
            </w:tcBorders>
            <w:gridSpan w:val="3"/>
            <w:vMerge w:val="restart"/>
            <w:shd w:val="clear" w:color="auto" w:fill="D9D9D9"/>
          </w:tcPr>
          <w:p>
            <w:pPr>
              <w:jc w:val="right"/>
              <w:ind w:right="400"/>
              <w:spacing w:after="0" w:line="190" w:lineRule="exact"/>
              <w:rPr>
                <w:sz w:val="20"/>
                <w:szCs w:val="20"/>
                <w:color w:val="auto"/>
              </w:rPr>
            </w:pPr>
            <w:r>
              <w:rPr>
                <w:rFonts w:ascii="Arial" w:cs="Arial" w:eastAsia="Arial" w:hAnsi="Arial"/>
                <w:sz w:val="18"/>
                <w:szCs w:val="18"/>
                <w:color w:val="auto"/>
              </w:rPr>
              <w:t>_________</w:t>
            </w:r>
          </w:p>
        </w:tc>
        <w:tc>
          <w:tcPr>
            <w:tcW w:w="1600" w:type="dxa"/>
            <w:vAlign w:val="bottom"/>
            <w:tcBorders>
              <w:right w:val="single" w:sz="8" w:color="auto"/>
            </w:tcBorders>
            <w:gridSpan w:val="3"/>
            <w:vMerge w:val="restart"/>
            <w:shd w:val="clear" w:color="auto" w:fill="D9D9D9"/>
          </w:tcPr>
          <w:p>
            <w:pPr>
              <w:jc w:val="center"/>
              <w:ind w:right="20"/>
              <w:spacing w:after="0" w:line="190" w:lineRule="exact"/>
              <w:rPr>
                <w:sz w:val="20"/>
                <w:szCs w:val="20"/>
                <w:color w:val="auto"/>
              </w:rPr>
            </w:pPr>
            <w:r>
              <w:rPr>
                <w:rFonts w:ascii="Arial" w:cs="Arial" w:eastAsia="Arial" w:hAnsi="Arial"/>
                <w:sz w:val="18"/>
                <w:szCs w:val="18"/>
                <w:color w:val="auto"/>
                <w:w w:val="90"/>
              </w:rPr>
              <w:t>_________</w:t>
            </w:r>
          </w:p>
        </w:tc>
        <w:tc>
          <w:tcPr>
            <w:tcW w:w="0" w:type="dxa"/>
            <w:vAlign w:val="bottom"/>
          </w:tcPr>
          <w:p>
            <w:pPr>
              <w:spacing w:after="0"/>
              <w:rPr>
                <w:sz w:val="1"/>
                <w:szCs w:val="1"/>
                <w:color w:val="auto"/>
              </w:rPr>
            </w:pPr>
          </w:p>
        </w:tc>
      </w:tr>
      <w:tr>
        <w:trPr>
          <w:trHeight w:val="82"/>
        </w:trPr>
        <w:tc>
          <w:tcPr>
            <w:tcW w:w="38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88"/>
              </w:rPr>
              <w:t>consolidated basis)</w:t>
            </w:r>
          </w:p>
        </w:tc>
        <w:tc>
          <w:tcPr>
            <w:tcW w:w="1380" w:type="dxa"/>
            <w:vAlign w:val="bottom"/>
            <w:tcBorders>
              <w:right w:val="single" w:sz="8" w:color="auto"/>
            </w:tcBorders>
            <w:gridSpan w:val="3"/>
            <w:vMerge w:val="continue"/>
            <w:shd w:val="clear" w:color="auto" w:fill="D9D9D9"/>
          </w:tcPr>
          <w:p>
            <w:pPr>
              <w:spacing w:after="0"/>
              <w:rPr>
                <w:sz w:val="7"/>
                <w:szCs w:val="7"/>
                <w:color w:val="auto"/>
              </w:rPr>
            </w:pPr>
          </w:p>
        </w:tc>
        <w:tc>
          <w:tcPr>
            <w:tcW w:w="1600" w:type="dxa"/>
            <w:vAlign w:val="bottom"/>
            <w:tcBorders>
              <w:right w:val="single" w:sz="8" w:color="auto"/>
            </w:tcBorders>
            <w:gridSpan w:val="3"/>
            <w:vMerge w:val="continue"/>
            <w:shd w:val="clear" w:color="auto" w:fill="D9D9D9"/>
          </w:tcPr>
          <w:p>
            <w:pPr>
              <w:spacing w:after="0"/>
              <w:rPr>
                <w:sz w:val="7"/>
                <w:szCs w:val="7"/>
                <w:color w:val="auto"/>
              </w:rPr>
            </w:pPr>
          </w:p>
        </w:tc>
        <w:tc>
          <w:tcPr>
            <w:tcW w:w="1480" w:type="dxa"/>
            <w:vAlign w:val="bottom"/>
            <w:tcBorders>
              <w:right w:val="single" w:sz="8" w:color="auto"/>
            </w:tcBorders>
            <w:gridSpan w:val="3"/>
            <w:vMerge w:val="continue"/>
            <w:shd w:val="clear" w:color="auto" w:fill="D9D9D9"/>
          </w:tcPr>
          <w:p>
            <w:pPr>
              <w:spacing w:after="0"/>
              <w:rPr>
                <w:sz w:val="7"/>
                <w:szCs w:val="7"/>
                <w:color w:val="auto"/>
              </w:rPr>
            </w:pPr>
          </w:p>
        </w:tc>
        <w:tc>
          <w:tcPr>
            <w:tcW w:w="1580" w:type="dxa"/>
            <w:vAlign w:val="bottom"/>
            <w:tcBorders>
              <w:right w:val="single" w:sz="8" w:color="auto"/>
            </w:tcBorders>
            <w:gridSpan w:val="3"/>
            <w:vMerge w:val="continue"/>
            <w:shd w:val="clear" w:color="auto" w:fill="D9D9D9"/>
          </w:tcPr>
          <w:p>
            <w:pPr>
              <w:spacing w:after="0"/>
              <w:rPr>
                <w:sz w:val="7"/>
                <w:szCs w:val="7"/>
                <w:color w:val="auto"/>
              </w:rPr>
            </w:pPr>
          </w:p>
        </w:tc>
        <w:tc>
          <w:tcPr>
            <w:tcW w:w="1600" w:type="dxa"/>
            <w:vAlign w:val="bottom"/>
            <w:tcBorders>
              <w:right w:val="single" w:sz="8" w:color="auto"/>
            </w:tcBorders>
            <w:gridSpan w:val="3"/>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00" w:type="dxa"/>
            <w:vAlign w:val="bottom"/>
            <w:tcBorders>
              <w:top w:val="single" w:sz="8" w:color="D9D9D9"/>
              <w:left w:val="single" w:sz="8" w:color="auto"/>
              <w:right w:val="single" w:sz="8" w:color="auto"/>
            </w:tcBorders>
            <w:vMerge w:val="continue"/>
            <w:shd w:val="clear" w:color="auto" w:fill="D9D9D9"/>
          </w:tcPr>
          <w:p>
            <w:pPr>
              <w:spacing w:after="0"/>
              <w:rPr>
                <w:sz w:val="11"/>
                <w:szCs w:val="11"/>
                <w:color w:val="auto"/>
              </w:rPr>
            </w:pPr>
          </w:p>
        </w:tc>
        <w:tc>
          <w:tcPr>
            <w:tcW w:w="260" w:type="dxa"/>
            <w:vAlign w:val="bottom"/>
            <w:tcBorders>
              <w:top w:val="single" w:sz="8" w:color="D9D9D9"/>
            </w:tcBorders>
            <w:shd w:val="clear" w:color="auto" w:fill="D9D9D9"/>
          </w:tcPr>
          <w:p>
            <w:pPr>
              <w:spacing w:after="0"/>
              <w:rPr>
                <w:sz w:val="11"/>
                <w:szCs w:val="11"/>
                <w:color w:val="auto"/>
              </w:rPr>
            </w:pPr>
          </w:p>
        </w:tc>
        <w:tc>
          <w:tcPr>
            <w:tcW w:w="820" w:type="dxa"/>
            <w:vAlign w:val="bottom"/>
            <w:tcBorders>
              <w:top w:val="single" w:sz="8" w:color="auto"/>
            </w:tcBorders>
            <w:shd w:val="clear" w:color="auto" w:fill="D9D9D9"/>
          </w:tcPr>
          <w:p>
            <w:pPr>
              <w:spacing w:after="0"/>
              <w:rPr>
                <w:sz w:val="11"/>
                <w:szCs w:val="11"/>
                <w:color w:val="auto"/>
              </w:rPr>
            </w:pPr>
          </w:p>
        </w:tc>
        <w:tc>
          <w:tcPr>
            <w:tcW w:w="300" w:type="dxa"/>
            <w:vAlign w:val="bottom"/>
            <w:tcBorders>
              <w:top w:val="single" w:sz="8" w:color="D9D9D9"/>
              <w:right w:val="single" w:sz="8" w:color="auto"/>
            </w:tcBorders>
            <w:shd w:val="clear" w:color="auto" w:fill="D9D9D9"/>
          </w:tcPr>
          <w:p>
            <w:pPr>
              <w:spacing w:after="0"/>
              <w:rPr>
                <w:sz w:val="11"/>
                <w:szCs w:val="11"/>
                <w:color w:val="auto"/>
              </w:rPr>
            </w:pPr>
          </w:p>
        </w:tc>
        <w:tc>
          <w:tcPr>
            <w:tcW w:w="380" w:type="dxa"/>
            <w:vAlign w:val="bottom"/>
            <w:tcBorders>
              <w:top w:val="single" w:sz="8" w:color="D9D9D9"/>
            </w:tcBorders>
            <w:shd w:val="clear" w:color="auto" w:fill="D9D9D9"/>
          </w:tcPr>
          <w:p>
            <w:pPr>
              <w:spacing w:after="0"/>
              <w:rPr>
                <w:sz w:val="11"/>
                <w:szCs w:val="11"/>
                <w:color w:val="auto"/>
              </w:rPr>
            </w:pPr>
          </w:p>
        </w:tc>
        <w:tc>
          <w:tcPr>
            <w:tcW w:w="800" w:type="dxa"/>
            <w:vAlign w:val="bottom"/>
            <w:tcBorders>
              <w:top w:val="single" w:sz="8" w:color="auto"/>
            </w:tcBorders>
            <w:shd w:val="clear" w:color="auto" w:fill="D9D9D9"/>
          </w:tcPr>
          <w:p>
            <w:pPr>
              <w:spacing w:after="0"/>
              <w:rPr>
                <w:sz w:val="11"/>
                <w:szCs w:val="11"/>
                <w:color w:val="auto"/>
              </w:rPr>
            </w:pPr>
          </w:p>
        </w:tc>
        <w:tc>
          <w:tcPr>
            <w:tcW w:w="420" w:type="dxa"/>
            <w:vAlign w:val="bottom"/>
            <w:tcBorders>
              <w:top w:val="single" w:sz="8" w:color="D9D9D9"/>
              <w:right w:val="single" w:sz="8" w:color="auto"/>
            </w:tcBorders>
            <w:shd w:val="clear" w:color="auto" w:fill="D9D9D9"/>
          </w:tcPr>
          <w:p>
            <w:pPr>
              <w:spacing w:after="0"/>
              <w:rPr>
                <w:sz w:val="11"/>
                <w:szCs w:val="11"/>
                <w:color w:val="auto"/>
              </w:rPr>
            </w:pPr>
          </w:p>
        </w:tc>
        <w:tc>
          <w:tcPr>
            <w:tcW w:w="320" w:type="dxa"/>
            <w:vAlign w:val="bottom"/>
            <w:tcBorders>
              <w:top w:val="single" w:sz="8" w:color="D9D9D9"/>
            </w:tcBorders>
            <w:shd w:val="clear" w:color="auto" w:fill="D9D9D9"/>
          </w:tcPr>
          <w:p>
            <w:pPr>
              <w:spacing w:after="0"/>
              <w:rPr>
                <w:sz w:val="11"/>
                <w:szCs w:val="11"/>
                <w:color w:val="auto"/>
              </w:rPr>
            </w:pPr>
          </w:p>
        </w:tc>
        <w:tc>
          <w:tcPr>
            <w:tcW w:w="800" w:type="dxa"/>
            <w:vAlign w:val="bottom"/>
            <w:tcBorders>
              <w:top w:val="single" w:sz="8" w:color="auto"/>
            </w:tcBorders>
            <w:shd w:val="clear" w:color="auto" w:fill="D9D9D9"/>
          </w:tcPr>
          <w:p>
            <w:pPr>
              <w:spacing w:after="0"/>
              <w:rPr>
                <w:sz w:val="11"/>
                <w:szCs w:val="11"/>
                <w:color w:val="auto"/>
              </w:rPr>
            </w:pPr>
          </w:p>
        </w:tc>
        <w:tc>
          <w:tcPr>
            <w:tcW w:w="360" w:type="dxa"/>
            <w:vAlign w:val="bottom"/>
            <w:tcBorders>
              <w:top w:val="single" w:sz="8" w:color="D9D9D9"/>
              <w:right w:val="single" w:sz="8" w:color="auto"/>
            </w:tcBorders>
            <w:shd w:val="clear" w:color="auto" w:fill="D9D9D9"/>
          </w:tcPr>
          <w:p>
            <w:pPr>
              <w:spacing w:after="0"/>
              <w:rPr>
                <w:sz w:val="11"/>
                <w:szCs w:val="11"/>
                <w:color w:val="auto"/>
              </w:rPr>
            </w:pPr>
          </w:p>
        </w:tc>
        <w:tc>
          <w:tcPr>
            <w:tcW w:w="380" w:type="dxa"/>
            <w:vAlign w:val="bottom"/>
            <w:tcBorders>
              <w:top w:val="single" w:sz="8" w:color="D9D9D9"/>
            </w:tcBorders>
            <w:shd w:val="clear" w:color="auto" w:fill="D9D9D9"/>
          </w:tcPr>
          <w:p>
            <w:pPr>
              <w:spacing w:after="0"/>
              <w:rPr>
                <w:sz w:val="11"/>
                <w:szCs w:val="11"/>
                <w:color w:val="auto"/>
              </w:rPr>
            </w:pPr>
          </w:p>
        </w:tc>
        <w:tc>
          <w:tcPr>
            <w:tcW w:w="800" w:type="dxa"/>
            <w:vAlign w:val="bottom"/>
            <w:tcBorders>
              <w:top w:val="single" w:sz="8" w:color="auto"/>
            </w:tcBorders>
            <w:shd w:val="clear" w:color="auto" w:fill="D9D9D9"/>
          </w:tcPr>
          <w:p>
            <w:pPr>
              <w:spacing w:after="0"/>
              <w:rPr>
                <w:sz w:val="11"/>
                <w:szCs w:val="11"/>
                <w:color w:val="auto"/>
              </w:rPr>
            </w:pPr>
          </w:p>
        </w:tc>
        <w:tc>
          <w:tcPr>
            <w:tcW w:w="400" w:type="dxa"/>
            <w:vAlign w:val="bottom"/>
            <w:tcBorders>
              <w:top w:val="single" w:sz="8" w:color="D9D9D9"/>
              <w:right w:val="single" w:sz="8" w:color="auto"/>
            </w:tcBorders>
            <w:shd w:val="clear" w:color="auto" w:fill="D9D9D9"/>
          </w:tcPr>
          <w:p>
            <w:pPr>
              <w:spacing w:after="0"/>
              <w:rPr>
                <w:sz w:val="11"/>
                <w:szCs w:val="11"/>
                <w:color w:val="auto"/>
              </w:rPr>
            </w:pPr>
          </w:p>
        </w:tc>
        <w:tc>
          <w:tcPr>
            <w:tcW w:w="380" w:type="dxa"/>
            <w:vAlign w:val="bottom"/>
            <w:tcBorders>
              <w:top w:val="single" w:sz="8" w:color="D9D9D9"/>
            </w:tcBorders>
            <w:shd w:val="clear" w:color="auto" w:fill="D9D9D9"/>
          </w:tcPr>
          <w:p>
            <w:pPr>
              <w:spacing w:after="0"/>
              <w:rPr>
                <w:sz w:val="11"/>
                <w:szCs w:val="11"/>
                <w:color w:val="auto"/>
              </w:rPr>
            </w:pPr>
          </w:p>
        </w:tc>
        <w:tc>
          <w:tcPr>
            <w:tcW w:w="820" w:type="dxa"/>
            <w:vAlign w:val="bottom"/>
            <w:tcBorders>
              <w:top w:val="single" w:sz="8" w:color="auto"/>
            </w:tcBorders>
            <w:shd w:val="clear" w:color="auto" w:fill="D9D9D9"/>
          </w:tcPr>
          <w:p>
            <w:pPr>
              <w:spacing w:after="0"/>
              <w:rPr>
                <w:sz w:val="11"/>
                <w:szCs w:val="11"/>
                <w:color w:val="auto"/>
              </w:rPr>
            </w:pPr>
          </w:p>
        </w:tc>
        <w:tc>
          <w:tcPr>
            <w:tcW w:w="400" w:type="dxa"/>
            <w:vAlign w:val="bottom"/>
            <w:tcBorders>
              <w:top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60" w:type="dxa"/>
            <w:vAlign w:val="bottom"/>
            <w:tcBorders>
              <w:bottom w:val="single" w:sz="8" w:color="auto"/>
            </w:tcBorders>
            <w:shd w:val="clear" w:color="auto" w:fill="D9D9D9"/>
          </w:tcPr>
          <w:p>
            <w:pPr>
              <w:spacing w:after="0"/>
              <w:rPr>
                <w:sz w:val="11"/>
                <w:szCs w:val="11"/>
                <w:color w:val="auto"/>
              </w:rPr>
            </w:pPr>
          </w:p>
        </w:tc>
        <w:tc>
          <w:tcPr>
            <w:tcW w:w="820" w:type="dxa"/>
            <w:vAlign w:val="bottom"/>
            <w:tcBorders>
              <w:bottom w:val="single" w:sz="8" w:color="auto"/>
            </w:tcBorders>
            <w:shd w:val="clear" w:color="auto" w:fill="D9D9D9"/>
          </w:tcPr>
          <w:p>
            <w:pPr>
              <w:spacing w:after="0"/>
              <w:rPr>
                <w:sz w:val="11"/>
                <w:szCs w:val="11"/>
                <w:color w:val="auto"/>
              </w:rPr>
            </w:pPr>
          </w:p>
        </w:tc>
        <w:tc>
          <w:tcPr>
            <w:tcW w:w="300" w:type="dxa"/>
            <w:vAlign w:val="bottom"/>
            <w:tcBorders>
              <w:bottom w:val="single" w:sz="8" w:color="auto"/>
              <w:right w:val="single" w:sz="8" w:color="auto"/>
            </w:tcBorders>
            <w:shd w:val="clear" w:color="auto" w:fill="D9D9D9"/>
          </w:tcPr>
          <w:p>
            <w:pPr>
              <w:spacing w:after="0"/>
              <w:rPr>
                <w:sz w:val="11"/>
                <w:szCs w:val="11"/>
                <w:color w:val="auto"/>
              </w:rPr>
            </w:pPr>
          </w:p>
        </w:tc>
        <w:tc>
          <w:tcPr>
            <w:tcW w:w="380" w:type="dxa"/>
            <w:vAlign w:val="bottom"/>
            <w:tcBorders>
              <w:bottom w:val="single" w:sz="8" w:color="auto"/>
            </w:tcBorders>
            <w:shd w:val="clear" w:color="auto" w:fill="D9D9D9"/>
          </w:tcPr>
          <w:p>
            <w:pPr>
              <w:spacing w:after="0"/>
              <w:rPr>
                <w:sz w:val="11"/>
                <w:szCs w:val="11"/>
                <w:color w:val="auto"/>
              </w:rPr>
            </w:pPr>
          </w:p>
        </w:tc>
        <w:tc>
          <w:tcPr>
            <w:tcW w:w="800" w:type="dxa"/>
            <w:vAlign w:val="bottom"/>
            <w:tcBorders>
              <w:bottom w:val="single" w:sz="8" w:color="auto"/>
            </w:tcBorders>
            <w:shd w:val="clear" w:color="auto" w:fill="D9D9D9"/>
          </w:tcPr>
          <w:p>
            <w:pPr>
              <w:spacing w:after="0"/>
              <w:rPr>
                <w:sz w:val="11"/>
                <w:szCs w:val="11"/>
                <w:color w:val="auto"/>
              </w:rPr>
            </w:pPr>
          </w:p>
        </w:tc>
        <w:tc>
          <w:tcPr>
            <w:tcW w:w="420" w:type="dxa"/>
            <w:vAlign w:val="bottom"/>
            <w:tcBorders>
              <w:bottom w:val="single" w:sz="8" w:color="auto"/>
              <w:right w:val="single" w:sz="8" w:color="auto"/>
            </w:tcBorders>
            <w:shd w:val="clear" w:color="auto" w:fill="D9D9D9"/>
          </w:tcPr>
          <w:p>
            <w:pPr>
              <w:spacing w:after="0"/>
              <w:rPr>
                <w:sz w:val="11"/>
                <w:szCs w:val="11"/>
                <w:color w:val="auto"/>
              </w:rPr>
            </w:pPr>
          </w:p>
        </w:tc>
        <w:tc>
          <w:tcPr>
            <w:tcW w:w="320" w:type="dxa"/>
            <w:vAlign w:val="bottom"/>
            <w:tcBorders>
              <w:bottom w:val="single" w:sz="8" w:color="auto"/>
            </w:tcBorders>
            <w:shd w:val="clear" w:color="auto" w:fill="D9D9D9"/>
          </w:tcPr>
          <w:p>
            <w:pPr>
              <w:spacing w:after="0"/>
              <w:rPr>
                <w:sz w:val="11"/>
                <w:szCs w:val="11"/>
                <w:color w:val="auto"/>
              </w:rPr>
            </w:pPr>
          </w:p>
        </w:tc>
        <w:tc>
          <w:tcPr>
            <w:tcW w:w="800" w:type="dxa"/>
            <w:vAlign w:val="bottom"/>
            <w:tcBorders>
              <w:bottom w:val="single" w:sz="8" w:color="auto"/>
            </w:tcBorders>
            <w:shd w:val="clear" w:color="auto" w:fill="D9D9D9"/>
          </w:tcPr>
          <w:p>
            <w:pPr>
              <w:spacing w:after="0"/>
              <w:rPr>
                <w:sz w:val="11"/>
                <w:szCs w:val="11"/>
                <w:color w:val="auto"/>
              </w:rPr>
            </w:pPr>
          </w:p>
        </w:tc>
        <w:tc>
          <w:tcPr>
            <w:tcW w:w="360" w:type="dxa"/>
            <w:vAlign w:val="bottom"/>
            <w:tcBorders>
              <w:bottom w:val="single" w:sz="8" w:color="auto"/>
              <w:right w:val="single" w:sz="8" w:color="auto"/>
            </w:tcBorders>
            <w:shd w:val="clear" w:color="auto" w:fill="D9D9D9"/>
          </w:tcPr>
          <w:p>
            <w:pPr>
              <w:spacing w:after="0"/>
              <w:rPr>
                <w:sz w:val="11"/>
                <w:szCs w:val="11"/>
                <w:color w:val="auto"/>
              </w:rPr>
            </w:pPr>
          </w:p>
        </w:tc>
        <w:tc>
          <w:tcPr>
            <w:tcW w:w="380" w:type="dxa"/>
            <w:vAlign w:val="bottom"/>
            <w:tcBorders>
              <w:bottom w:val="single" w:sz="8" w:color="auto"/>
            </w:tcBorders>
            <w:shd w:val="clear" w:color="auto" w:fill="D9D9D9"/>
          </w:tcPr>
          <w:p>
            <w:pPr>
              <w:spacing w:after="0"/>
              <w:rPr>
                <w:sz w:val="11"/>
                <w:szCs w:val="11"/>
                <w:color w:val="auto"/>
              </w:rPr>
            </w:pPr>
          </w:p>
        </w:tc>
        <w:tc>
          <w:tcPr>
            <w:tcW w:w="800" w:type="dxa"/>
            <w:vAlign w:val="bottom"/>
            <w:tcBorders>
              <w:bottom w:val="single" w:sz="8" w:color="auto"/>
            </w:tcBorders>
            <w:shd w:val="clear" w:color="auto" w:fill="D9D9D9"/>
          </w:tcPr>
          <w:p>
            <w:pPr>
              <w:spacing w:after="0"/>
              <w:rPr>
                <w:sz w:val="11"/>
                <w:szCs w:val="11"/>
                <w:color w:val="auto"/>
              </w:rPr>
            </w:pPr>
          </w:p>
        </w:tc>
        <w:tc>
          <w:tcPr>
            <w:tcW w:w="400" w:type="dxa"/>
            <w:vAlign w:val="bottom"/>
            <w:tcBorders>
              <w:bottom w:val="single" w:sz="8" w:color="auto"/>
              <w:right w:val="single" w:sz="8" w:color="auto"/>
            </w:tcBorders>
            <w:shd w:val="clear" w:color="auto" w:fill="D9D9D9"/>
          </w:tcPr>
          <w:p>
            <w:pPr>
              <w:spacing w:after="0"/>
              <w:rPr>
                <w:sz w:val="11"/>
                <w:szCs w:val="11"/>
                <w:color w:val="auto"/>
              </w:rPr>
            </w:pPr>
          </w:p>
        </w:tc>
        <w:tc>
          <w:tcPr>
            <w:tcW w:w="380" w:type="dxa"/>
            <w:vAlign w:val="bottom"/>
            <w:tcBorders>
              <w:bottom w:val="single" w:sz="8" w:color="auto"/>
            </w:tcBorders>
            <w:shd w:val="clear" w:color="auto" w:fill="D9D9D9"/>
          </w:tcPr>
          <w:p>
            <w:pPr>
              <w:spacing w:after="0"/>
              <w:rPr>
                <w:sz w:val="11"/>
                <w:szCs w:val="11"/>
                <w:color w:val="auto"/>
              </w:rPr>
            </w:pPr>
          </w:p>
        </w:tc>
        <w:tc>
          <w:tcPr>
            <w:tcW w:w="820" w:type="dxa"/>
            <w:vAlign w:val="bottom"/>
            <w:tcBorders>
              <w:bottom w:val="single" w:sz="8" w:color="auto"/>
            </w:tcBorders>
            <w:shd w:val="clear" w:color="auto" w:fill="D9D9D9"/>
          </w:tcPr>
          <w:p>
            <w:pPr>
              <w:spacing w:after="0"/>
              <w:rPr>
                <w:sz w:val="11"/>
                <w:szCs w:val="11"/>
                <w:color w:val="auto"/>
              </w:rPr>
            </w:pPr>
          </w:p>
        </w:tc>
        <w:tc>
          <w:tcPr>
            <w:tcW w:w="4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interest expense (including that portion</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attributable to capital leases in accordance with</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GAAP and capitalized interest) of Holdings and its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Subsidiaries for such period, on a consolidated</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basis with respect to all outstanding Consolidated</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Debt for Borrowed Money, including all</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89"/>
              </w:rPr>
              <w:t>commissions, discounts and other fees and charges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owed with respect to letters of credit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interest expense not payable in cash</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income (net of costs) under Hedge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Agreements in respect of interest rates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Consolidated Interest Expense</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2"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Annex 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ASSIGNMENT AND ASSUMPTION</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[the][each] Assignor identified in item 1 below ([the][each,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[the][each] Assignee identified in item 2 below ([the][each, an] “</w:t>
      </w:r>
      <w:r>
        <w:rPr>
          <w:rFonts w:ascii="Arial" w:cs="Arial" w:eastAsia="Arial" w:hAnsi="Arial"/>
          <w:sz w:val="19"/>
          <w:szCs w:val="19"/>
          <w:u w:val="single" w:color="auto"/>
          <w:color w:val="auto"/>
        </w:rPr>
        <w:t>Assignee</w:t>
      </w:r>
      <w:r>
        <w:rPr>
          <w:rFonts w:ascii="Arial" w:cs="Arial" w:eastAsia="Arial" w:hAnsi="Arial"/>
          <w:sz w:val="19"/>
          <w:szCs w:val="19"/>
          <w:color w:val="auto"/>
        </w:rPr>
        <w:t>”). [It is understood and agreed that the rights and obligations of [the Assignors][the Assignees] hereunder are several and not joint.] Capitalized terms used but not defined herein shall have the meanings given to them in the Credit Agreement identified below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9"/>
          <w:szCs w:val="19"/>
          <w:u w:val="single" w:color="auto"/>
          <w:color w:val="auto"/>
        </w:rPr>
        <w:t>Assigned Interest</w:t>
      </w:r>
      <w:r>
        <w:rPr>
          <w:rFonts w:ascii="Arial" w:cs="Arial" w:eastAsia="Arial" w:hAnsi="Arial"/>
          <w:sz w:val="19"/>
          <w:szCs w:val="19"/>
          <w:color w:val="auto"/>
        </w:rPr>
        <w:t>”). Each such sale and assignment is without recourse to [the][any] Assignor and, except as expressly provided in this Assignment and Assumption, without representation or warranty by [the][any] Assignor.</w:t>
      </w:r>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Assignor[s]</w:t>
      </w:r>
      <w:r>
        <w:rPr>
          <w:rFonts w:ascii="Arial" w:cs="Arial" w:eastAsia="Arial" w:hAnsi="Arial"/>
          <w:sz w:val="22"/>
          <w:szCs w:val="22"/>
          <w:color w:val="auto"/>
        </w:rPr>
        <w:t>:  ______________________________</w:t>
      </w:r>
    </w:p>
    <w:p>
      <w:pPr>
        <w:spacing w:after="0" w:line="26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Assignee[s]</w:t>
      </w:r>
      <w:r>
        <w:rPr>
          <w:rFonts w:ascii="Arial" w:cs="Arial" w:eastAsia="Arial" w:hAnsi="Arial"/>
          <w:sz w:val="22"/>
          <w:szCs w:val="22"/>
          <w:color w:val="auto"/>
        </w:rPr>
        <w:t>: ______________________________ [for each Assignee, indicate [Affiliate][Approved Fund] of [</w:t>
      </w:r>
      <w:r>
        <w:rPr>
          <w:rFonts w:ascii="Arial" w:cs="Arial" w:eastAsia="Arial" w:hAnsi="Arial"/>
          <w:sz w:val="22"/>
          <w:szCs w:val="22"/>
          <w:i w:val="1"/>
          <w:iCs w:val="1"/>
          <w:color w:val="auto"/>
        </w:rPr>
        <w:t>identify Lender</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Borrower(s)</w:t>
      </w:r>
      <w:r>
        <w:rPr>
          <w:rFonts w:ascii="Arial" w:cs="Arial" w:eastAsia="Arial" w:hAnsi="Arial"/>
          <w:sz w:val="22"/>
          <w:szCs w:val="22"/>
          <w:color w:val="auto"/>
        </w:rPr>
        <w:t>:  ______________________________</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 JPMorgan Chase Bank, N.A.</w:t>
      </w:r>
    </w:p>
    <w:p>
      <w:pPr>
        <w:sectPr>
          <w:pgSz w:w="11900" w:h="16838" w:orient="portrait"/>
          <w:cols w:equalWidth="0" w:num="1">
            <w:col w:w="11420"/>
          </w:cols>
          <w:pgMar w:left="240" w:top="132" w:right="239" w:bottom="1440" w:gutter="0" w:footer="0" w:header="0"/>
        </w:sectPr>
      </w:pPr>
    </w:p>
    <w:bookmarkStart w:id="82" w:name="page83"/>
    <w:bookmarkEnd w:id="82"/>
    <w:p>
      <w:pPr>
        <w:jc w:val="both"/>
        <w:ind w:left="980" w:right="20" w:hanging="324"/>
        <w:spacing w:after="0" w:line="248" w:lineRule="auto"/>
        <w:tabs>
          <w:tab w:leader="none" w:pos="9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Credit Agreement, dated as of January 9, 2014 among Western Digital Technologies, Inc., a Delaware corporation, Western Digital International, Ltd., an exempted company incorporated under the laws of the Cayman Islands, and Western Digital Ireland, Ltd., an exempted company incorporated under the laws of the Cayman Islands, as borrowers, Western Digital Corporation, a Delaware corporation, each lender from time to time party thereto and JPMorgan Chase Bank, N.A., as Administrative Agent.</w:t>
      </w:r>
    </w:p>
    <w:p>
      <w:pPr>
        <w:spacing w:after="0" w:line="232" w:lineRule="exact"/>
        <w:rPr>
          <w:rFonts w:ascii="Arial" w:cs="Arial" w:eastAsia="Arial" w:hAnsi="Arial"/>
          <w:sz w:val="22"/>
          <w:szCs w:val="22"/>
          <w:color w:val="auto"/>
        </w:rPr>
      </w:pPr>
    </w:p>
    <w:p>
      <w:pPr>
        <w:ind w:left="980" w:hanging="324"/>
        <w:spacing w:after="0"/>
        <w:tabs>
          <w:tab w:leader="none" w:pos="9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Assigned Interest[s]</w:t>
      </w:r>
      <w:r>
        <w:rPr>
          <w:rFonts w:ascii="Arial" w:cs="Arial" w:eastAsia="Arial" w:hAnsi="Arial"/>
          <w:sz w:val="22"/>
          <w:szCs w:val="22"/>
          <w:color w:val="auto"/>
        </w:rPr>
        <w:t>:</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860" w:type="dxa"/>
            <w:vAlign w:val="bottom"/>
            <w:tcBorders>
              <w:top w:val="single" w:sz="8" w:color="00000A"/>
              <w:left w:val="single" w:sz="8" w:color="00000A"/>
              <w:right w:val="single" w:sz="8" w:color="00000A"/>
            </w:tcBorders>
          </w:tcPr>
          <w:p>
            <w:pPr>
              <w:spacing w:after="0"/>
              <w:rPr>
                <w:sz w:val="24"/>
                <w:szCs w:val="24"/>
                <w:color w:val="auto"/>
              </w:rPr>
            </w:pPr>
          </w:p>
        </w:tc>
        <w:tc>
          <w:tcPr>
            <w:tcW w:w="200" w:type="dxa"/>
            <w:vAlign w:val="bottom"/>
            <w:tcBorders>
              <w:top w:val="single" w:sz="8" w:color="00000A"/>
            </w:tcBorders>
          </w:tcPr>
          <w:p>
            <w:pPr>
              <w:spacing w:after="0"/>
              <w:rPr>
                <w:sz w:val="24"/>
                <w:szCs w:val="24"/>
                <w:color w:val="auto"/>
              </w:rPr>
            </w:pPr>
          </w:p>
        </w:tc>
        <w:tc>
          <w:tcPr>
            <w:tcW w:w="1420" w:type="dxa"/>
            <w:vAlign w:val="bottom"/>
            <w:tcBorders>
              <w:top w:val="single" w:sz="8" w:color="00000A"/>
              <w:right w:val="single" w:sz="8" w:color="00000A"/>
            </w:tcBorders>
          </w:tcPr>
          <w:p>
            <w:pPr>
              <w:spacing w:after="0"/>
              <w:rPr>
                <w:sz w:val="24"/>
                <w:szCs w:val="24"/>
                <w:color w:val="auto"/>
              </w:rPr>
            </w:pPr>
          </w:p>
        </w:tc>
        <w:tc>
          <w:tcPr>
            <w:tcW w:w="1480" w:type="dxa"/>
            <w:vAlign w:val="bottom"/>
            <w:tcBorders>
              <w:top w:val="single" w:sz="8" w:color="00000A"/>
              <w:right w:val="single" w:sz="8" w:color="00000A"/>
            </w:tcBorders>
          </w:tcPr>
          <w:p>
            <w:pPr>
              <w:spacing w:after="0"/>
              <w:rPr>
                <w:sz w:val="24"/>
                <w:szCs w:val="24"/>
                <w:color w:val="auto"/>
              </w:rPr>
            </w:pPr>
          </w:p>
        </w:tc>
        <w:tc>
          <w:tcPr>
            <w:tcW w:w="2400" w:type="dxa"/>
            <w:vAlign w:val="bottom"/>
            <w:tcBorders>
              <w:top w:val="single" w:sz="8" w:color="00000A"/>
              <w:right w:val="single" w:sz="8" w:color="00000A"/>
            </w:tcBorders>
          </w:tcPr>
          <w:p>
            <w:pPr>
              <w:spacing w:after="0"/>
              <w:rPr>
                <w:sz w:val="24"/>
                <w:szCs w:val="24"/>
                <w:color w:val="auto"/>
              </w:rPr>
            </w:pPr>
          </w:p>
        </w:tc>
        <w:tc>
          <w:tcPr>
            <w:tcW w:w="14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5"/>
              </w:rPr>
              <w:t>Amount of</w:t>
            </w:r>
          </w:p>
        </w:tc>
        <w:tc>
          <w:tcPr>
            <w:tcW w:w="1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6"/>
              </w:rPr>
              <w:t>Percentage</w:t>
            </w:r>
          </w:p>
        </w:tc>
        <w:tc>
          <w:tcPr>
            <w:tcW w:w="11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CUSIP</w:t>
            </w:r>
          </w:p>
        </w:tc>
        <w:tc>
          <w:tcPr>
            <w:tcW w:w="0" w:type="dxa"/>
            <w:vAlign w:val="bottom"/>
          </w:tcPr>
          <w:p>
            <w:pPr>
              <w:spacing w:after="0"/>
              <w:rPr>
                <w:sz w:val="1"/>
                <w:szCs w:val="1"/>
                <w:color w:val="auto"/>
              </w:rPr>
            </w:pPr>
          </w:p>
        </w:tc>
      </w:tr>
      <w:tr>
        <w:trPr>
          <w:trHeight w:val="203"/>
        </w:trPr>
        <w:tc>
          <w:tcPr>
            <w:tcW w:w="1860" w:type="dxa"/>
            <w:vAlign w:val="bottom"/>
            <w:tcBorders>
              <w:left w:val="single" w:sz="8" w:color="00000A"/>
              <w:right w:val="single" w:sz="8" w:color="00000A"/>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right w:val="single" w:sz="8" w:color="00000A"/>
            </w:tcBorders>
          </w:tcPr>
          <w:p>
            <w:pPr>
              <w:spacing w:after="0"/>
              <w:rPr>
                <w:sz w:val="17"/>
                <w:szCs w:val="17"/>
                <w:color w:val="auto"/>
              </w:rPr>
            </w:pPr>
          </w:p>
        </w:tc>
        <w:tc>
          <w:tcPr>
            <w:tcW w:w="1480" w:type="dxa"/>
            <w:vAlign w:val="bottom"/>
            <w:tcBorders>
              <w:right w:val="single" w:sz="8" w:color="00000A"/>
            </w:tcBorders>
          </w:tcPr>
          <w:p>
            <w:pPr>
              <w:spacing w:after="0"/>
              <w:rPr>
                <w:sz w:val="17"/>
                <w:szCs w:val="17"/>
                <w:color w:val="auto"/>
              </w:rPr>
            </w:pPr>
          </w:p>
        </w:tc>
        <w:tc>
          <w:tcPr>
            <w:tcW w:w="2400" w:type="dxa"/>
            <w:vAlign w:val="bottom"/>
            <w:tcBorders>
              <w:right w:val="single" w:sz="8" w:color="00000A"/>
            </w:tcBorders>
          </w:tcPr>
          <w:p>
            <w:pPr>
              <w:jc w:val="center"/>
              <w:spacing w:after="0" w:line="203" w:lineRule="exact"/>
              <w:rPr>
                <w:sz w:val="20"/>
                <w:szCs w:val="20"/>
                <w:color w:val="auto"/>
              </w:rPr>
            </w:pPr>
            <w:r>
              <w:rPr>
                <w:rFonts w:ascii="Arial" w:cs="Arial" w:eastAsia="Arial" w:hAnsi="Arial"/>
                <w:sz w:val="18"/>
                <w:szCs w:val="18"/>
                <w:color w:val="auto"/>
                <w:w w:val="92"/>
              </w:rPr>
              <w:t>Aggregate Amount of</w:t>
            </w:r>
          </w:p>
        </w:tc>
        <w:tc>
          <w:tcPr>
            <w:tcW w:w="1480" w:type="dxa"/>
            <w:vAlign w:val="bottom"/>
            <w:tcBorders>
              <w:right w:val="single" w:sz="8" w:color="00000A"/>
            </w:tcBorders>
            <w:vMerge w:val="continue"/>
          </w:tcPr>
          <w:p>
            <w:pPr>
              <w:spacing w:after="0"/>
              <w:rPr>
                <w:sz w:val="17"/>
                <w:szCs w:val="17"/>
                <w:color w:val="auto"/>
              </w:rPr>
            </w:pPr>
          </w:p>
        </w:tc>
        <w:tc>
          <w:tcPr>
            <w:tcW w:w="1460" w:type="dxa"/>
            <w:vAlign w:val="bottom"/>
            <w:tcBorders>
              <w:right w:val="single" w:sz="8" w:color="00000A"/>
            </w:tcBorders>
          </w:tcPr>
          <w:p>
            <w:pPr>
              <w:jc w:val="center"/>
              <w:spacing w:after="0" w:line="203" w:lineRule="exact"/>
              <w:rPr>
                <w:sz w:val="20"/>
                <w:szCs w:val="20"/>
                <w:color w:val="auto"/>
              </w:rPr>
            </w:pPr>
            <w:r>
              <w:rPr>
                <w:rFonts w:ascii="Arial" w:cs="Arial" w:eastAsia="Arial" w:hAnsi="Arial"/>
                <w:sz w:val="18"/>
                <w:szCs w:val="18"/>
                <w:color w:val="auto"/>
                <w:w w:val="91"/>
              </w:rPr>
              <w:t>Assigned of</w:t>
            </w:r>
          </w:p>
        </w:tc>
        <w:tc>
          <w:tcPr>
            <w:tcW w:w="1140" w:type="dxa"/>
            <w:vAlign w:val="bottom"/>
            <w:tcBorders>
              <w:right w:val="single" w:sz="8" w:color="00000A"/>
            </w:tcBorders>
          </w:tcPr>
          <w:p>
            <w:pPr>
              <w:jc w:val="center"/>
              <w:spacing w:after="0" w:line="203" w:lineRule="exact"/>
              <w:rPr>
                <w:sz w:val="20"/>
                <w:szCs w:val="20"/>
                <w:color w:val="auto"/>
              </w:rPr>
            </w:pPr>
            <w:r>
              <w:rPr>
                <w:rFonts w:ascii="Arial" w:cs="Arial" w:eastAsia="Arial" w:hAnsi="Arial"/>
                <w:sz w:val="18"/>
                <w:szCs w:val="18"/>
                <w:color w:val="auto"/>
                <w:w w:val="93"/>
              </w:rPr>
              <w:t>Number</w:t>
            </w:r>
          </w:p>
        </w:tc>
        <w:tc>
          <w:tcPr>
            <w:tcW w:w="0" w:type="dxa"/>
            <w:vAlign w:val="bottom"/>
          </w:tcPr>
          <w:p>
            <w:pPr>
              <w:spacing w:after="0"/>
              <w:rPr>
                <w:sz w:val="1"/>
                <w:szCs w:val="1"/>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right w:val="single" w:sz="8" w:color="00000A"/>
            </w:tcBorders>
          </w:tcPr>
          <w:p>
            <w:pPr>
              <w:spacing w:after="0"/>
              <w:rPr>
                <w:sz w:val="18"/>
                <w:szCs w:val="18"/>
                <w:color w:val="auto"/>
              </w:rPr>
            </w:pPr>
          </w:p>
        </w:tc>
        <w:tc>
          <w:tcPr>
            <w:tcW w:w="1480" w:type="dxa"/>
            <w:vAlign w:val="bottom"/>
            <w:tcBorders>
              <w:right w:val="single" w:sz="8" w:color="00000A"/>
            </w:tcBorders>
          </w:tcPr>
          <w:p>
            <w:pPr>
              <w:spacing w:after="0"/>
              <w:rPr>
                <w:sz w:val="18"/>
                <w:szCs w:val="18"/>
                <w:color w:val="auto"/>
              </w:rPr>
            </w:pP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Commitment/Loans for all</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4"/>
              </w:rPr>
              <w:t>Commitment</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4"/>
              </w:rPr>
              <w:t>Commitment</w:t>
            </w:r>
          </w:p>
        </w:tc>
        <w:tc>
          <w:tcPr>
            <w:tcW w:w="114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Assignor[s]</w:t>
            </w:r>
          </w:p>
        </w:tc>
        <w:tc>
          <w:tcPr>
            <w:tcW w:w="200" w:type="dxa"/>
            <w:vAlign w:val="bottom"/>
          </w:tcPr>
          <w:p>
            <w:pPr>
              <w:spacing w:after="0"/>
              <w:rPr>
                <w:sz w:val="23"/>
                <w:szCs w:val="23"/>
                <w:color w:val="auto"/>
              </w:rPr>
            </w:pPr>
          </w:p>
        </w:tc>
        <w:tc>
          <w:tcPr>
            <w:tcW w:w="1420" w:type="dxa"/>
            <w:vAlign w:val="bottom"/>
            <w:tcBorders>
              <w:right w:val="single" w:sz="8" w:color="00000A"/>
            </w:tcBorders>
          </w:tcPr>
          <w:p>
            <w:pPr>
              <w:jc w:val="center"/>
              <w:ind w:right="126"/>
              <w:spacing w:after="0"/>
              <w:rPr>
                <w:sz w:val="20"/>
                <w:szCs w:val="20"/>
                <w:color w:val="auto"/>
              </w:rPr>
            </w:pPr>
            <w:r>
              <w:rPr>
                <w:rFonts w:ascii="Arial" w:cs="Arial" w:eastAsia="Arial" w:hAnsi="Arial"/>
                <w:sz w:val="18"/>
                <w:szCs w:val="18"/>
                <w:color w:val="auto"/>
                <w:w w:val="90"/>
              </w:rPr>
              <w:t>Assignee[s]</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4"/>
              </w:rPr>
              <w:t>Facility Assigned</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Lenders</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/Loans Assigned</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/Loans</w:t>
            </w:r>
          </w:p>
        </w:tc>
        <w:tc>
          <w:tcPr>
            <w:tcW w:w="11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00000A"/>
              <w:bottom w:val="single" w:sz="8" w:color="00000A"/>
              <w:right w:val="single" w:sz="8" w:color="00000A"/>
            </w:tcBorders>
          </w:tcPr>
          <w:p>
            <w:pPr>
              <w:spacing w:after="0"/>
              <w:rPr>
                <w:sz w:val="9"/>
                <w:szCs w:val="9"/>
                <w:color w:val="auto"/>
              </w:rPr>
            </w:pPr>
          </w:p>
        </w:tc>
        <w:tc>
          <w:tcPr>
            <w:tcW w:w="200" w:type="dxa"/>
            <w:vAlign w:val="bottom"/>
            <w:tcBorders>
              <w:bottom w:val="single" w:sz="8" w:color="00000A"/>
            </w:tcBorders>
          </w:tcPr>
          <w:p>
            <w:pPr>
              <w:spacing w:after="0"/>
              <w:rPr>
                <w:sz w:val="9"/>
                <w:szCs w:val="9"/>
                <w:color w:val="auto"/>
              </w:rPr>
            </w:pPr>
          </w:p>
        </w:tc>
        <w:tc>
          <w:tcPr>
            <w:tcW w:w="1420" w:type="dxa"/>
            <w:vAlign w:val="bottom"/>
            <w:tcBorders>
              <w:bottom w:val="single" w:sz="8" w:color="00000A"/>
              <w:right w:val="single" w:sz="8" w:color="00000A"/>
            </w:tcBorders>
          </w:tcPr>
          <w:p>
            <w:pPr>
              <w:spacing w:after="0"/>
              <w:rPr>
                <w:sz w:val="9"/>
                <w:szCs w:val="9"/>
                <w:color w:val="auto"/>
              </w:rPr>
            </w:pPr>
          </w:p>
        </w:tc>
        <w:tc>
          <w:tcPr>
            <w:tcW w:w="1480" w:type="dxa"/>
            <w:vAlign w:val="bottom"/>
            <w:tcBorders>
              <w:bottom w:val="single" w:sz="8" w:color="00000A"/>
              <w:right w:val="single" w:sz="8" w:color="00000A"/>
            </w:tcBorders>
          </w:tcPr>
          <w:p>
            <w:pPr>
              <w:spacing w:after="0"/>
              <w:rPr>
                <w:sz w:val="9"/>
                <w:szCs w:val="9"/>
                <w:color w:val="auto"/>
              </w:rPr>
            </w:pPr>
          </w:p>
        </w:tc>
        <w:tc>
          <w:tcPr>
            <w:tcW w:w="2400" w:type="dxa"/>
            <w:vAlign w:val="bottom"/>
            <w:tcBorders>
              <w:bottom w:val="single" w:sz="8" w:color="00000A"/>
              <w:right w:val="single" w:sz="8" w:color="00000A"/>
            </w:tcBorders>
          </w:tcPr>
          <w:p>
            <w:pPr>
              <w:spacing w:after="0"/>
              <w:rPr>
                <w:sz w:val="9"/>
                <w:szCs w:val="9"/>
                <w:color w:val="auto"/>
              </w:rPr>
            </w:pPr>
          </w:p>
        </w:tc>
        <w:tc>
          <w:tcPr>
            <w:tcW w:w="1480" w:type="dxa"/>
            <w:vAlign w:val="bottom"/>
            <w:tcBorders>
              <w:bottom w:val="single" w:sz="8" w:color="00000A"/>
              <w:right w:val="single" w:sz="8" w:color="00000A"/>
            </w:tcBorders>
          </w:tcPr>
          <w:p>
            <w:pPr>
              <w:spacing w:after="0"/>
              <w:rPr>
                <w:sz w:val="9"/>
                <w:szCs w:val="9"/>
                <w:color w:val="auto"/>
              </w:rPr>
            </w:pPr>
          </w:p>
        </w:tc>
        <w:tc>
          <w:tcPr>
            <w:tcW w:w="1460" w:type="dxa"/>
            <w:vAlign w:val="bottom"/>
            <w:tcBorders>
              <w:bottom w:val="single" w:sz="8" w:color="00000A"/>
              <w:right w:val="single" w:sz="8" w:color="00000A"/>
            </w:tcBorders>
          </w:tcPr>
          <w:p>
            <w:pPr>
              <w:spacing w:after="0"/>
              <w:rPr>
                <w:sz w:val="9"/>
                <w:szCs w:val="9"/>
                <w:color w:val="auto"/>
              </w:rPr>
            </w:pPr>
          </w:p>
        </w:tc>
        <w:tc>
          <w:tcPr>
            <w:tcW w:w="114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_____________</w:t>
            </w:r>
          </w:p>
        </w:tc>
        <w:tc>
          <w:tcPr>
            <w:tcW w:w="200" w:type="dxa"/>
            <w:vAlign w:val="bottom"/>
          </w:tcPr>
          <w:p>
            <w:pPr>
              <w:spacing w:after="0"/>
              <w:rPr>
                <w:sz w:val="24"/>
                <w:szCs w:val="24"/>
                <w:color w:val="auto"/>
              </w:rPr>
            </w:pPr>
          </w:p>
        </w:tc>
        <w:tc>
          <w:tcPr>
            <w:tcW w:w="1420" w:type="dxa"/>
            <w:vAlign w:val="bottom"/>
            <w:tcBorders>
              <w:right w:val="single" w:sz="8" w:color="00000A"/>
            </w:tcBorders>
          </w:tcPr>
          <w:p>
            <w:pPr>
              <w:jc w:val="center"/>
              <w:ind w:right="126"/>
              <w:spacing w:after="0"/>
              <w:rPr>
                <w:sz w:val="20"/>
                <w:szCs w:val="20"/>
                <w:color w:val="auto"/>
              </w:rPr>
            </w:pPr>
            <w:r>
              <w:rPr>
                <w:rFonts w:ascii="Arial" w:cs="Arial" w:eastAsia="Arial" w:hAnsi="Arial"/>
                <w:sz w:val="18"/>
                <w:szCs w:val="18"/>
                <w:color w:val="auto"/>
                <w:w w:val="89"/>
              </w:rPr>
              <w:t>____________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$_________________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$__________</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________%</w:t>
            </w:r>
          </w:p>
        </w:tc>
        <w:tc>
          <w:tcPr>
            <w:tcW w:w="1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w:t>
            </w:r>
          </w:p>
        </w:tc>
        <w:tc>
          <w:tcPr>
            <w:tcW w:w="0" w:type="dxa"/>
            <w:vAlign w:val="bottom"/>
          </w:tcPr>
          <w:p>
            <w:pPr>
              <w:spacing w:after="0"/>
              <w:rPr>
                <w:sz w:val="1"/>
                <w:szCs w:val="1"/>
                <w:color w:val="auto"/>
              </w:rPr>
            </w:pPr>
          </w:p>
        </w:tc>
      </w:tr>
      <w:tr>
        <w:trPr>
          <w:trHeight w:val="162"/>
        </w:trPr>
        <w:tc>
          <w:tcPr>
            <w:tcW w:w="1860" w:type="dxa"/>
            <w:vAlign w:val="bottom"/>
            <w:tcBorders>
              <w:left w:val="single" w:sz="8" w:color="00000A"/>
              <w:bottom w:val="single" w:sz="8" w:color="00000A"/>
              <w:right w:val="single" w:sz="8" w:color="00000A"/>
            </w:tcBorders>
          </w:tcPr>
          <w:p>
            <w:pPr>
              <w:spacing w:after="0"/>
              <w:rPr>
                <w:sz w:val="14"/>
                <w:szCs w:val="14"/>
                <w:color w:val="auto"/>
              </w:rPr>
            </w:pPr>
          </w:p>
        </w:tc>
        <w:tc>
          <w:tcPr>
            <w:tcW w:w="200" w:type="dxa"/>
            <w:vAlign w:val="bottom"/>
            <w:tcBorders>
              <w:bottom w:val="single" w:sz="8" w:color="00000A"/>
            </w:tcBorders>
          </w:tcPr>
          <w:p>
            <w:pPr>
              <w:spacing w:after="0"/>
              <w:rPr>
                <w:sz w:val="14"/>
                <w:szCs w:val="14"/>
                <w:color w:val="auto"/>
              </w:rPr>
            </w:pPr>
          </w:p>
        </w:tc>
        <w:tc>
          <w:tcPr>
            <w:tcW w:w="1420" w:type="dxa"/>
            <w:vAlign w:val="bottom"/>
            <w:tcBorders>
              <w:bottom w:val="single" w:sz="8" w:color="00000A"/>
              <w:right w:val="single" w:sz="8" w:color="00000A"/>
            </w:tcBorders>
          </w:tcPr>
          <w:p>
            <w:pPr>
              <w:spacing w:after="0"/>
              <w:rPr>
                <w:sz w:val="14"/>
                <w:szCs w:val="14"/>
                <w:color w:val="auto"/>
              </w:rPr>
            </w:pPr>
          </w:p>
        </w:tc>
        <w:tc>
          <w:tcPr>
            <w:tcW w:w="1480" w:type="dxa"/>
            <w:vAlign w:val="bottom"/>
            <w:tcBorders>
              <w:bottom w:val="single" w:sz="8" w:color="00000A"/>
              <w:right w:val="single" w:sz="8" w:color="00000A"/>
            </w:tcBorders>
          </w:tcPr>
          <w:p>
            <w:pPr>
              <w:spacing w:after="0"/>
              <w:rPr>
                <w:sz w:val="14"/>
                <w:szCs w:val="14"/>
                <w:color w:val="auto"/>
              </w:rPr>
            </w:pPr>
          </w:p>
        </w:tc>
        <w:tc>
          <w:tcPr>
            <w:tcW w:w="2400" w:type="dxa"/>
            <w:vAlign w:val="bottom"/>
            <w:tcBorders>
              <w:bottom w:val="single" w:sz="8" w:color="00000A"/>
              <w:right w:val="single" w:sz="8" w:color="00000A"/>
            </w:tcBorders>
          </w:tcPr>
          <w:p>
            <w:pPr>
              <w:spacing w:after="0"/>
              <w:rPr>
                <w:sz w:val="14"/>
                <w:szCs w:val="14"/>
                <w:color w:val="auto"/>
              </w:rPr>
            </w:pPr>
          </w:p>
        </w:tc>
        <w:tc>
          <w:tcPr>
            <w:tcW w:w="1480" w:type="dxa"/>
            <w:vAlign w:val="bottom"/>
            <w:tcBorders>
              <w:bottom w:val="single" w:sz="8" w:color="00000A"/>
              <w:right w:val="single" w:sz="8" w:color="00000A"/>
            </w:tcBorders>
          </w:tcPr>
          <w:p>
            <w:pPr>
              <w:spacing w:after="0"/>
              <w:rPr>
                <w:sz w:val="14"/>
                <w:szCs w:val="14"/>
                <w:color w:val="auto"/>
              </w:rPr>
            </w:pPr>
          </w:p>
        </w:tc>
        <w:tc>
          <w:tcPr>
            <w:tcW w:w="146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_____________</w:t>
            </w:r>
          </w:p>
        </w:tc>
        <w:tc>
          <w:tcPr>
            <w:tcW w:w="200" w:type="dxa"/>
            <w:vAlign w:val="bottom"/>
          </w:tcPr>
          <w:p>
            <w:pPr>
              <w:spacing w:after="0"/>
              <w:rPr>
                <w:sz w:val="24"/>
                <w:szCs w:val="24"/>
                <w:color w:val="auto"/>
              </w:rPr>
            </w:pPr>
          </w:p>
        </w:tc>
        <w:tc>
          <w:tcPr>
            <w:tcW w:w="1420" w:type="dxa"/>
            <w:vAlign w:val="bottom"/>
            <w:tcBorders>
              <w:right w:val="single" w:sz="8" w:color="00000A"/>
            </w:tcBorders>
          </w:tcPr>
          <w:p>
            <w:pPr>
              <w:jc w:val="center"/>
              <w:ind w:right="126"/>
              <w:spacing w:after="0"/>
              <w:rPr>
                <w:sz w:val="20"/>
                <w:szCs w:val="20"/>
                <w:color w:val="auto"/>
              </w:rPr>
            </w:pPr>
            <w:r>
              <w:rPr>
                <w:rFonts w:ascii="Arial" w:cs="Arial" w:eastAsia="Arial" w:hAnsi="Arial"/>
                <w:sz w:val="18"/>
                <w:szCs w:val="18"/>
                <w:color w:val="auto"/>
                <w:w w:val="89"/>
              </w:rPr>
              <w:t>____________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$_________________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$__________</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________%</w:t>
            </w:r>
          </w:p>
        </w:tc>
        <w:tc>
          <w:tcPr>
            <w:tcW w:w="1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w:t>
            </w:r>
          </w:p>
        </w:tc>
        <w:tc>
          <w:tcPr>
            <w:tcW w:w="0" w:type="dxa"/>
            <w:vAlign w:val="bottom"/>
          </w:tcPr>
          <w:p>
            <w:pPr>
              <w:spacing w:after="0"/>
              <w:rPr>
                <w:sz w:val="1"/>
                <w:szCs w:val="1"/>
                <w:color w:val="auto"/>
              </w:rPr>
            </w:pPr>
          </w:p>
        </w:tc>
      </w:tr>
      <w:tr>
        <w:trPr>
          <w:trHeight w:val="162"/>
        </w:trPr>
        <w:tc>
          <w:tcPr>
            <w:tcW w:w="1860" w:type="dxa"/>
            <w:vAlign w:val="bottom"/>
            <w:tcBorders>
              <w:left w:val="single" w:sz="8" w:color="00000A"/>
              <w:bottom w:val="single" w:sz="8" w:color="00000A"/>
              <w:right w:val="single" w:sz="8" w:color="00000A"/>
            </w:tcBorders>
          </w:tcPr>
          <w:p>
            <w:pPr>
              <w:spacing w:after="0"/>
              <w:rPr>
                <w:sz w:val="14"/>
                <w:szCs w:val="14"/>
                <w:color w:val="auto"/>
              </w:rPr>
            </w:pPr>
          </w:p>
        </w:tc>
        <w:tc>
          <w:tcPr>
            <w:tcW w:w="200" w:type="dxa"/>
            <w:vAlign w:val="bottom"/>
            <w:tcBorders>
              <w:bottom w:val="single" w:sz="8" w:color="00000A"/>
            </w:tcBorders>
          </w:tcPr>
          <w:p>
            <w:pPr>
              <w:spacing w:after="0"/>
              <w:rPr>
                <w:sz w:val="14"/>
                <w:szCs w:val="14"/>
                <w:color w:val="auto"/>
              </w:rPr>
            </w:pPr>
          </w:p>
        </w:tc>
        <w:tc>
          <w:tcPr>
            <w:tcW w:w="1420" w:type="dxa"/>
            <w:vAlign w:val="bottom"/>
            <w:tcBorders>
              <w:bottom w:val="single" w:sz="8" w:color="00000A"/>
              <w:right w:val="single" w:sz="8" w:color="00000A"/>
            </w:tcBorders>
          </w:tcPr>
          <w:p>
            <w:pPr>
              <w:spacing w:after="0"/>
              <w:rPr>
                <w:sz w:val="14"/>
                <w:szCs w:val="14"/>
                <w:color w:val="auto"/>
              </w:rPr>
            </w:pPr>
          </w:p>
        </w:tc>
        <w:tc>
          <w:tcPr>
            <w:tcW w:w="1480" w:type="dxa"/>
            <w:vAlign w:val="bottom"/>
            <w:tcBorders>
              <w:bottom w:val="single" w:sz="8" w:color="00000A"/>
              <w:right w:val="single" w:sz="8" w:color="00000A"/>
            </w:tcBorders>
          </w:tcPr>
          <w:p>
            <w:pPr>
              <w:spacing w:after="0"/>
              <w:rPr>
                <w:sz w:val="14"/>
                <w:szCs w:val="14"/>
                <w:color w:val="auto"/>
              </w:rPr>
            </w:pPr>
          </w:p>
        </w:tc>
        <w:tc>
          <w:tcPr>
            <w:tcW w:w="2400" w:type="dxa"/>
            <w:vAlign w:val="bottom"/>
            <w:tcBorders>
              <w:bottom w:val="single" w:sz="8" w:color="00000A"/>
              <w:right w:val="single" w:sz="8" w:color="00000A"/>
            </w:tcBorders>
          </w:tcPr>
          <w:p>
            <w:pPr>
              <w:spacing w:after="0"/>
              <w:rPr>
                <w:sz w:val="14"/>
                <w:szCs w:val="14"/>
                <w:color w:val="auto"/>
              </w:rPr>
            </w:pPr>
          </w:p>
        </w:tc>
        <w:tc>
          <w:tcPr>
            <w:tcW w:w="1480" w:type="dxa"/>
            <w:vAlign w:val="bottom"/>
            <w:tcBorders>
              <w:bottom w:val="single" w:sz="8" w:color="00000A"/>
              <w:right w:val="single" w:sz="8" w:color="00000A"/>
            </w:tcBorders>
          </w:tcPr>
          <w:p>
            <w:pPr>
              <w:spacing w:after="0"/>
              <w:rPr>
                <w:sz w:val="14"/>
                <w:szCs w:val="14"/>
                <w:color w:val="auto"/>
              </w:rPr>
            </w:pPr>
          </w:p>
        </w:tc>
        <w:tc>
          <w:tcPr>
            <w:tcW w:w="146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_____________</w:t>
            </w:r>
          </w:p>
        </w:tc>
        <w:tc>
          <w:tcPr>
            <w:tcW w:w="200" w:type="dxa"/>
            <w:vAlign w:val="bottom"/>
          </w:tcPr>
          <w:p>
            <w:pPr>
              <w:spacing w:after="0"/>
              <w:rPr>
                <w:sz w:val="24"/>
                <w:szCs w:val="24"/>
                <w:color w:val="auto"/>
              </w:rPr>
            </w:pPr>
          </w:p>
        </w:tc>
        <w:tc>
          <w:tcPr>
            <w:tcW w:w="1420" w:type="dxa"/>
            <w:vAlign w:val="bottom"/>
            <w:tcBorders>
              <w:right w:val="single" w:sz="8" w:color="00000A"/>
            </w:tcBorders>
          </w:tcPr>
          <w:p>
            <w:pPr>
              <w:jc w:val="center"/>
              <w:ind w:right="126"/>
              <w:spacing w:after="0"/>
              <w:rPr>
                <w:sz w:val="20"/>
                <w:szCs w:val="20"/>
                <w:color w:val="auto"/>
              </w:rPr>
            </w:pPr>
            <w:r>
              <w:rPr>
                <w:rFonts w:ascii="Arial" w:cs="Arial" w:eastAsia="Arial" w:hAnsi="Arial"/>
                <w:sz w:val="18"/>
                <w:szCs w:val="18"/>
                <w:color w:val="auto"/>
                <w:w w:val="89"/>
              </w:rPr>
              <w:t>____________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$_________________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$__________</w:t>
            </w: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________%</w:t>
            </w:r>
          </w:p>
        </w:tc>
        <w:tc>
          <w:tcPr>
            <w:tcW w:w="1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________</w:t>
            </w:r>
          </w:p>
        </w:tc>
        <w:tc>
          <w:tcPr>
            <w:tcW w:w="0" w:type="dxa"/>
            <w:vAlign w:val="bottom"/>
          </w:tcPr>
          <w:p>
            <w:pPr>
              <w:spacing w:after="0"/>
              <w:rPr>
                <w:sz w:val="1"/>
                <w:szCs w:val="1"/>
                <w:color w:val="auto"/>
              </w:rPr>
            </w:pPr>
          </w:p>
        </w:tc>
      </w:tr>
      <w:tr>
        <w:trPr>
          <w:trHeight w:val="162"/>
        </w:trPr>
        <w:tc>
          <w:tcPr>
            <w:tcW w:w="1860" w:type="dxa"/>
            <w:vAlign w:val="bottom"/>
            <w:tcBorders>
              <w:left w:val="single" w:sz="8" w:color="00000A"/>
              <w:bottom w:val="single" w:sz="8" w:color="00000A"/>
              <w:right w:val="single" w:sz="8" w:color="00000A"/>
            </w:tcBorders>
          </w:tcPr>
          <w:p>
            <w:pPr>
              <w:spacing w:after="0"/>
              <w:rPr>
                <w:sz w:val="14"/>
                <w:szCs w:val="14"/>
                <w:color w:val="auto"/>
              </w:rPr>
            </w:pPr>
          </w:p>
        </w:tc>
        <w:tc>
          <w:tcPr>
            <w:tcW w:w="200" w:type="dxa"/>
            <w:vAlign w:val="bottom"/>
            <w:tcBorders>
              <w:bottom w:val="single" w:sz="8" w:color="00000A"/>
            </w:tcBorders>
          </w:tcPr>
          <w:p>
            <w:pPr>
              <w:spacing w:after="0"/>
              <w:rPr>
                <w:sz w:val="14"/>
                <w:szCs w:val="14"/>
                <w:color w:val="auto"/>
              </w:rPr>
            </w:pPr>
          </w:p>
        </w:tc>
        <w:tc>
          <w:tcPr>
            <w:tcW w:w="1420" w:type="dxa"/>
            <w:vAlign w:val="bottom"/>
            <w:tcBorders>
              <w:bottom w:val="single" w:sz="8" w:color="00000A"/>
              <w:right w:val="single" w:sz="8" w:color="00000A"/>
            </w:tcBorders>
          </w:tcPr>
          <w:p>
            <w:pPr>
              <w:spacing w:after="0"/>
              <w:rPr>
                <w:sz w:val="14"/>
                <w:szCs w:val="14"/>
                <w:color w:val="auto"/>
              </w:rPr>
            </w:pPr>
          </w:p>
        </w:tc>
        <w:tc>
          <w:tcPr>
            <w:tcW w:w="1480" w:type="dxa"/>
            <w:vAlign w:val="bottom"/>
            <w:tcBorders>
              <w:bottom w:val="single" w:sz="8" w:color="00000A"/>
              <w:right w:val="single" w:sz="8" w:color="00000A"/>
            </w:tcBorders>
          </w:tcPr>
          <w:p>
            <w:pPr>
              <w:spacing w:after="0"/>
              <w:rPr>
                <w:sz w:val="14"/>
                <w:szCs w:val="14"/>
                <w:color w:val="auto"/>
              </w:rPr>
            </w:pPr>
          </w:p>
        </w:tc>
        <w:tc>
          <w:tcPr>
            <w:tcW w:w="2400" w:type="dxa"/>
            <w:vAlign w:val="bottom"/>
            <w:tcBorders>
              <w:bottom w:val="single" w:sz="8" w:color="00000A"/>
              <w:right w:val="single" w:sz="8" w:color="00000A"/>
            </w:tcBorders>
          </w:tcPr>
          <w:p>
            <w:pPr>
              <w:spacing w:after="0"/>
              <w:rPr>
                <w:sz w:val="14"/>
                <w:szCs w:val="14"/>
                <w:color w:val="auto"/>
              </w:rPr>
            </w:pPr>
          </w:p>
        </w:tc>
        <w:tc>
          <w:tcPr>
            <w:tcW w:w="1480" w:type="dxa"/>
            <w:vAlign w:val="bottom"/>
            <w:tcBorders>
              <w:bottom w:val="single" w:sz="8" w:color="00000A"/>
              <w:right w:val="single" w:sz="8" w:color="00000A"/>
            </w:tcBorders>
          </w:tcPr>
          <w:p>
            <w:pPr>
              <w:spacing w:after="0"/>
              <w:rPr>
                <w:sz w:val="14"/>
                <w:szCs w:val="14"/>
                <w:color w:val="auto"/>
              </w:rPr>
            </w:pPr>
          </w:p>
        </w:tc>
        <w:tc>
          <w:tcPr>
            <w:tcW w:w="146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517"/>
        </w:trPr>
        <w:tc>
          <w:tcPr>
            <w:tcW w:w="2060" w:type="dxa"/>
            <w:vAlign w:val="bottom"/>
            <w:gridSpan w:val="2"/>
          </w:tcPr>
          <w:p>
            <w:pPr>
              <w:ind w:left="660"/>
              <w:spacing w:after="0"/>
              <w:rPr>
                <w:sz w:val="20"/>
                <w:szCs w:val="20"/>
                <w:color w:val="auto"/>
              </w:rPr>
            </w:pPr>
            <w:r>
              <w:rPr>
                <w:rFonts w:ascii="Arial" w:cs="Arial" w:eastAsia="Arial" w:hAnsi="Arial"/>
                <w:sz w:val="22"/>
                <w:szCs w:val="22"/>
                <w:color w:val="auto"/>
                <w:w w:val="94"/>
              </w:rPr>
              <w:t>7.  Trade Date:</w:t>
            </w:r>
          </w:p>
        </w:tc>
        <w:tc>
          <w:tcPr>
            <w:tcW w:w="2900" w:type="dxa"/>
            <w:vAlign w:val="bottom"/>
            <w:gridSpan w:val="2"/>
          </w:tcPr>
          <w:p>
            <w:pPr>
              <w:jc w:val="right"/>
              <w:ind w:right="710"/>
              <w:spacing w:after="0"/>
              <w:rPr>
                <w:sz w:val="20"/>
                <w:szCs w:val="20"/>
                <w:color w:val="auto"/>
              </w:rPr>
            </w:pPr>
            <w:r>
              <w:rPr>
                <w:rFonts w:ascii="Arial" w:cs="Arial" w:eastAsia="Arial" w:hAnsi="Arial"/>
                <w:sz w:val="22"/>
                <w:szCs w:val="22"/>
                <w:color w:val="auto"/>
                <w:w w:val="94"/>
              </w:rPr>
              <w:t>__________________</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Effective Date: __________________, 20__ [TO BE INSERTED BY ADMINISTRATIVE AGENT AND WHICH SHALL BE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THE EFFECTIVE DATE OF RECORDATION OF TRANSFER IN THE REGISTER THEREFOR.]</w:t>
      </w:r>
    </w:p>
    <w:p>
      <w:pPr>
        <w:spacing w:after="0" w:line="24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i w:val="1"/>
          <w:iCs w:val="1"/>
          <w:color w:val="auto"/>
        </w:rPr>
        <w:t>The Assignee, if not already a Lender, agrees to deliver to the Administrative Agent a completed Administrative Questionnaire in which the Assignee designates one or more credit contacts to whom all syndicate-level information will be made available</w:t>
      </w:r>
      <w:r>
        <w:rPr>
          <w:rFonts w:ascii="Arial" w:cs="Arial" w:eastAsia="Arial" w:hAnsi="Arial"/>
          <w:sz w:val="19"/>
          <w:szCs w:val="19"/>
          <w:color w:val="auto"/>
        </w:rPr>
        <w:t>.</w:t>
      </w:r>
    </w:p>
    <w:p>
      <w:pPr>
        <w:sectPr>
          <w:pgSz w:w="11900" w:h="16838" w:orient="portrait"/>
          <w:cols w:equalWidth="0" w:num="1">
            <w:col w:w="11440"/>
          </w:cols>
          <w:pgMar w:left="240" w:top="591" w:right="219" w:bottom="1440" w:gutter="0" w:footer="0" w:header="0"/>
        </w:sectPr>
      </w:pPr>
    </w:p>
    <w:bookmarkStart w:id="83" w:name="page84"/>
    <w:bookmarkEnd w:id="83"/>
    <w:p>
      <w:pPr>
        <w:spacing w:after="0"/>
        <w:rPr>
          <w:sz w:val="20"/>
          <w:szCs w:val="20"/>
          <w:color w:val="auto"/>
        </w:rPr>
      </w:pPr>
      <w:r>
        <w:rPr>
          <w:rFonts w:ascii="Arial" w:cs="Arial" w:eastAsia="Arial" w:hAnsi="Arial"/>
          <w:sz w:val="19"/>
          <w:szCs w:val="19"/>
          <w:color w:val="auto"/>
        </w:rPr>
        <w:t>The terms set forth in this Assignment and Assumption are hereby agreed to:</w:t>
      </w:r>
    </w:p>
    <w:p>
      <w:pPr>
        <w:sectPr>
          <w:pgSz w:w="11900" w:h="16838" w:orient="portrait"/>
          <w:cols w:equalWidth="0" w:num="1">
            <w:col w:w="9559"/>
          </w:cols>
          <w:pgMar w:left="900" w:top="84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ASSIGNOR</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[NAME OF ASSIGNOR]</w:t>
      </w:r>
    </w:p>
    <w:p>
      <w:pPr>
        <w:spacing w:after="0" w:line="25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-17780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ASSIGNEE</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[NAME OF ASSIGNEE]</w:t>
      </w:r>
    </w:p>
    <w:p>
      <w:pPr>
        <w:spacing w:after="0" w:line="25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-17780</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559"/>
          </w:cols>
          <w:pgMar w:left="900" w:top="847" w:right="1440"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22"/>
          <w:szCs w:val="22"/>
          <w:color w:val="auto"/>
        </w:rPr>
        <w:t>[Consented to and] Accepted: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 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[Consented to:]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 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L/C Issuer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 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Swing Line Lender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19"/>
          </w:cols>
          <w:pgMar w:left="240" w:top="591" w:right="1440"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[WESTERN DIGITAL TECHNOLOGIES, INC., as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Borrower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auto"/>
        </w:rPr>
        <w:t>WESTERN DIGITAL INTERNATIONAL, LTD., as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Cayman Parent Borrower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IRELAND, LTD., 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Cayman Subsidiary Borrower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19"/>
          </w:cols>
          <w:pgMar w:left="240" w:top="591"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ANNEX 1 TO EXHIBIT 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ASSIGNMENT AND ASSUMPTION</w:t>
      </w:r>
    </w:p>
    <w:p>
      <w:pPr>
        <w:spacing w:after="0" w:line="242"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[The][Each] Assignor (a) represents and warrants that (i) it is the legal and beneficial owner of [the][the relevant] Assigned Interest, (ii) [the][such] Assigned Interest is free and clear of any lien, encumbrance or other adverse claim and</w:t>
      </w:r>
    </w:p>
    <w:p>
      <w:pPr>
        <w:spacing w:after="0" w:line="1" w:lineRule="exact"/>
        <w:rPr>
          <w:sz w:val="20"/>
          <w:szCs w:val="20"/>
          <w:color w:val="auto"/>
        </w:rPr>
      </w:pPr>
    </w:p>
    <w:p>
      <w:pPr>
        <w:jc w:val="both"/>
        <w:ind w:firstLine="8"/>
        <w:spacing w:after="0" w:line="288" w:lineRule="auto"/>
        <w:tabs>
          <w:tab w:leader="none" w:pos="3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Holdings, any Borrower, any other Subsidiaries or Affiliates of Holdings or any other Person obligated in respect of any Loan Document or (iv) the performance or observance by Holdings, any Borrower, any other Subsidiaries or Affiliates of Holdings or any other Person of any of their respective obligations under any Loan Document.</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9"/>
          <w:szCs w:val="19"/>
          <w:u w:val="single" w:color="auto"/>
          <w:color w:val="auto"/>
        </w:rPr>
        <w:t>Section 11.06(b)(v)</w:t>
      </w:r>
      <w:r>
        <w:rPr>
          <w:rFonts w:ascii="Arial" w:cs="Arial" w:eastAsia="Arial" w:hAnsi="Arial"/>
          <w:sz w:val="19"/>
          <w:szCs w:val="19"/>
          <w:color w:val="auto"/>
        </w:rPr>
        <w:t xml:space="preserve"> of the Credit Agreement (subject to such consents, if any, as may be required under </w:t>
      </w:r>
      <w:r>
        <w:rPr>
          <w:rFonts w:ascii="Arial" w:cs="Arial" w:eastAsia="Arial" w:hAnsi="Arial"/>
          <w:sz w:val="19"/>
          <w:szCs w:val="19"/>
          <w:u w:val="single" w:color="auto"/>
          <w:color w:val="auto"/>
        </w:rPr>
        <w:t>Section 11.06(b)(iii)</w:t>
      </w:r>
      <w:r>
        <w:rPr>
          <w:rFonts w:ascii="Arial" w:cs="Arial" w:eastAsia="Arial" w:hAnsi="Arial"/>
          <w:sz w:val="19"/>
          <w:szCs w:val="19"/>
          <w:color w:val="auto"/>
        </w:rPr>
        <w:t xml:space="preserve"> of the Credit Agreement),</w:t>
      </w:r>
    </w:p>
    <w:p>
      <w:pPr>
        <w:spacing w:after="0" w:line="3" w:lineRule="exact"/>
        <w:rPr>
          <w:sz w:val="20"/>
          <w:szCs w:val="20"/>
          <w:color w:val="auto"/>
        </w:rPr>
      </w:pPr>
    </w:p>
    <w:p>
      <w:pPr>
        <w:jc w:val="both"/>
        <w:ind w:firstLine="8"/>
        <w:spacing w:after="0" w:line="284" w:lineRule="auto"/>
        <w:tabs>
          <w:tab w:leader="none" w:pos="389"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thereof (or, prior to the first such delivery, the financial statements referred to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w:t>
      </w:r>
    </w:p>
    <w:p>
      <w:pPr>
        <w:sectPr>
          <w:pgSz w:w="11900" w:h="16838" w:orient="portrait"/>
          <w:cols w:equalWidth="0" w:num="1">
            <w:col w:w="11420"/>
          </w:cols>
          <w:pgMar w:left="240" w:top="591" w:right="239" w:bottom="1440" w:gutter="0" w:footer="0" w:header="0"/>
        </w:sectPr>
      </w:pPr>
    </w:p>
    <w:bookmarkStart w:id="87" w:name="page88"/>
    <w:bookmarkEnd w:id="87"/>
    <w:p>
      <w:pPr>
        <w:spacing w:after="0"/>
        <w:rPr>
          <w:sz w:val="20"/>
          <w:szCs w:val="20"/>
          <w:color w:val="auto"/>
        </w:rPr>
      </w:pPr>
      <w:r>
        <w:rPr>
          <w:rFonts w:ascii="Arial" w:cs="Arial" w:eastAsia="Arial" w:hAnsi="Arial"/>
          <w:sz w:val="21"/>
          <w:szCs w:val="21"/>
          <w:color w:val="auto"/>
        </w:rPr>
        <w:t>their terms all of the obligations which by the terms of the Loan Documents are required to be performed by it as a Lender.</w:t>
      </w:r>
    </w:p>
    <w:p>
      <w:pPr>
        <w:spacing w:after="0" w:line="272" w:lineRule="exact"/>
        <w:rPr>
          <w:sz w:val="20"/>
          <w:szCs w:val="20"/>
          <w:color w:val="auto"/>
        </w:rPr>
      </w:pPr>
    </w:p>
    <w:p>
      <w:pPr>
        <w:jc w:val="both"/>
        <w:ind w:firstLine="8"/>
        <w:spacing w:after="0" w:line="250" w:lineRule="auto"/>
        <w:tabs>
          <w:tab w:leader="none" w:pos="48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228" w:lineRule="exact"/>
        <w:rPr>
          <w:rFonts w:ascii="Arial" w:cs="Arial" w:eastAsia="Arial" w:hAnsi="Arial"/>
          <w:sz w:val="22"/>
          <w:szCs w:val="22"/>
          <w:color w:val="auto"/>
        </w:rPr>
      </w:pPr>
    </w:p>
    <w:p>
      <w:pPr>
        <w:jc w:val="both"/>
        <w:ind w:firstLine="8"/>
        <w:spacing w:after="0" w:line="260" w:lineRule="auto"/>
        <w:tabs>
          <w:tab w:leader="none" w:pos="405"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the entire contract among the parties. Delivery of an executed counterpart of a signature page of this Assignment and Assumption by telecopy or other electronic imaging means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59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171" w:lineRule="exact"/>
        <w:rPr>
          <w:sz w:val="20"/>
          <w:szCs w:val="20"/>
          <w:color w:val="auto"/>
        </w:rPr>
      </w:pPr>
    </w:p>
    <w:p>
      <w:pPr>
        <w:ind w:left="720" w:hanging="185"/>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Olivier C. Leonetii, certify that:</w:t>
      </w:r>
    </w:p>
    <w:p>
      <w:pPr>
        <w:spacing w:after="0" w:line="171" w:lineRule="exact"/>
        <w:rPr>
          <w:sz w:val="20"/>
          <w:szCs w:val="20"/>
          <w:color w:val="auto"/>
        </w:rPr>
      </w:pPr>
    </w:p>
    <w:p>
      <w:pPr>
        <w:ind w:left="720" w:hanging="185"/>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90" w:name="page91"/>
    <w:bookmarkEnd w:id="90"/>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700" w:hanging="532"/>
        <w:spacing w:after="0" w:line="308"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April 3,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700" w:hanging="532"/>
        <w:spacing w:after="0" w:line="308"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April 3,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lvl w:ilvl="1">
      <w:lvlJc w:val="left"/>
      <w:lvlText w:val="*"/>
      <w:numFmt w:val="bullet"/>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lowerLetter"/>
      <w:start w:val="4"/>
    </w:lvl>
  </w:abstractNum>
  <w:abstractNum w:abstractNumId="28">
    <w:nsid w:val="580BD78F"/>
    <w:multiLevelType w:val="hybridMultilevel"/>
    <w:lvl w:ilvl="0">
      <w:lvlJc w:val="left"/>
      <w:lvlText w:val="(%1)"/>
      <w:numFmt w:val="lowerLetter"/>
      <w:start w:val="1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4"/>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upperLetter"/>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upperLetter"/>
      <w:start w:val="9"/>
    </w:lvl>
    <w:lvl w:ilvl="1">
      <w:lvlJc w:val="left"/>
      <w:lvlText w:val="%2"/>
      <w:numFmt w:val="upperLetter"/>
      <w:start w:val="1"/>
    </w:lvl>
  </w:abstractNum>
  <w:abstractNum w:abstractNumId="41">
    <w:nsid w:val="6DE91B18"/>
    <w:multiLevelType w:val="hybridMultilevel"/>
    <w:lvl w:ilvl="0">
      <w:lvlJc w:val="left"/>
      <w:lvlText w:val="%1."/>
      <w:numFmt w:val="upperLetter"/>
      <w:start w:val="35"/>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5"/>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Roman"/>
      <w:start w:val="3"/>
    </w:lvl>
  </w:abstractNum>
  <w:abstractNum w:abstractNumId="46">
    <w:nsid w:val="579478FE"/>
    <w:multiLevelType w:val="hybridMultilevel"/>
    <w:lvl w:ilvl="0">
      <w:lvlJc w:val="left"/>
      <w:lvlText w:val="(%1)"/>
      <w:numFmt w:val="lowerRoman"/>
      <w:start w:val="3"/>
    </w:lvl>
  </w:abstractNum>
  <w:abstractNum w:abstractNumId="47">
    <w:nsid w:val="749ABB43"/>
    <w:multiLevelType w:val="hybridMultilevel"/>
    <w:lvl w:ilvl="0">
      <w:lvlJc w:val="left"/>
      <w:lvlText w:val="%1."/>
      <w:numFmt w:val="decimal"/>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2019-12-29T17:06:28Z</dcterms:created>
  <dcterms:modified xsi:type="dcterms:W3CDTF">2019-12-29T17:06:28Z</dcterms:modified>
</cp:coreProperties>
</file>