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55245</wp:posOffset>
            </wp:positionV>
            <wp:extent cx="2772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127"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50165</wp:posOffset>
            </wp:positionV>
            <wp:extent cx="2772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(Mark One)</w:t>
      </w:r>
    </w:p>
    <w:p>
      <w:pPr>
        <w:spacing w:after="0" w:line="37"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2" w:lineRule="exact"/>
        <w:rPr>
          <w:sz w:val="24"/>
          <w:szCs w:val="24"/>
          <w:color w:val="auto"/>
        </w:rPr>
      </w:pPr>
    </w:p>
    <w:p>
      <w:pPr>
        <w:ind w:left="36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-6985</wp:posOffset>
            </wp:positionV>
            <wp:extent cx="1138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160020</wp:posOffset>
            </wp:positionV>
            <wp:extent cx="2772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241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377825</wp:posOffset>
            </wp:positionV>
            <wp:extent cx="2897505" cy="963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7505" cy="963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WESTERN DIGITAL CORPORATION</w:t>
      </w:r>
    </w:p>
    <w:p>
      <w:pPr>
        <w:sectPr>
          <w:pgSz w:w="11900" w:h="16838" w:orient="portrait"/>
          <w:cols w:equalWidth="0" w:num="1">
            <w:col w:w="11200"/>
          </w:cols>
          <w:pgMar w:left="320" w:top="1022" w:right="379" w:bottom="1440" w:gutter="0" w:footer="0" w:header="0"/>
        </w:sectPr>
      </w:pPr>
    </w:p>
    <w:p>
      <w:pPr>
        <w:spacing w:after="0" w:line="200" w:lineRule="exact"/>
        <w:rPr>
          <w:sz w:val="24"/>
          <w:szCs w:val="24"/>
          <w:color w:val="auto"/>
        </w:rPr>
      </w:pPr>
    </w:p>
    <w:p>
      <w:pPr>
        <w:spacing w:after="0" w:line="202" w:lineRule="exact"/>
        <w:rPr>
          <w:sz w:val="24"/>
          <w:szCs w:val="24"/>
          <w:color w:val="auto"/>
        </w:rPr>
      </w:pPr>
    </w:p>
    <w:p>
      <w:pPr>
        <w:jc w:val="center"/>
        <w:ind w:left="144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ind w:left="1780"/>
        <w:spacing w:after="0"/>
        <w:rPr>
          <w:sz w:val="20"/>
          <w:szCs w:val="20"/>
          <w:color w:val="auto"/>
        </w:rPr>
      </w:pPr>
      <w:r>
        <w:rPr>
          <w:rFonts w:ascii="Arial" w:cs="Arial" w:eastAsia="Arial" w:hAnsi="Arial"/>
          <w:sz w:val="11"/>
          <w:szCs w:val="11"/>
          <w:i w:val="1"/>
          <w:iCs w:val="1"/>
          <w:color w:val="auto"/>
        </w:rPr>
        <w:t>(State or other jurisdiction of</w:t>
      </w:r>
    </w:p>
    <w:p>
      <w:pPr>
        <w:spacing w:after="0" w:line="2" w:lineRule="exact"/>
        <w:rPr>
          <w:sz w:val="24"/>
          <w:szCs w:val="24"/>
          <w:color w:val="auto"/>
        </w:rPr>
      </w:pPr>
    </w:p>
    <w:p>
      <w:pPr>
        <w:ind w:left="174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57150</wp:posOffset>
            </wp:positionV>
            <wp:extent cx="2772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1" w:lineRule="exact"/>
        <w:rPr>
          <w:sz w:val="24"/>
          <w:szCs w:val="24"/>
          <w:color w:val="auto"/>
        </w:rPr>
      </w:pPr>
    </w:p>
    <w:p>
      <w:pPr>
        <w:jc w:val="center"/>
        <w:ind w:left="-1619"/>
        <w:spacing w:after="0"/>
        <w:rPr>
          <w:sz w:val="20"/>
          <w:szCs w:val="20"/>
          <w:color w:val="auto"/>
        </w:rPr>
      </w:pPr>
      <w:r>
        <w:rPr>
          <w:rFonts w:ascii="Arial" w:cs="Arial" w:eastAsia="Arial" w:hAnsi="Arial"/>
          <w:sz w:val="16"/>
          <w:szCs w:val="16"/>
          <w:b w:val="1"/>
          <w:bCs w:val="1"/>
          <w:color w:val="auto"/>
        </w:rPr>
        <w:t>33-0956711</w:t>
      </w:r>
    </w:p>
    <w:p>
      <w:pPr>
        <w:spacing w:after="0" w:line="159" w:lineRule="exact"/>
        <w:rPr>
          <w:sz w:val="24"/>
          <w:szCs w:val="24"/>
          <w:color w:val="auto"/>
        </w:rPr>
      </w:pPr>
    </w:p>
    <w:p>
      <w:pPr>
        <w:jc w:val="right"/>
        <w:ind w:right="1580"/>
        <w:spacing w:after="0"/>
        <w:rPr>
          <w:sz w:val="20"/>
          <w:szCs w:val="20"/>
          <w:color w:val="auto"/>
        </w:rPr>
      </w:pPr>
      <w:r>
        <w:rPr>
          <w:rFonts w:ascii="Arial" w:cs="Arial" w:eastAsia="Arial" w:hAnsi="Arial"/>
          <w:sz w:val="12"/>
          <w:szCs w:val="12"/>
          <w:i w:val="1"/>
          <w:iCs w:val="1"/>
          <w:color w:val="auto"/>
        </w:rPr>
        <w:t>(I.R.S. Employer Identification No.)</w:t>
      </w:r>
    </w:p>
    <w:p>
      <w:pPr>
        <w:spacing w:after="0" w:line="78" w:lineRule="exact"/>
        <w:rPr>
          <w:sz w:val="24"/>
          <w:szCs w:val="24"/>
          <w:color w:val="auto"/>
        </w:rPr>
      </w:pPr>
    </w:p>
    <w:p>
      <w:pPr>
        <w:sectPr>
          <w:pgSz w:w="11900" w:h="16838" w:orient="portrait"/>
          <w:cols w:equalWidth="0" w:num="2">
            <w:col w:w="3560" w:space="720"/>
            <w:col w:w="6920"/>
          </w:cols>
          <w:pgMar w:left="320" w:top="1022" w:right="379" w:bottom="1440" w:gutter="0" w:footer="0" w:header="0"/>
          <w:type w:val="continuous"/>
        </w:sectPr>
      </w:pPr>
    </w:p>
    <w:p>
      <w:pPr>
        <w:ind w:left="820"/>
        <w:spacing w:after="0"/>
        <w:tabs>
          <w:tab w:leader="none" w:pos="2800" w:val="left"/>
          <w:tab w:leader="none" w:pos="3640" w:val="left"/>
          <w:tab w:leader="none" w:pos="8540" w:val="left"/>
        </w:tabs>
        <w:rPr>
          <w:sz w:val="20"/>
          <w:szCs w:val="20"/>
          <w:color w:val="auto"/>
        </w:rPr>
      </w:pPr>
      <w:r>
        <w:rPr>
          <w:rFonts w:ascii="Arial" w:cs="Arial" w:eastAsia="Arial" w:hAnsi="Arial"/>
          <w:sz w:val="14"/>
          <w:szCs w:val="14"/>
          <w:b w:val="1"/>
          <w:bCs w:val="1"/>
          <w:color w:val="auto"/>
        </w:rPr>
        <w:t>5601 Great Oaks Parkway</w:t>
      </w:r>
      <w:r>
        <w:rPr>
          <w:sz w:val="20"/>
          <w:szCs w:val="20"/>
          <w:color w:val="auto"/>
        </w:rPr>
        <w:tab/>
      </w:r>
      <w:r>
        <w:rPr>
          <w:rFonts w:ascii="Arial" w:cs="Arial" w:eastAsia="Arial" w:hAnsi="Arial"/>
          <w:sz w:val="14"/>
          <w:szCs w:val="14"/>
          <w:b w:val="1"/>
          <w:bCs w:val="1"/>
          <w:color w:val="auto"/>
        </w:rPr>
        <w:t>San Jose,</w:t>
      </w:r>
      <w:r>
        <w:rPr>
          <w:sz w:val="20"/>
          <w:szCs w:val="20"/>
          <w:color w:val="auto"/>
        </w:rPr>
        <w:tab/>
      </w:r>
      <w:r>
        <w:rPr>
          <w:rFonts w:ascii="Arial" w:cs="Arial" w:eastAsia="Arial" w:hAnsi="Arial"/>
          <w:sz w:val="14"/>
          <w:szCs w:val="14"/>
          <w:b w:val="1"/>
          <w:bCs w:val="1"/>
          <w:color w:val="auto"/>
        </w:rPr>
        <w:t>California</w:t>
      </w:r>
      <w:r>
        <w:rPr>
          <w:sz w:val="20"/>
          <w:szCs w:val="20"/>
          <w:color w:val="auto"/>
        </w:rPr>
        <w:tab/>
      </w:r>
      <w:r>
        <w:rPr>
          <w:rFonts w:ascii="Arial" w:cs="Arial" w:eastAsia="Arial" w:hAnsi="Arial"/>
          <w:sz w:val="12"/>
          <w:szCs w:val="12"/>
          <w:b w:val="1"/>
          <w:bCs w:val="1"/>
          <w:color w:val="auto"/>
        </w:rPr>
        <w:t>95119</w:t>
      </w:r>
    </w:p>
    <w:p>
      <w:pPr>
        <w:spacing w:after="0" w:line="45" w:lineRule="exact"/>
        <w:rPr>
          <w:sz w:val="24"/>
          <w:szCs w:val="24"/>
          <w:color w:val="auto"/>
        </w:rPr>
      </w:pPr>
    </w:p>
    <w:p>
      <w:pPr>
        <w:ind w:left="1540"/>
        <w:spacing w:after="0"/>
        <w:tabs>
          <w:tab w:leader="none" w:pos="8440" w:val="left"/>
        </w:tabs>
        <w:rPr>
          <w:sz w:val="20"/>
          <w:szCs w:val="20"/>
          <w:color w:val="auto"/>
        </w:rPr>
      </w:pPr>
      <w:r>
        <w:rPr>
          <w:rFonts w:ascii="Arial" w:cs="Arial" w:eastAsia="Arial" w:hAnsi="Arial"/>
          <w:sz w:val="12"/>
          <w:szCs w:val="12"/>
          <w:i w:val="1"/>
          <w:iCs w:val="1"/>
          <w:color w:val="auto"/>
        </w:rPr>
        <w:t>(Address of principal executive offices)</w:t>
      </w:r>
      <w:r>
        <w:rPr>
          <w:sz w:val="20"/>
          <w:szCs w:val="20"/>
          <w:color w:val="auto"/>
        </w:rPr>
        <w:tab/>
      </w:r>
      <w:r>
        <w:rPr>
          <w:rFonts w:ascii="Arial" w:cs="Arial" w:eastAsia="Arial" w:hAnsi="Arial"/>
          <w:sz w:val="11"/>
          <w:szCs w:val="11"/>
          <w:i w:val="1"/>
          <w:iCs w:val="1"/>
          <w:color w:val="auto"/>
        </w:rPr>
        <w:t>(Zip Code)</w:t>
      </w: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1"/>
        </w:trPr>
        <w:tc>
          <w:tcPr>
            <w:tcW w:w="15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70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89"/>
              </w:rPr>
              <w:t>Trading symbol(s)</w:t>
            </w:r>
          </w:p>
        </w:tc>
        <w:tc>
          <w:tcPr>
            <w:tcW w:w="2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93"/>
        </w:trPr>
        <w:tc>
          <w:tcPr>
            <w:tcW w:w="4440" w:type="dxa"/>
            <w:vAlign w:val="bottom"/>
            <w:gridSpan w:val="4"/>
          </w:tcPr>
          <w:p>
            <w:pPr>
              <w:jc w:val="center"/>
              <w:ind w:right="140"/>
              <w:spacing w:after="0"/>
              <w:rPr>
                <w:sz w:val="20"/>
                <w:szCs w:val="20"/>
                <w:color w:val="auto"/>
              </w:rPr>
            </w:pPr>
            <w:r>
              <w:rPr>
                <w:rFonts w:ascii="Arial" w:cs="Arial" w:eastAsia="Arial" w:hAnsi="Arial"/>
                <w:sz w:val="14"/>
                <w:szCs w:val="14"/>
                <w:color w:val="auto"/>
                <w:w w:val="89"/>
              </w:rPr>
              <w:t>Common Stock, $0.01 Par Value Per Share</w:t>
            </w: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4"/>
                <w:szCs w:val="14"/>
                <w:color w:val="auto"/>
                <w:w w:val="95"/>
              </w:rPr>
              <w:t>WDC</w:t>
            </w:r>
          </w:p>
        </w:tc>
        <w:tc>
          <w:tcPr>
            <w:tcW w:w="180" w:type="dxa"/>
            <w:vAlign w:val="bottom"/>
          </w:tcPr>
          <w:p>
            <w:pPr>
              <w:spacing w:after="0"/>
              <w:rPr>
                <w:sz w:val="16"/>
                <w:szCs w:val="16"/>
                <w:color w:val="auto"/>
              </w:rPr>
            </w:pPr>
          </w:p>
        </w:tc>
        <w:tc>
          <w:tcPr>
            <w:tcW w:w="2760" w:type="dxa"/>
            <w:vAlign w:val="bottom"/>
          </w:tcPr>
          <w:p>
            <w:pPr>
              <w:jc w:val="center"/>
              <w:ind w:right="110"/>
              <w:spacing w:after="0"/>
              <w:rPr>
                <w:sz w:val="20"/>
                <w:szCs w:val="20"/>
                <w:color w:val="auto"/>
              </w:rPr>
            </w:pPr>
            <w:r>
              <w:rPr>
                <w:rFonts w:ascii="Arial" w:cs="Arial" w:eastAsia="Arial" w:hAnsi="Arial"/>
                <w:sz w:val="14"/>
                <w:szCs w:val="14"/>
                <w:color w:val="auto"/>
                <w:w w:val="92"/>
              </w:rPr>
              <w:t>The Nasdaq Stock Market LLC</w:t>
            </w:r>
          </w:p>
        </w:tc>
      </w:tr>
      <w:tr>
        <w:trPr>
          <w:trHeight w:val="198"/>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jc w:val="center"/>
              <w:ind w:right="130"/>
              <w:spacing w:after="0"/>
              <w:rPr>
                <w:sz w:val="20"/>
                <w:szCs w:val="20"/>
                <w:color w:val="auto"/>
              </w:rPr>
            </w:pPr>
            <w:r>
              <w:rPr>
                <w:rFonts w:ascii="Arial" w:cs="Arial" w:eastAsia="Arial" w:hAnsi="Arial"/>
                <w:sz w:val="14"/>
                <w:szCs w:val="14"/>
                <w:color w:val="auto"/>
                <w:w w:val="91"/>
              </w:rPr>
              <w:t>(Nasdaq Global Select Market)</w:t>
            </w:r>
          </w:p>
        </w:tc>
      </w:tr>
      <w:tr>
        <w:trPr>
          <w:trHeight w:val="195"/>
        </w:trPr>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Pr>
          <w:p>
            <w:pPr>
              <w:spacing w:after="0"/>
              <w:rPr>
                <w:sz w:val="16"/>
                <w:szCs w:val="16"/>
                <w:color w:val="auto"/>
              </w:rPr>
            </w:pPr>
          </w:p>
        </w:tc>
      </w:tr>
    </w:tbl>
    <w:p>
      <w:pPr>
        <w:spacing w:after="0" w:line="232" w:lineRule="exact"/>
        <w:rPr>
          <w:sz w:val="24"/>
          <w:szCs w:val="24"/>
          <w:color w:val="auto"/>
        </w:rPr>
      </w:pPr>
    </w:p>
    <w:p>
      <w:pPr>
        <w:ind w:right="80"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5" w:lineRule="exact"/>
        <w:rPr>
          <w:sz w:val="24"/>
          <w:szCs w:val="24"/>
          <w:color w:val="auto"/>
        </w:rPr>
      </w:pPr>
    </w:p>
    <w:p>
      <w:pPr>
        <w:ind w:firstLine="316"/>
        <w:spacing w:after="0" w:line="19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5" w:lineRule="exact"/>
        <w:rPr>
          <w:sz w:val="24"/>
          <w:szCs w:val="24"/>
          <w:color w:val="auto"/>
        </w:rPr>
      </w:pPr>
    </w:p>
    <w:p>
      <w:pPr>
        <w:ind w:right="340" w:firstLine="316"/>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auto"/>
        </w:rPr>
        <w:t>in Rule 12b-2 of the Exchange Act.</w:t>
      </w:r>
    </w:p>
    <w:p>
      <w:pPr>
        <w:sectPr>
          <w:pgSz w:w="11900" w:h="16838" w:orient="portrait"/>
          <w:cols w:equalWidth="0" w:num="1">
            <w:col w:w="10860"/>
          </w:cols>
          <w:pgMar w:left="320" w:top="1031" w:right="719" w:bottom="1440" w:gutter="0" w:footer="0" w:header="0"/>
        </w:sectPr>
      </w:pPr>
    </w:p>
    <w:p>
      <w:pPr>
        <w:spacing w:after="0" w:line="7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47" w:lineRule="exact"/>
        <w:rPr>
          <w:sz w:val="20"/>
          <w:szCs w:val="20"/>
          <w:color w:val="auto"/>
        </w:rPr>
      </w:pPr>
    </w:p>
    <w:p>
      <w:pPr>
        <w:sectPr>
          <w:pgSz w:w="11900" w:h="16838" w:orient="portrait"/>
          <w:cols w:equalWidth="0" w:num="5">
            <w:col w:w="2160" w:space="720"/>
            <w:col w:w="1400" w:space="720"/>
            <w:col w:w="1340" w:space="720"/>
            <w:col w:w="1540" w:space="720"/>
            <w:col w:w="1540"/>
          </w:cols>
          <w:pgMar w:left="320" w:top="1031" w:right="71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840"/>
          </w:cols>
          <w:pgMar w:left="320" w:top="1031" w:right="719" w:bottom="1440" w:gutter="0" w:footer="0" w:header="0"/>
          <w:type w:val="continuous"/>
        </w:sectPr>
      </w:pPr>
    </w:p>
    <w:p>
      <w:pPr>
        <w:spacing w:after="0" w:line="331" w:lineRule="exact"/>
        <w:rPr>
          <w:sz w:val="20"/>
          <w:szCs w:val="20"/>
          <w:color w:val="auto"/>
        </w:rPr>
      </w:pPr>
    </w:p>
    <w:p>
      <w:pPr>
        <w:ind w:right="120" w:firstLine="316"/>
        <w:spacing w:after="0" w:line="19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0"/>
          <w:szCs w:val="20"/>
          <w:color w:val="auto"/>
        </w:rPr>
      </w:pPr>
    </w:p>
    <w:p>
      <w:pPr>
        <w:ind w:left="320"/>
        <w:spacing w:after="0" w:line="161" w:lineRule="exact"/>
        <w:tabs>
          <w:tab w:leader="none" w:pos="682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the close of business on October 26, 2022, 317,650,295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549910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031" w:right="7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WESTERN DIGITAL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Pr>
          <w:p>
            <w:pPr>
              <w:spacing w:after="0"/>
              <w:rPr>
                <w:sz w:val="19"/>
                <w:szCs w:val="19"/>
                <w:color w:val="auto"/>
              </w:rPr>
            </w:pPr>
          </w:p>
        </w:tc>
        <w:tc>
          <w:tcPr>
            <w:tcW w:w="9020" w:type="dxa"/>
            <w:vAlign w:val="bottom"/>
            <w:vMerge w:val="restart"/>
          </w:tcPr>
          <w:p>
            <w:pPr>
              <w:ind w:left="334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4"/>
        </w:trPr>
        <w:tc>
          <w:tcPr>
            <w:tcW w:w="780" w:type="dxa"/>
            <w:vAlign w:val="bottom"/>
          </w:tcPr>
          <w:p>
            <w:pPr>
              <w:spacing w:after="0"/>
              <w:rPr>
                <w:sz w:val="17"/>
                <w:szCs w:val="17"/>
                <w:color w:val="auto"/>
              </w:rPr>
            </w:pPr>
          </w:p>
        </w:tc>
        <w:tc>
          <w:tcPr>
            <w:tcW w:w="90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3"/>
                <w:szCs w:val="23"/>
                <w:color w:val="auto"/>
              </w:rPr>
            </w:pPr>
          </w:p>
        </w:tc>
        <w:tc>
          <w:tcPr>
            <w:tcW w:w="9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9020" w:type="dxa"/>
            <w:vAlign w:val="bottom"/>
          </w:tcPr>
          <w:p>
            <w:pPr>
              <w:ind w:left="540"/>
              <w:spacing w:after="0" w:line="185" w:lineRule="exact"/>
              <w:rPr>
                <w:sz w:val="20"/>
                <w:szCs w:val="20"/>
                <w:color w:val="auto"/>
              </w:rPr>
            </w:pPr>
            <w:r>
              <w:rPr>
                <w:rFonts w:ascii="Arial" w:cs="Arial" w:eastAsia="Arial" w:hAnsi="Arial"/>
                <w:sz w:val="18"/>
                <w:szCs w:val="18"/>
                <w:color w:val="auto"/>
              </w:rPr>
              <w:t>Condensed Consolidated Balance Sheets — As of September 30, 2022 and July 1, 2022</w:t>
            </w:r>
          </w:p>
        </w:tc>
        <w:tc>
          <w:tcPr>
            <w:tcW w:w="760" w:type="dxa"/>
            <w:vAlign w:val="bottom"/>
            <w:gridSpan w:val="2"/>
          </w:tcPr>
          <w:p>
            <w:pPr>
              <w:jc w:val="center"/>
              <w:ind w:left="592"/>
              <w:spacing w:after="0" w:line="185" w:lineRule="exact"/>
              <w:rPr>
                <w:sz w:val="20"/>
                <w:szCs w:val="20"/>
                <w:color w:val="auto"/>
              </w:rPr>
            </w:pPr>
            <w:r>
              <w:rPr>
                <w:rFonts w:ascii="Arial" w:cs="Arial" w:eastAsia="Arial" w:hAnsi="Arial"/>
                <w:sz w:val="18"/>
                <w:szCs w:val="18"/>
                <w:color w:val="3635D6"/>
                <w:w w:val="79"/>
              </w:rPr>
              <w:t>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80" w:type="dxa"/>
            <w:vAlign w:val="bottom"/>
            <w:shd w:val="clear" w:color="auto" w:fill="CCEEFF"/>
          </w:tcPr>
          <w:p>
            <w:pPr>
              <w:spacing w:after="0"/>
              <w:rPr>
                <w:sz w:val="18"/>
                <w:szCs w:val="18"/>
                <w:color w:val="auto"/>
              </w:rPr>
            </w:pPr>
          </w:p>
        </w:tc>
        <w:tc>
          <w:tcPr>
            <w:tcW w:w="9020" w:type="dxa"/>
            <w:vAlign w:val="bottom"/>
            <w:shd w:val="clear" w:color="auto" w:fill="CCEEFF"/>
          </w:tcPr>
          <w:p>
            <w:pPr>
              <w:ind w:left="540"/>
              <w:spacing w:after="0" w:line="195" w:lineRule="exact"/>
              <w:rPr>
                <w:sz w:val="20"/>
                <w:szCs w:val="20"/>
                <w:color w:val="auto"/>
              </w:rPr>
            </w:pPr>
            <w:r>
              <w:rPr>
                <w:rFonts w:ascii="Arial" w:cs="Arial" w:eastAsia="Arial" w:hAnsi="Arial"/>
                <w:sz w:val="18"/>
                <w:szCs w:val="18"/>
                <w:color w:val="auto"/>
                <w:w w:val="89"/>
              </w:rPr>
              <w:t>Condensed Consolidated Statements of Operations — Three Months Ended September 30, 2022 and October 1, 2021</w:t>
            </w:r>
          </w:p>
        </w:tc>
        <w:tc>
          <w:tcPr>
            <w:tcW w:w="760" w:type="dxa"/>
            <w:vAlign w:val="bottom"/>
            <w:gridSpan w:val="2"/>
            <w:shd w:val="clear" w:color="auto" w:fill="CCEEFF"/>
          </w:tcPr>
          <w:p>
            <w:pPr>
              <w:jc w:val="center"/>
              <w:ind w:left="592"/>
              <w:spacing w:after="0" w:line="195" w:lineRule="exact"/>
              <w:rPr>
                <w:sz w:val="20"/>
                <w:szCs w:val="20"/>
                <w:color w:val="auto"/>
              </w:rPr>
            </w:pPr>
            <w:r>
              <w:rPr>
                <w:rFonts w:ascii="Arial" w:cs="Arial" w:eastAsia="Arial" w:hAnsi="Arial"/>
                <w:sz w:val="18"/>
                <w:szCs w:val="18"/>
                <w:color w:val="3635D6"/>
                <w:w w:val="79"/>
              </w:rPr>
              <w:t>6</w:t>
            </w:r>
          </w:p>
        </w:tc>
        <w:tc>
          <w:tcPr>
            <w:tcW w:w="6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80" w:type="dxa"/>
            <w:vAlign w:val="bottom"/>
            <w:tcBorders>
              <w:top w:val="single" w:sz="8" w:color="CCEEFF"/>
            </w:tcBorders>
          </w:tcPr>
          <w:p>
            <w:pPr>
              <w:spacing w:after="0"/>
              <w:rPr>
                <w:sz w:val="14"/>
                <w:szCs w:val="14"/>
                <w:color w:val="auto"/>
              </w:rPr>
            </w:pPr>
          </w:p>
        </w:tc>
        <w:tc>
          <w:tcPr>
            <w:tcW w:w="9020" w:type="dxa"/>
            <w:vAlign w:val="bottom"/>
            <w:tcBorders>
              <w:top w:val="single" w:sz="8" w:color="CCEEFF"/>
            </w:tcBorders>
          </w:tcPr>
          <w:p>
            <w:pPr>
              <w:ind w:left="540"/>
              <w:spacing w:after="0" w:line="172" w:lineRule="exact"/>
              <w:rPr>
                <w:sz w:val="20"/>
                <w:szCs w:val="20"/>
                <w:color w:val="auto"/>
              </w:rPr>
            </w:pPr>
            <w:r>
              <w:rPr>
                <w:rFonts w:ascii="Arial" w:cs="Arial" w:eastAsia="Arial" w:hAnsi="Arial"/>
                <w:sz w:val="18"/>
                <w:szCs w:val="18"/>
                <w:color w:val="auto"/>
                <w:w w:val="90"/>
              </w:rPr>
              <w:t>Condensed Consolidated Statements of Comprehensive Income (Loss) — Three Months Ended September 30, 2022</w:t>
            </w: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3635D6"/>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9020" w:type="dxa"/>
            <w:vAlign w:val="bottom"/>
          </w:tcPr>
          <w:p>
            <w:pPr>
              <w:ind w:left="540"/>
              <w:spacing w:after="0" w:line="197" w:lineRule="exact"/>
              <w:rPr>
                <w:sz w:val="20"/>
                <w:szCs w:val="20"/>
                <w:color w:val="auto"/>
              </w:rPr>
            </w:pPr>
            <w:r>
              <w:rPr>
                <w:rFonts w:ascii="Arial" w:cs="Arial" w:eastAsia="Arial" w:hAnsi="Arial"/>
                <w:sz w:val="18"/>
                <w:szCs w:val="18"/>
                <w:color w:val="auto"/>
              </w:rPr>
              <w:t>and October 1, 2021</w:t>
            </w:r>
          </w:p>
        </w:tc>
        <w:tc>
          <w:tcPr>
            <w:tcW w:w="760" w:type="dxa"/>
            <w:vAlign w:val="bottom"/>
            <w:gridSpan w:val="2"/>
          </w:tcPr>
          <w:p>
            <w:pPr>
              <w:jc w:val="center"/>
              <w:ind w:left="592"/>
              <w:spacing w:after="0" w:line="197" w:lineRule="exact"/>
              <w:rPr>
                <w:sz w:val="20"/>
                <w:szCs w:val="20"/>
                <w:color w:val="auto"/>
              </w:rPr>
            </w:pPr>
            <w:r>
              <w:rPr>
                <w:rFonts w:ascii="Arial" w:cs="Arial" w:eastAsia="Arial" w:hAnsi="Arial"/>
                <w:sz w:val="18"/>
                <w:szCs w:val="18"/>
                <w:color w:val="3635D6"/>
                <w:w w:val="79"/>
              </w:rPr>
              <w:t>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80" w:type="dxa"/>
            <w:vAlign w:val="bottom"/>
            <w:shd w:val="clear" w:color="auto" w:fill="CCEEFF"/>
          </w:tcPr>
          <w:p>
            <w:pPr>
              <w:spacing w:after="0"/>
              <w:rPr>
                <w:sz w:val="18"/>
                <w:szCs w:val="18"/>
                <w:color w:val="auto"/>
              </w:rPr>
            </w:pPr>
          </w:p>
        </w:tc>
        <w:tc>
          <w:tcPr>
            <w:tcW w:w="9020" w:type="dxa"/>
            <w:vAlign w:val="bottom"/>
            <w:shd w:val="clear" w:color="auto" w:fill="CCEEFF"/>
          </w:tcPr>
          <w:p>
            <w:pPr>
              <w:ind w:left="540"/>
              <w:spacing w:after="0" w:line="195" w:lineRule="exact"/>
              <w:rPr>
                <w:sz w:val="20"/>
                <w:szCs w:val="20"/>
                <w:color w:val="auto"/>
              </w:rPr>
            </w:pPr>
            <w:r>
              <w:rPr>
                <w:rFonts w:ascii="Arial" w:cs="Arial" w:eastAsia="Arial" w:hAnsi="Arial"/>
                <w:sz w:val="18"/>
                <w:szCs w:val="18"/>
                <w:color w:val="auto"/>
                <w:w w:val="89"/>
              </w:rPr>
              <w:t>Condensed Consolidated Statements of Cash Flows — Three Months Ended September 30, 2022 and October 1, 2021</w:t>
            </w:r>
          </w:p>
        </w:tc>
        <w:tc>
          <w:tcPr>
            <w:tcW w:w="760" w:type="dxa"/>
            <w:vAlign w:val="bottom"/>
            <w:gridSpan w:val="2"/>
            <w:shd w:val="clear" w:color="auto" w:fill="CCEEFF"/>
          </w:tcPr>
          <w:p>
            <w:pPr>
              <w:jc w:val="center"/>
              <w:ind w:left="592"/>
              <w:spacing w:after="0" w:line="195" w:lineRule="exact"/>
              <w:rPr>
                <w:sz w:val="20"/>
                <w:szCs w:val="20"/>
                <w:color w:val="auto"/>
              </w:rPr>
            </w:pPr>
            <w:r>
              <w:rPr>
                <w:rFonts w:ascii="Arial" w:cs="Arial" w:eastAsia="Arial" w:hAnsi="Arial"/>
                <w:sz w:val="18"/>
                <w:szCs w:val="18"/>
                <w:color w:val="3635D6"/>
                <w:w w:val="79"/>
              </w:rPr>
              <w:t>8</w:t>
            </w:r>
          </w:p>
        </w:tc>
        <w:tc>
          <w:tcPr>
            <w:tcW w:w="6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80" w:type="dxa"/>
            <w:vAlign w:val="bottom"/>
            <w:tcBorders>
              <w:top w:val="single" w:sz="8" w:color="CCEEFF"/>
            </w:tcBorders>
          </w:tcPr>
          <w:p>
            <w:pPr>
              <w:spacing w:after="0"/>
              <w:rPr>
                <w:sz w:val="14"/>
                <w:szCs w:val="14"/>
                <w:color w:val="auto"/>
              </w:rPr>
            </w:pPr>
          </w:p>
        </w:tc>
        <w:tc>
          <w:tcPr>
            <w:tcW w:w="9020" w:type="dxa"/>
            <w:vAlign w:val="bottom"/>
            <w:tcBorders>
              <w:top w:val="single" w:sz="8" w:color="CCEEFF"/>
            </w:tcBorders>
          </w:tcPr>
          <w:p>
            <w:pPr>
              <w:ind w:left="540"/>
              <w:spacing w:after="0" w:line="172" w:lineRule="exact"/>
              <w:rPr>
                <w:sz w:val="20"/>
                <w:szCs w:val="20"/>
                <w:color w:val="auto"/>
              </w:rPr>
            </w:pPr>
            <w:r>
              <w:rPr>
                <w:rFonts w:ascii="Arial" w:cs="Arial" w:eastAsia="Arial" w:hAnsi="Arial"/>
                <w:sz w:val="18"/>
                <w:szCs w:val="18"/>
                <w:color w:val="auto"/>
                <w:w w:val="88"/>
              </w:rPr>
              <w:t>Condensed Consolidated Statements of Shareholders' Equity — Three Months Ended September 30, 2022 and October</w:t>
            </w: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3635D6"/>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9020" w:type="dxa"/>
            <w:vAlign w:val="bottom"/>
          </w:tcPr>
          <w:p>
            <w:pPr>
              <w:ind w:left="540"/>
              <w:spacing w:after="0" w:line="197" w:lineRule="exact"/>
              <w:rPr>
                <w:sz w:val="20"/>
                <w:szCs w:val="20"/>
                <w:color w:val="auto"/>
              </w:rPr>
            </w:pPr>
            <w:r>
              <w:rPr>
                <w:rFonts w:ascii="Arial" w:cs="Arial" w:eastAsia="Arial" w:hAnsi="Arial"/>
                <w:sz w:val="18"/>
                <w:szCs w:val="18"/>
                <w:color w:val="auto"/>
              </w:rPr>
              <w:t>1, 2021</w:t>
            </w:r>
          </w:p>
        </w:tc>
        <w:tc>
          <w:tcPr>
            <w:tcW w:w="760" w:type="dxa"/>
            <w:vAlign w:val="bottom"/>
            <w:gridSpan w:val="2"/>
          </w:tcPr>
          <w:p>
            <w:pPr>
              <w:jc w:val="center"/>
              <w:ind w:left="592"/>
              <w:spacing w:after="0" w:line="197" w:lineRule="exact"/>
              <w:rPr>
                <w:sz w:val="20"/>
                <w:szCs w:val="20"/>
                <w:color w:val="auto"/>
              </w:rPr>
            </w:pPr>
            <w:r>
              <w:rPr>
                <w:rFonts w:ascii="Arial" w:cs="Arial" w:eastAsia="Arial" w:hAnsi="Arial"/>
                <w:sz w:val="18"/>
                <w:szCs w:val="18"/>
                <w:color w:val="3635D6"/>
                <w:w w:val="79"/>
              </w:rPr>
              <w:t>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80" w:type="dxa"/>
            <w:vAlign w:val="bottom"/>
            <w:shd w:val="clear" w:color="auto" w:fill="CCEEFF"/>
          </w:tcPr>
          <w:p>
            <w:pPr>
              <w:spacing w:after="0"/>
              <w:rPr>
                <w:sz w:val="16"/>
                <w:szCs w:val="16"/>
                <w:color w:val="auto"/>
              </w:rPr>
            </w:pPr>
          </w:p>
        </w:tc>
        <w:tc>
          <w:tcPr>
            <w:tcW w:w="9020" w:type="dxa"/>
            <w:vAlign w:val="bottom"/>
            <w:shd w:val="clear" w:color="auto" w:fill="CCEEFF"/>
          </w:tcPr>
          <w:p>
            <w:pPr>
              <w:ind w:left="540"/>
              <w:spacing w:after="0" w:line="195" w:lineRule="exact"/>
              <w:rPr>
                <w:sz w:val="20"/>
                <w:szCs w:val="20"/>
                <w:color w:val="auto"/>
              </w:rPr>
            </w:pPr>
            <w:r>
              <w:rPr>
                <w:rFonts w:ascii="Arial" w:cs="Arial" w:eastAsia="Arial" w:hAnsi="Arial"/>
                <w:sz w:val="18"/>
                <w:szCs w:val="18"/>
                <w:color w:val="auto"/>
              </w:rPr>
              <w:t>Notes to Condensed Consolidated Financial Statements</w:t>
            </w:r>
          </w:p>
        </w:tc>
        <w:tc>
          <w:tcPr>
            <w:tcW w:w="760" w:type="dxa"/>
            <w:vAlign w:val="bottom"/>
            <w:gridSpan w:val="2"/>
            <w:shd w:val="clear" w:color="auto" w:fill="CCEEFF"/>
          </w:tcPr>
          <w:p>
            <w:pPr>
              <w:jc w:val="center"/>
              <w:ind w:left="512"/>
              <w:spacing w:after="0" w:line="195" w:lineRule="exact"/>
              <w:rPr>
                <w:sz w:val="20"/>
                <w:szCs w:val="20"/>
                <w:color w:val="auto"/>
              </w:rPr>
            </w:pPr>
            <w:r>
              <w:rPr>
                <w:rFonts w:ascii="Arial" w:cs="Arial" w:eastAsia="Arial" w:hAnsi="Arial"/>
                <w:sz w:val="18"/>
                <w:szCs w:val="18"/>
                <w:color w:val="3635D6"/>
                <w:w w:val="79"/>
              </w:rPr>
              <w:t>11</w:t>
            </w:r>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80" w:type="dxa"/>
            <w:vAlign w:val="bottom"/>
            <w:shd w:val="clear" w:color="auto" w:fill="CCEEFF"/>
          </w:tcPr>
          <w:p>
            <w:pPr>
              <w:spacing w:after="0"/>
              <w:rPr>
                <w:sz w:val="3"/>
                <w:szCs w:val="3"/>
                <w:color w:val="auto"/>
              </w:rPr>
            </w:pPr>
          </w:p>
        </w:tc>
        <w:tc>
          <w:tcPr>
            <w:tcW w:w="902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78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2.</w:t>
            </w:r>
          </w:p>
        </w:tc>
        <w:tc>
          <w:tcPr>
            <w:tcW w:w="9020" w:type="dxa"/>
            <w:vAlign w:val="bottom"/>
          </w:tcPr>
          <w:p>
            <w:pPr>
              <w:ind w:left="24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gridSpan w:val="2"/>
          </w:tcPr>
          <w:p>
            <w:pPr>
              <w:jc w:val="center"/>
              <w:ind w:left="492"/>
              <w:spacing w:after="0" w:line="185" w:lineRule="exact"/>
              <w:rPr>
                <w:sz w:val="20"/>
                <w:szCs w:val="20"/>
                <w:color w:val="auto"/>
              </w:rPr>
            </w:pPr>
            <w:r>
              <w:rPr>
                <w:rFonts w:ascii="Arial" w:cs="Arial" w:eastAsia="Arial" w:hAnsi="Arial"/>
                <w:sz w:val="18"/>
                <w:szCs w:val="18"/>
                <w:color w:val="3635D6"/>
                <w:w w:val="89"/>
              </w:rPr>
              <w:t>37</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3.</w:t>
            </w:r>
          </w:p>
        </w:tc>
        <w:tc>
          <w:tcPr>
            <w:tcW w:w="902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gridSpan w:val="2"/>
            <w:shd w:val="clear" w:color="auto" w:fill="CCEEFF"/>
          </w:tcPr>
          <w:p>
            <w:pPr>
              <w:jc w:val="center"/>
              <w:ind w:left="492"/>
              <w:spacing w:after="0" w:line="195" w:lineRule="exact"/>
              <w:rPr>
                <w:sz w:val="20"/>
                <w:szCs w:val="20"/>
                <w:color w:val="auto"/>
              </w:rPr>
            </w:pPr>
            <w:r>
              <w:rPr>
                <w:rFonts w:ascii="Arial" w:cs="Arial" w:eastAsia="Arial" w:hAnsi="Arial"/>
                <w:sz w:val="18"/>
                <w:szCs w:val="18"/>
                <w:color w:val="3635D6"/>
                <w:w w:val="89"/>
              </w:rPr>
              <w:t>50</w:t>
            </w:r>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80" w:type="dxa"/>
            <w:vAlign w:val="bottom"/>
            <w:shd w:val="clear" w:color="auto" w:fill="CCEEFF"/>
          </w:tcPr>
          <w:p>
            <w:pPr>
              <w:spacing w:after="0"/>
              <w:rPr>
                <w:sz w:val="3"/>
                <w:szCs w:val="3"/>
                <w:color w:val="auto"/>
              </w:rPr>
            </w:pPr>
          </w:p>
        </w:tc>
        <w:tc>
          <w:tcPr>
            <w:tcW w:w="902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78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4.</w:t>
            </w:r>
          </w:p>
        </w:tc>
        <w:tc>
          <w:tcPr>
            <w:tcW w:w="9020" w:type="dxa"/>
            <w:vAlign w:val="bottom"/>
          </w:tcPr>
          <w:p>
            <w:pPr>
              <w:ind w:left="240"/>
              <w:spacing w:after="0" w:line="185" w:lineRule="exact"/>
              <w:rPr>
                <w:sz w:val="20"/>
                <w:szCs w:val="20"/>
                <w:color w:val="auto"/>
              </w:rPr>
            </w:pPr>
            <w:r>
              <w:rPr>
                <w:rFonts w:ascii="Arial" w:cs="Arial" w:eastAsia="Arial" w:hAnsi="Arial"/>
                <w:sz w:val="18"/>
                <w:szCs w:val="18"/>
                <w:color w:val="auto"/>
              </w:rPr>
              <w:t>Controls and Procedures</w:t>
            </w:r>
          </w:p>
        </w:tc>
        <w:tc>
          <w:tcPr>
            <w:tcW w:w="760" w:type="dxa"/>
            <w:vAlign w:val="bottom"/>
            <w:gridSpan w:val="2"/>
          </w:tcPr>
          <w:p>
            <w:pPr>
              <w:jc w:val="center"/>
              <w:ind w:left="492"/>
              <w:spacing w:after="0" w:line="185" w:lineRule="exact"/>
              <w:rPr>
                <w:sz w:val="20"/>
                <w:szCs w:val="20"/>
                <w:color w:val="auto"/>
              </w:rPr>
            </w:pPr>
            <w:r>
              <w:rPr>
                <w:rFonts w:ascii="Arial" w:cs="Arial" w:eastAsia="Arial" w:hAnsi="Arial"/>
                <w:sz w:val="18"/>
                <w:szCs w:val="18"/>
                <w:color w:val="3635D6"/>
                <w:w w:val="89"/>
              </w:rPr>
              <w:t>50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680" w:type="dxa"/>
            <w:vAlign w:val="bottom"/>
            <w:tcBorders>
              <w:right w:val="single" w:sz="8" w:color="3635D6"/>
            </w:tcBorders>
          </w:tcPr>
          <w:p>
            <w:pPr>
              <w:spacing w:after="0" w:line="20" w:lineRule="exact"/>
              <w:rPr>
                <w:sz w:val="1"/>
                <w:szCs w:val="1"/>
                <w:color w:val="auto"/>
              </w:rPr>
            </w:pPr>
          </w:p>
        </w:tc>
        <w:tc>
          <w:tcPr>
            <w:tcW w:w="80" w:type="dxa"/>
            <w:vAlign w:val="bottom"/>
            <w:shd w:val="clear" w:color="auto" w:fill="3635D6"/>
          </w:tcPr>
          <w:p>
            <w:pPr>
              <w:spacing w:after="0" w:line="20" w:lineRule="exact"/>
              <w:rPr>
                <w:sz w:val="1"/>
                <w:szCs w:val="1"/>
                <w:color w:val="auto"/>
              </w:rPr>
            </w:pPr>
          </w:p>
        </w:tc>
        <w:tc>
          <w:tcPr>
            <w:tcW w:w="680" w:type="dxa"/>
            <w:vAlign w:val="bottom"/>
            <w:tcBorders>
              <w:left w:val="single" w:sz="8" w:color="3635D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40" w:type="dxa"/>
            <w:vAlign w:val="bottom"/>
            <w:gridSpan w:val="3"/>
          </w:tcPr>
          <w:p>
            <w:pPr>
              <w:ind w:left="980"/>
              <w:spacing w:after="0"/>
              <w:rPr>
                <w:sz w:val="20"/>
                <w:szCs w:val="20"/>
                <w:color w:val="auto"/>
              </w:rPr>
            </w:pPr>
            <w:r>
              <w:rPr>
                <w:rFonts w:ascii="Arial" w:cs="Arial" w:eastAsia="Arial" w:hAnsi="Arial"/>
                <w:sz w:val="18"/>
                <w:szCs w:val="18"/>
                <w:b w:val="1"/>
                <w:bCs w:val="1"/>
                <w:color w:val="auto"/>
              </w:rPr>
              <w:t>PART II. OTHER INFORMATION</w:t>
            </w:r>
          </w:p>
        </w:tc>
      </w:tr>
      <w:tr>
        <w:trPr>
          <w:trHeight w:val="185"/>
        </w:trPr>
        <w:tc>
          <w:tcPr>
            <w:tcW w:w="8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Item 1.</w:t>
            </w:r>
          </w:p>
        </w:tc>
        <w:tc>
          <w:tcPr>
            <w:tcW w:w="246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Legal Proceedings</w:t>
            </w:r>
          </w:p>
        </w:tc>
        <w:tc>
          <w:tcPr>
            <w:tcW w:w="732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8"/>
                <w:szCs w:val="18"/>
                <w:color w:val="3635D6"/>
              </w:rPr>
              <w:t>51</w:t>
            </w:r>
          </w:p>
        </w:tc>
        <w:tc>
          <w:tcPr>
            <w:tcW w:w="620" w:type="dxa"/>
            <w:vAlign w:val="bottom"/>
            <w:shd w:val="clear" w:color="auto" w:fill="CCEEFF"/>
          </w:tcPr>
          <w:p>
            <w:pPr>
              <w:spacing w:after="0"/>
              <w:rPr>
                <w:sz w:val="16"/>
                <w:szCs w:val="16"/>
                <w:color w:val="auto"/>
              </w:rPr>
            </w:pPr>
          </w:p>
        </w:tc>
      </w:tr>
      <w:tr>
        <w:trPr>
          <w:trHeight w:val="40"/>
        </w:trPr>
        <w:tc>
          <w:tcPr>
            <w:tcW w:w="84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7140" w:type="dxa"/>
            <w:vAlign w:val="bottom"/>
            <w:shd w:val="clear" w:color="auto" w:fill="CCEEFF"/>
          </w:tcPr>
          <w:p>
            <w:pPr>
              <w:spacing w:after="0"/>
              <w:rPr>
                <w:sz w:val="3"/>
                <w:szCs w:val="3"/>
                <w:color w:val="auto"/>
              </w:rPr>
            </w:pPr>
          </w:p>
        </w:tc>
        <w:tc>
          <w:tcPr>
            <w:tcW w:w="180" w:type="dxa"/>
            <w:vAlign w:val="bottom"/>
            <w:shd w:val="clear" w:color="auto" w:fill="3635D6"/>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1A.</w:t>
            </w:r>
          </w:p>
        </w:tc>
        <w:tc>
          <w:tcPr>
            <w:tcW w:w="2460" w:type="dxa"/>
            <w:vAlign w:val="bottom"/>
          </w:tcPr>
          <w:p>
            <w:pPr>
              <w:ind w:left="180"/>
              <w:spacing w:after="0" w:line="185" w:lineRule="exact"/>
              <w:rPr>
                <w:sz w:val="20"/>
                <w:szCs w:val="20"/>
                <w:color w:val="auto"/>
              </w:rPr>
            </w:pPr>
            <w:r>
              <w:rPr>
                <w:rFonts w:ascii="Arial" w:cs="Arial" w:eastAsia="Arial" w:hAnsi="Arial"/>
                <w:sz w:val="18"/>
                <w:szCs w:val="18"/>
                <w:color w:val="auto"/>
              </w:rPr>
              <w:t>Risk Factors</w:t>
            </w:r>
          </w:p>
        </w:tc>
        <w:tc>
          <w:tcPr>
            <w:tcW w:w="7320" w:type="dxa"/>
            <w:vAlign w:val="bottom"/>
            <w:gridSpan w:val="2"/>
          </w:tcPr>
          <w:p>
            <w:pPr>
              <w:jc w:val="right"/>
              <w:spacing w:after="0" w:line="185" w:lineRule="exact"/>
              <w:rPr>
                <w:sz w:val="20"/>
                <w:szCs w:val="20"/>
                <w:color w:val="auto"/>
              </w:rPr>
            </w:pPr>
            <w:r>
              <w:rPr>
                <w:rFonts w:ascii="Arial" w:cs="Arial" w:eastAsia="Arial" w:hAnsi="Arial"/>
                <w:sz w:val="18"/>
                <w:szCs w:val="18"/>
                <w:color w:val="3635D6"/>
              </w:rPr>
              <w:t>51</w:t>
            </w:r>
          </w:p>
        </w:tc>
        <w:tc>
          <w:tcPr>
            <w:tcW w:w="620" w:type="dxa"/>
            <w:vAlign w:val="bottom"/>
          </w:tcPr>
          <w:p>
            <w:pPr>
              <w:spacing w:after="0"/>
              <w:rPr>
                <w:sz w:val="16"/>
                <w:szCs w:val="16"/>
                <w:color w:val="auto"/>
              </w:rPr>
            </w:pPr>
          </w:p>
        </w:tc>
      </w:tr>
      <w:tr>
        <w:trPr>
          <w:trHeight w:val="30"/>
        </w:trPr>
        <w:tc>
          <w:tcPr>
            <w:tcW w:w="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80" w:type="dxa"/>
            <w:vAlign w:val="bottom"/>
            <w:shd w:val="clear" w:color="auto" w:fill="3635D6"/>
          </w:tcPr>
          <w:p>
            <w:pPr>
              <w:spacing w:after="0"/>
              <w:rPr>
                <w:sz w:val="2"/>
                <w:szCs w:val="2"/>
                <w:color w:val="auto"/>
              </w:rPr>
            </w:pPr>
          </w:p>
        </w:tc>
        <w:tc>
          <w:tcPr>
            <w:tcW w:w="620" w:type="dxa"/>
            <w:vAlign w:val="bottom"/>
          </w:tcPr>
          <w:p>
            <w:pPr>
              <w:spacing w:after="0"/>
              <w:rPr>
                <w:sz w:val="2"/>
                <w:szCs w:val="2"/>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6.</w:t>
            </w:r>
          </w:p>
        </w:tc>
        <w:tc>
          <w:tcPr>
            <w:tcW w:w="24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Exhibits</w:t>
            </w:r>
          </w:p>
        </w:tc>
        <w:tc>
          <w:tcPr>
            <w:tcW w:w="73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3635D6"/>
              </w:rPr>
              <w:t>52</w:t>
            </w:r>
          </w:p>
        </w:tc>
        <w:tc>
          <w:tcPr>
            <w:tcW w:w="620" w:type="dxa"/>
            <w:vAlign w:val="bottom"/>
            <w:shd w:val="clear" w:color="auto" w:fill="CCEEFF"/>
          </w:tcPr>
          <w:p>
            <w:pPr>
              <w:spacing w:after="0"/>
              <w:rPr>
                <w:sz w:val="16"/>
                <w:szCs w:val="16"/>
                <w:color w:val="auto"/>
              </w:rPr>
            </w:pPr>
          </w:p>
        </w:tc>
      </w:tr>
      <w:tr>
        <w:trPr>
          <w:trHeight w:val="40"/>
        </w:trPr>
        <w:tc>
          <w:tcPr>
            <w:tcW w:w="84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7140" w:type="dxa"/>
            <w:vAlign w:val="bottom"/>
            <w:shd w:val="clear" w:color="auto" w:fill="CCEEFF"/>
          </w:tcPr>
          <w:p>
            <w:pPr>
              <w:spacing w:after="0"/>
              <w:rPr>
                <w:sz w:val="3"/>
                <w:szCs w:val="3"/>
                <w:color w:val="auto"/>
              </w:rPr>
            </w:pPr>
          </w:p>
        </w:tc>
        <w:tc>
          <w:tcPr>
            <w:tcW w:w="180" w:type="dxa"/>
            <w:vAlign w:val="bottom"/>
            <w:shd w:val="clear" w:color="auto" w:fill="3635D6"/>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317" w:lineRule="exact"/>
        <w:rPr>
          <w:sz w:val="20"/>
          <w:szCs w:val="20"/>
          <w:color w:val="auto"/>
        </w:rPr>
      </w:pPr>
    </w:p>
    <w:p>
      <w:pPr>
        <w:ind w:right="200" w:firstLine="316"/>
        <w:spacing w:after="0" w:line="25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6" w:lineRule="exact"/>
        <w:rPr>
          <w:sz w:val="20"/>
          <w:szCs w:val="20"/>
          <w:color w:val="auto"/>
        </w:rPr>
      </w:pPr>
    </w:p>
    <w:p>
      <w:pPr>
        <w:ind w:right="660" w:firstLine="316"/>
        <w:spacing w:after="0" w:line="262"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208" w:lineRule="exact"/>
        <w:rPr>
          <w:sz w:val="20"/>
          <w:szCs w:val="20"/>
          <w:color w:val="auto"/>
        </w:rPr>
      </w:pPr>
    </w:p>
    <w:p>
      <w:pPr>
        <w:ind w:right="120" w:firstLine="316"/>
        <w:spacing w:after="0" w:line="325" w:lineRule="auto"/>
        <w:rPr>
          <w:sz w:val="20"/>
          <w:szCs w:val="20"/>
          <w:color w:val="auto"/>
        </w:rPr>
      </w:pPr>
      <w:r>
        <w:rPr>
          <w:rFonts w:ascii="Arial" w:cs="Arial" w:eastAsia="Arial" w:hAnsi="Arial"/>
          <w:sz w:val="16"/>
          <w:szCs w:val="16"/>
          <w:color w:val="auto"/>
        </w:rPr>
        <w:t>Western Digital, the Western Digital logo,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267" w:lineRule="exact"/>
        <w:rPr>
          <w:sz w:val="20"/>
          <w:szCs w:val="20"/>
          <w:color w:val="auto"/>
        </w:rPr>
      </w:pPr>
    </w:p>
    <w:p>
      <w:pPr>
        <w:ind w:right="20" w:firstLine="316"/>
        <w:spacing w:after="0" w:line="269" w:lineRule="auto"/>
        <w:rPr>
          <w:sz w:val="20"/>
          <w:szCs w:val="20"/>
          <w:color w:val="auto"/>
        </w:rPr>
      </w:pPr>
      <w:r>
        <w:rPr>
          <w:rFonts w:ascii="Arial" w:cs="Arial" w:eastAsia="Arial" w:hAnsi="Arial"/>
          <w:sz w:val="16"/>
          <w:szCs w:val="16"/>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expectations regarding the global macroeconomic environment; the effects of the COVID-19 pandemic; expectations regarding supply chain conditions and constraints; expectations regarding demand trends and market conditions for our products and expected future financial performance; expectations regarding our product momentum and product development and technology plans; expectations regarding capital expenditure plans and investments, including relating to our Flash Ventures joint venture with Kioxia Corporation (“Kioxia”), and sources of funding for those expenditures; expectations regarding our effective tax rate and our unrecognized tax benefits; and our beliefs regarding the sufficiency of our available liquidity to meet our working capital, debt and capital expenditure needs.</w:t>
      </w:r>
    </w:p>
    <w:p>
      <w:pPr>
        <w:spacing w:after="0" w:line="193" w:lineRule="exact"/>
        <w:rPr>
          <w:sz w:val="20"/>
          <w:szCs w:val="20"/>
          <w:color w:val="auto"/>
        </w:rPr>
      </w:pPr>
    </w:p>
    <w:p>
      <w:pPr>
        <w:ind w:firstLine="316"/>
        <w:spacing w:after="0" w:line="301" w:lineRule="auto"/>
        <w:rPr>
          <w:sz w:val="20"/>
          <w:szCs w:val="20"/>
          <w:color w:val="auto"/>
        </w:rPr>
      </w:pPr>
      <w:r>
        <w:rPr>
          <w:rFonts w:ascii="Arial" w:cs="Arial" w:eastAsia="Arial" w:hAnsi="Arial"/>
          <w:sz w:val="16"/>
          <w:szCs w:val="16"/>
          <w:i w:val="1"/>
          <w:iCs w:val="1"/>
          <w:color w:val="auto"/>
        </w:rPr>
        <w:t>These forward-looking statements are based on management’s current expectations, represent the most current information available to the Company as of the date of this Quarterly Report on Form 10-Q and are subject to a number of risks, uncertainties and other factors that could cause actual results or</w:t>
      </w:r>
    </w:p>
    <w:p>
      <w:pPr>
        <w:spacing w:after="0"/>
        <w:rPr>
          <w:sz w:val="20"/>
          <w:szCs w:val="20"/>
          <w:color w:val="auto"/>
        </w:rPr>
      </w:pPr>
      <w:r>
        <w:rPr>
          <w:rFonts w:ascii="Arial" w:cs="Arial" w:eastAsia="Arial" w:hAnsi="Arial"/>
          <w:sz w:val="16"/>
          <w:szCs w:val="16"/>
          <w:i w:val="1"/>
          <w:iCs w:val="1"/>
          <w:color w:val="auto"/>
        </w:rPr>
        <w:t>performance to differ materially from those expressed in the forward-looking statements. These risks and uncertainties include, but are not limited to:</w:t>
      </w:r>
    </w:p>
    <w:p>
      <w:pPr>
        <w:spacing w:after="0" w:line="285" w:lineRule="exact"/>
        <w:rPr>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volatility in global economic conditions;</w:t>
      </w:r>
    </w:p>
    <w:p>
      <w:pPr>
        <w:spacing w:after="0" w:line="2"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future responses to and effects of the COVID-19 pandemic or other similar global health crises;</w:t>
      </w:r>
    </w:p>
    <w:p>
      <w:pPr>
        <w:spacing w:after="0" w:line="10"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impact of business and market conditions;</w:t>
      </w:r>
    </w:p>
    <w:p>
      <w:pPr>
        <w:spacing w:after="0" w:line="27" w:lineRule="exact"/>
        <w:rPr>
          <w:rFonts w:ascii="Arial" w:cs="Arial" w:eastAsia="Arial" w:hAnsi="Arial"/>
          <w:sz w:val="21"/>
          <w:szCs w:val="21"/>
          <w:color w:val="auto"/>
        </w:rPr>
      </w:pPr>
    </w:p>
    <w:p>
      <w:pPr>
        <w:ind w:left="640" w:right="280" w:hanging="318"/>
        <w:spacing w:after="0" w:line="266" w:lineRule="auto"/>
        <w:tabs>
          <w:tab w:leader="none" w:pos="635" w:val="left"/>
        </w:tabs>
        <w:numPr>
          <w:ilvl w:val="0"/>
          <w:numId w:val="3"/>
        </w:numPr>
        <w:rPr>
          <w:rFonts w:ascii="Arial" w:cs="Arial" w:eastAsia="Arial" w:hAnsi="Arial"/>
          <w:sz w:val="19"/>
          <w:szCs w:val="19"/>
          <w:i w:val="1"/>
          <w:iCs w:val="1"/>
          <w:color w:val="auto"/>
        </w:rPr>
      </w:pPr>
      <w:r>
        <w:rPr>
          <w:rFonts w:ascii="Arial" w:cs="Arial" w:eastAsia="Arial" w:hAnsi="Arial"/>
          <w:sz w:val="16"/>
          <w:szCs w:val="16"/>
          <w:i w:val="1"/>
          <w:iCs w:val="1"/>
          <w:color w:val="auto"/>
        </w:rPr>
        <w:t>the outcome and impact of our ongoing strategic review, including with respect to customer and supplier relationships, regulatory and contractual restrictions, stock price volatility and the diversion of management’s attention from ongoing business operations and opportunities;</w:t>
      </w: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impact of competitive products and pricing;</w:t>
      </w:r>
    </w:p>
    <w:p>
      <w:pPr>
        <w:spacing w:after="0" w:line="13"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development and introduction of products based on new technologies and expansion into new data storage markets;</w:t>
      </w:r>
    </w:p>
    <w:p>
      <w:pPr>
        <w:spacing w:after="0" w:line="20"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risks associated with cost saving initiatives, restructurings, acquisitions, divestitures, mergers, joint ventures and our strategic relationships;</w:t>
      </w:r>
    </w:p>
    <w:p>
      <w:pPr>
        <w:spacing w:after="0" w:line="10" w:lineRule="exact"/>
        <w:rPr>
          <w:rFonts w:ascii="Arial" w:cs="Arial" w:eastAsia="Arial" w:hAnsi="Arial"/>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difficulties or delays in manufacturing or other supply chain disruptions;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hiring and retention of key employees;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level of debt and other financial obligations;</w:t>
      </w:r>
    </w:p>
    <w:p>
      <w:pPr>
        <w:spacing w:after="0" w:line="21"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changes to our relationships with key customers;</w:t>
      </w:r>
    </w:p>
    <w:p>
      <w:pPr>
        <w:spacing w:after="0" w:line="10"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disruptions in operations from cybersecurity incidents or other system security risks;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actions by competitors;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risks associated with compliance with changing legal and regulatory requirements and the outcome of legal proceedings; and</w:t>
      </w:r>
    </w:p>
    <w:p>
      <w:pPr>
        <w:spacing w:after="0" w:line="1" w:lineRule="exact"/>
        <w:rPr>
          <w:rFonts w:ascii="Arial" w:cs="Arial" w:eastAsia="Arial" w:hAnsi="Arial"/>
          <w:sz w:val="21"/>
          <w:szCs w:val="21"/>
          <w:color w:val="auto"/>
        </w:rPr>
      </w:pPr>
    </w:p>
    <w:p>
      <w:pPr>
        <w:ind w:left="640" w:right="140" w:hanging="318"/>
        <w:spacing w:after="0" w:line="246" w:lineRule="auto"/>
        <w:tabs>
          <w:tab w:leader="none" w:pos="6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risks and uncertainties disclosed in Part I, Item 1A of our Annual Report on Form 10-K for the year ended July 1, 2022 (the “2022 Annual Report on Form 10-K”).</w:t>
      </w:r>
    </w:p>
    <w:p>
      <w:pPr>
        <w:spacing w:after="0" w:line="221" w:lineRule="exact"/>
        <w:rPr>
          <w:sz w:val="20"/>
          <w:szCs w:val="20"/>
          <w:color w:val="auto"/>
        </w:rPr>
      </w:pPr>
    </w:p>
    <w:p>
      <w:pPr>
        <w:ind w:right="20" w:firstLine="316"/>
        <w:spacing w:after="0" w:line="282" w:lineRule="auto"/>
        <w:rPr>
          <w:sz w:val="20"/>
          <w:szCs w:val="20"/>
          <w:color w:val="auto"/>
        </w:rPr>
      </w:pPr>
      <w:r>
        <w:rPr>
          <w:rFonts w:ascii="Arial" w:cs="Arial" w:eastAsia="Arial" w:hAnsi="Arial"/>
          <w:sz w:val="16"/>
          <w:szCs w:val="16"/>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2022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2022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9,453</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10,041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25,686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90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7,022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14,038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(Notes 10, 11, 13 and 16)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0"/>
              </w:rPr>
              <w:t>Common stock, $0.01 par value; authorized — 450 shares; issued — 318 shares and 315 shares, respectively; outstanding —</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318 shares and 315 shares, respectively</w:t>
            </w: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3,733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12,221</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26,259</w:t>
            </w: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4"/>
          </w:tcPr>
          <w:p>
            <w:pPr>
              <w:jc w:val="right"/>
              <w:ind w:right="742"/>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9"/>
        </w:trPr>
        <w:tc>
          <w:tcPr>
            <w:tcW w:w="8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160" w:type="dxa"/>
            <w:vAlign w:val="bottom"/>
          </w:tcPr>
          <w:p>
            <w:pPr>
              <w:jc w:val="right"/>
              <w:ind w:right="302"/>
              <w:spacing w:after="0" w:line="129" w:lineRule="exact"/>
              <w:rPr>
                <w:sz w:val="20"/>
                <w:szCs w:val="20"/>
                <w:color w:val="auto"/>
              </w:rPr>
            </w:pPr>
            <w:r>
              <w:rPr>
                <w:rFonts w:ascii="Arial" w:cs="Arial" w:eastAsia="Arial" w:hAnsi="Arial"/>
                <w:sz w:val="14"/>
                <w:szCs w:val="14"/>
                <w:b w:val="1"/>
                <w:bCs w:val="1"/>
                <w:color w:val="auto"/>
              </w:rPr>
              <w:t>October 1,</w:t>
            </w:r>
          </w:p>
        </w:tc>
      </w:tr>
      <w:tr>
        <w:trPr>
          <w:trHeight w:val="189"/>
        </w:trPr>
        <w:tc>
          <w:tcPr>
            <w:tcW w:w="8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w:t>
            </w:r>
          </w:p>
        </w:tc>
      </w:tr>
      <w:tr>
        <w:trPr>
          <w:trHeight w:val="208"/>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r>
      <w:tr>
        <w:trPr>
          <w:trHeight w:val="188"/>
        </w:trPr>
        <w:tc>
          <w:tcPr>
            <w:tcW w:w="8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1"/>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1"/>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common share: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51"/>
        </w:trPr>
        <w:tc>
          <w:tcPr>
            <w:tcW w:w="8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9"/>
        </w:trPr>
        <w:tc>
          <w:tcPr>
            <w:tcW w:w="8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160" w:type="dxa"/>
            <w:vAlign w:val="bottom"/>
          </w:tcPr>
          <w:p>
            <w:pPr>
              <w:jc w:val="right"/>
              <w:ind w:right="303"/>
              <w:spacing w:after="0" w:line="129" w:lineRule="exact"/>
              <w:rPr>
                <w:sz w:val="20"/>
                <w:szCs w:val="20"/>
                <w:color w:val="auto"/>
              </w:rPr>
            </w:pPr>
            <w:r>
              <w:rPr>
                <w:rFonts w:ascii="Arial" w:cs="Arial" w:eastAsia="Arial" w:hAnsi="Arial"/>
                <w:sz w:val="14"/>
                <w:szCs w:val="14"/>
                <w:b w:val="1"/>
                <w:bCs w:val="1"/>
                <w:color w:val="auto"/>
              </w:rPr>
              <w:t>October 1,</w:t>
            </w:r>
          </w:p>
        </w:tc>
      </w:tr>
      <w:tr>
        <w:trPr>
          <w:trHeight w:val="189"/>
        </w:trPr>
        <w:tc>
          <w:tcPr>
            <w:tcW w:w="8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Actuarial pension gain</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unrealized gain (loss) on derivative contracts and available-for-sale securities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1"/>
        </w:trPr>
        <w:tc>
          <w:tcPr>
            <w:tcW w:w="82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before tax</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related to items of other comprehensive income (loss), before tax</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180" w:type="dxa"/>
            <w:vAlign w:val="bottom"/>
          </w:tcPr>
          <w:p>
            <w:pPr>
              <w:jc w:val="right"/>
              <w:ind w:right="330"/>
              <w:spacing w:after="0" w:line="129" w:lineRule="exact"/>
              <w:rPr>
                <w:sz w:val="20"/>
                <w:szCs w:val="20"/>
                <w:color w:val="auto"/>
              </w:rPr>
            </w:pPr>
            <w:r>
              <w:rPr>
                <w:rFonts w:ascii="Arial" w:cs="Arial" w:eastAsia="Arial" w:hAnsi="Arial"/>
                <w:sz w:val="14"/>
                <w:szCs w:val="14"/>
                <w:b w:val="1"/>
                <w:bCs w:val="1"/>
                <w:color w:val="auto"/>
              </w:rPr>
              <w:t>October 1,</w:t>
            </w:r>
          </w:p>
        </w:tc>
      </w:tr>
      <w:tr>
        <w:trPr>
          <w:trHeight w:val="189"/>
        </w:trPr>
        <w:tc>
          <w:tcPr>
            <w:tcW w:w="8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610</w:t>
            </w: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disposal of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Amortization of debt issuance costs and discounts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Changes in:</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91"/>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assets and liabilities, net</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198"/>
        </w:trPr>
        <w:tc>
          <w:tcPr>
            <w:tcW w:w="8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r>
      <w:tr>
        <w:trPr>
          <w:trHeight w:val="171"/>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9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Strategic investments and other, net</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98"/>
        </w:trPr>
        <w:tc>
          <w:tcPr>
            <w:tcW w:w="8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171"/>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Repayments of revolving credit facility</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revolving credit facility</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financing activities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r>
      <w:tr>
        <w:trPr>
          <w:trHeight w:val="198"/>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3,370</w:t>
            </w:r>
          </w:p>
        </w:tc>
      </w:tr>
      <w:tr>
        <w:trPr>
          <w:trHeight w:val="198"/>
        </w:trPr>
        <w:tc>
          <w:tcPr>
            <w:tcW w:w="828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4"/>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00" w:type="dxa"/>
            <w:vAlign w:val="bottom"/>
          </w:tcPr>
          <w:p>
            <w:pPr>
              <w:spacing w:after="0"/>
              <w:rPr>
                <w:sz w:val="15"/>
                <w:szCs w:val="15"/>
                <w:color w:val="auto"/>
              </w:rPr>
            </w:pPr>
          </w:p>
        </w:tc>
        <w:tc>
          <w:tcPr>
            <w:tcW w:w="188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5"/>
                <w:szCs w:val="15"/>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Total Shareholders’</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98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3,733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9,039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12,221</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new accounting standards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Net unrealized loss on derivative contracts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1"/>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3,641</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9,157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12,107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680" w:type="dxa"/>
            <w:vAlign w:val="bottom"/>
          </w:tcPr>
          <w:p>
            <w:pPr>
              <w:spacing w:after="0"/>
              <w:rPr>
                <w:sz w:val="15"/>
                <w:szCs w:val="15"/>
                <w:color w:val="auto"/>
              </w:rPr>
            </w:pPr>
          </w:p>
        </w:tc>
        <w:tc>
          <w:tcPr>
            <w:tcW w:w="186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880" w:type="dxa"/>
            <w:vAlign w:val="bottom"/>
            <w:gridSpan w:val="5"/>
          </w:tcPr>
          <w:p>
            <w:pPr>
              <w:ind w:left="4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ind w:left="40"/>
              <w:spacing w:after="0" w:line="147" w:lineRule="exact"/>
              <w:rPr>
                <w:sz w:val="20"/>
                <w:szCs w:val="20"/>
                <w:color w:val="auto"/>
              </w:rPr>
            </w:pPr>
            <w:r>
              <w:rPr>
                <w:rFonts w:ascii="Arial" w:cs="Arial" w:eastAsia="Arial" w:hAnsi="Arial"/>
                <w:sz w:val="14"/>
                <w:szCs w:val="14"/>
                <w:b w:val="1"/>
                <w:bCs w:val="1"/>
                <w:color w:val="auto"/>
              </w:rPr>
              <w:t>Additional</w:t>
            </w:r>
          </w:p>
        </w:tc>
        <w:tc>
          <w:tcPr>
            <w:tcW w:w="1420" w:type="dxa"/>
            <w:vAlign w:val="bottom"/>
            <w:gridSpan w:val="3"/>
            <w:vMerge w:val="restart"/>
          </w:tcPr>
          <w:p>
            <w:pPr>
              <w:ind w:left="60"/>
              <w:spacing w:after="0" w:line="147"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
                <w:szCs w:val="2"/>
                <w:color w:val="auto"/>
              </w:rPr>
            </w:pPr>
          </w:p>
        </w:tc>
        <w:tc>
          <w:tcPr>
            <w:tcW w:w="920" w:type="dxa"/>
            <w:vAlign w:val="bottom"/>
            <w:gridSpan w:val="2"/>
            <w:vMerge w:val="restart"/>
          </w:tcPr>
          <w:p>
            <w:pPr>
              <w:ind w:left="60"/>
              <w:spacing w:after="0" w:line="147"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2"/>
            <w:vMerge w:val="restart"/>
          </w:tcPr>
          <w:p>
            <w:pPr>
              <w:ind w:left="20"/>
              <w:spacing w:after="0" w:line="147" w:lineRule="exact"/>
              <w:rPr>
                <w:sz w:val="20"/>
                <w:szCs w:val="20"/>
                <w:color w:val="auto"/>
              </w:rPr>
            </w:pPr>
            <w:r>
              <w:rPr>
                <w:rFonts w:ascii="Arial" w:cs="Arial" w:eastAsia="Arial" w:hAnsi="Arial"/>
                <w:sz w:val="14"/>
                <w:szCs w:val="14"/>
                <w:b w:val="1"/>
                <w:bCs w:val="1"/>
                <w:color w:val="auto"/>
                <w:w w:val="90"/>
              </w:rPr>
              <w:t>Total Shareholders’</w:t>
            </w:r>
          </w:p>
        </w:tc>
        <w:tc>
          <w:tcPr>
            <w:tcW w:w="0" w:type="dxa"/>
            <w:vAlign w:val="bottom"/>
          </w:tcPr>
          <w:p>
            <w:pPr>
              <w:spacing w:after="0"/>
              <w:rPr>
                <w:sz w:val="1"/>
                <w:szCs w:val="1"/>
                <w:color w:val="auto"/>
              </w:rPr>
            </w:pPr>
          </w:p>
        </w:tc>
      </w:tr>
      <w:tr>
        <w:trPr>
          <w:trHeight w:val="103"/>
        </w:trPr>
        <w:tc>
          <w:tcPr>
            <w:tcW w:w="2680" w:type="dxa"/>
            <w:vAlign w:val="bottom"/>
          </w:tcPr>
          <w:p>
            <w:pPr>
              <w:spacing w:after="0"/>
              <w:rPr>
                <w:sz w:val="8"/>
                <w:szCs w:val="8"/>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2,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10,721</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0"/>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Net unrealized gain on derivative contracts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Balance at October 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3,401</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Basis of Presentation</w:t>
      </w:r>
    </w:p>
    <w:p>
      <w:pPr>
        <w:spacing w:after="0" w:line="247" w:lineRule="exact"/>
        <w:rPr>
          <w:sz w:val="20"/>
          <w:szCs w:val="20"/>
          <w:color w:val="auto"/>
        </w:rPr>
      </w:pPr>
    </w:p>
    <w:p>
      <w:pPr>
        <w:ind w:right="20" w:firstLine="316"/>
        <w:spacing w:after="0" w:line="250"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based on both flash-based products (“Flash”) and hard disk drives (“HDD”) technologies. With dedicated Flash and HDD business units driving advancements in memory technologies, the Company creates and drives innovations needed to help customers capture, preserve, access, and transform an ever-increasing diversity of data.</w:t>
      </w:r>
    </w:p>
    <w:p>
      <w:pPr>
        <w:spacing w:after="0" w:line="219" w:lineRule="exact"/>
        <w:rPr>
          <w:sz w:val="20"/>
          <w:szCs w:val="20"/>
          <w:color w:val="auto"/>
        </w:rPr>
      </w:pPr>
    </w:p>
    <w:p>
      <w:pPr>
        <w:ind w:right="20" w:firstLine="316"/>
        <w:spacing w:after="0" w:line="213" w:lineRule="exact"/>
        <w:rPr>
          <w:sz w:val="20"/>
          <w:szCs w:val="20"/>
          <w:color w:val="auto"/>
        </w:rPr>
      </w:pPr>
      <w:r>
        <w:rPr>
          <w:rFonts w:ascii="Arial" w:cs="Arial" w:eastAsia="Arial" w:hAnsi="Arial"/>
          <w:sz w:val="16"/>
          <w:szCs w:val="16"/>
          <w:color w:val="auto"/>
        </w:rPr>
        <w:t xml:space="preserve">The accounting policies followed by the Company are set forth in Part II, Item 8,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xml:space="preserve"> of the Notes to Consolidated Financial Statements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July 1, 2022.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July 1, 2022. The results of operations for interim periods are not necessarily indicative of results to be expected for the full year.</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w:t>
      </w:r>
    </w:p>
    <w:p>
      <w:pPr>
        <w:spacing w:after="0" w:line="241"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years 2023, which ends on June 30, 2023, and 2022, which ended on July 1, 2022, are each comprised of 52 weeks, with all quarters presented consisting of 13 weeks.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Segment Reporting</w:t>
      </w:r>
    </w:p>
    <w:p>
      <w:pPr>
        <w:spacing w:after="0" w:line="241" w:lineRule="exact"/>
        <w:rPr>
          <w:sz w:val="20"/>
          <w:szCs w:val="20"/>
          <w:color w:val="auto"/>
        </w:rPr>
      </w:pPr>
    </w:p>
    <w:p>
      <w:pPr>
        <w:ind w:right="100" w:firstLine="316"/>
        <w:spacing w:after="0" w:line="325"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The Company manages and reports under two reportable segments: Flash and HDD.</w:t>
      </w:r>
    </w:p>
    <w:p>
      <w:pPr>
        <w:spacing w:after="0" w:line="148" w:lineRule="exact"/>
        <w:rPr>
          <w:sz w:val="20"/>
          <w:szCs w:val="20"/>
          <w:color w:val="auto"/>
        </w:rPr>
      </w:pPr>
    </w:p>
    <w:p>
      <w:pPr>
        <w:ind w:right="40" w:firstLine="316"/>
        <w:spacing w:after="0" w:line="310" w:lineRule="auto"/>
        <w:rPr>
          <w:sz w:val="20"/>
          <w:szCs w:val="20"/>
          <w:color w:val="auto"/>
        </w:rPr>
      </w:pPr>
      <w:r>
        <w:rPr>
          <w:rFonts w:ascii="Arial" w:cs="Arial" w:eastAsia="Arial" w:hAnsi="Arial"/>
          <w:sz w:val="15"/>
          <w:szCs w:val="15"/>
          <w:color w:val="auto"/>
        </w:rPr>
        <w:t>The Company’s Chief Operating Decision Maker (“CODM”) evaluates performance of the Company and makes decisions regarding allocation of resources based on each operating segment’s net revenue and gross margin. Because of the integrated nature of the Company’s production and distribution activities, separate segment asset measures are not available or reviewed by the CODM to evaluate the performance of or to allocate resources to the segments.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Use of Estimates</w:t>
      </w:r>
    </w:p>
    <w:p>
      <w:pPr>
        <w:spacing w:after="0" w:line="241" w:lineRule="exact"/>
        <w:rPr>
          <w:sz w:val="20"/>
          <w:szCs w:val="20"/>
          <w:color w:val="auto"/>
        </w:rPr>
      </w:pPr>
    </w:p>
    <w:p>
      <w:pPr>
        <w:jc w:val="both"/>
        <w:ind w:firstLine="316"/>
        <w:spacing w:after="0" w:line="300"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41" w:lineRule="exact"/>
        <w:rPr>
          <w:sz w:val="20"/>
          <w:szCs w:val="20"/>
          <w:color w:val="auto"/>
        </w:rPr>
      </w:pPr>
    </w:p>
    <w:p>
      <w:pPr>
        <w:ind w:firstLine="316"/>
        <w:spacing w:after="0" w:line="280"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No. 2020-06, “Debt—Debt with Conversion and Other Options (Subtopic 470-20) and Derivatives and Hedging—Contracts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prior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The Company adopted the new standard effective July 2, 2022, the first day of the year ending June 30, 2023, using the modified retrospective method. On the date of adoption, the Company recorded a reduction in Additional Paid-In Capital of $128 million, a reduction of unamortized debt discount of $48 million, a reduction of deferred income tax liabilities of $11 million, and an increase to retained earnings of $91 million for the after-tax impact of previously recognized amortization of the debt discount associated with the Company’s convertible senior notes.</w:t>
      </w:r>
    </w:p>
    <w:p>
      <w:pPr>
        <w:spacing w:after="0" w:line="198" w:lineRule="exact"/>
        <w:rPr>
          <w:sz w:val="20"/>
          <w:szCs w:val="20"/>
          <w:color w:val="auto"/>
        </w:rPr>
      </w:pPr>
    </w:p>
    <w:p>
      <w:pPr>
        <w:ind w:right="140" w:firstLine="316"/>
        <w:spacing w:after="0" w:line="285" w:lineRule="auto"/>
        <w:rPr>
          <w:sz w:val="20"/>
          <w:szCs w:val="20"/>
          <w:color w:val="auto"/>
        </w:rPr>
      </w:pPr>
      <w:r>
        <w:rPr>
          <w:rFonts w:ascii="Arial" w:cs="Arial" w:eastAsia="Arial" w:hAnsi="Arial"/>
          <w:sz w:val="16"/>
          <w:szCs w:val="16"/>
          <w:color w:val="auto"/>
        </w:rPr>
        <w:t>In November 2021, the FASB issued ASU No. 2021-10, “Government Assistance (Topic 832): Disclosures by Business Entities about Government Assistance” (“ASU 2021-10”). ASU 2021-10 increases the transparency of government assistance received by requiring most business entities to disclose information about government assistance received, including (1) the types of assistance, (2) the entity’s accounting for the assistance, and (3) the effect of the assistance on an entity’s financial statements. This ASU is effective for fiscal years (and interim periods within those fiscal years) beginning after December 15, 2021, which for the Company is the first quarter of 2023. The Company adopted this ASU on July 2, 2022, the first day of the year ending June 30, 2023, and the adoption did not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Business Segments, Geographic Information, and Concentrations of Risk</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operating performance of the Company’s reportable segments: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1260" w:type="dxa"/>
            <w:vAlign w:val="bottom"/>
          </w:tcPr>
          <w:p>
            <w:pPr>
              <w:jc w:val="right"/>
              <w:ind w:right="382"/>
              <w:spacing w:after="0" w:line="129" w:lineRule="exact"/>
              <w:rPr>
                <w:sz w:val="20"/>
                <w:szCs w:val="20"/>
                <w:color w:val="auto"/>
              </w:rPr>
            </w:pPr>
            <w:r>
              <w:rPr>
                <w:rFonts w:ascii="Arial" w:cs="Arial" w:eastAsia="Arial" w:hAnsi="Arial"/>
                <w:sz w:val="14"/>
                <w:szCs w:val="14"/>
                <w:b w:val="1"/>
                <w:bCs w:val="1"/>
                <w:color w:val="auto"/>
              </w:rPr>
              <w:t>October 1,</w:t>
            </w:r>
          </w:p>
        </w:tc>
        <w:tc>
          <w:tcPr>
            <w:tcW w:w="0" w:type="dxa"/>
            <w:vAlign w:val="bottom"/>
          </w:tcPr>
          <w:p>
            <w:pPr>
              <w:spacing w:after="0"/>
              <w:rPr>
                <w:sz w:val="1"/>
                <w:szCs w:val="1"/>
                <w:color w:val="auto"/>
              </w:rPr>
            </w:pPr>
          </w:p>
        </w:tc>
      </w:tr>
      <w:tr>
        <w:trPr>
          <w:trHeight w:val="189"/>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4"/>
          </w:tcPr>
          <w:p>
            <w:pPr>
              <w:jc w:val="right"/>
              <w:ind w:right="482"/>
              <w:spacing w:after="0"/>
              <w:rPr>
                <w:sz w:val="20"/>
                <w:szCs w:val="20"/>
                <w:color w:val="auto"/>
              </w:rPr>
            </w:pPr>
            <w:r>
              <w:rPr>
                <w:rFonts w:ascii="Arial" w:cs="Arial" w:eastAsia="Arial" w:hAnsi="Arial"/>
                <w:sz w:val="16"/>
                <w:szCs w:val="16"/>
                <w:i w:val="1"/>
                <w:iCs w:val="1"/>
                <w:color w:val="auto"/>
              </w:rPr>
              <w:t>(in millions, except percentages)</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4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01"/>
        </w:trPr>
        <w:tc>
          <w:tcPr>
            <w:tcW w:w="804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5,051</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4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01"/>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gross profit for segments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19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Unallocated corporate items: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4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1"/>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unallocated corporate items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Consolidated gross profit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981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37.0 %</w:t>
            </w:r>
          </w:p>
        </w:tc>
        <w:tc>
          <w:tcPr>
            <w:tcW w:w="0" w:type="dxa"/>
            <w:vAlign w:val="bottom"/>
          </w:tcPr>
          <w:p>
            <w:pPr>
              <w:spacing w:after="0"/>
              <w:rPr>
                <w:sz w:val="1"/>
                <w:szCs w:val="1"/>
                <w:color w:val="auto"/>
              </w:rPr>
            </w:pPr>
          </w:p>
        </w:tc>
      </w:tr>
      <w:tr>
        <w:trPr>
          <w:trHeight w:val="208"/>
        </w:trPr>
        <w:tc>
          <w:tcPr>
            <w:tcW w:w="8040" w:type="dxa"/>
            <w:vAlign w:val="bottom"/>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30.9 %</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Consolidated gross margin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-2486660</wp:posOffset>
            </wp:positionV>
            <wp:extent cx="673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Disaggregated Revenue</w:t>
      </w:r>
    </w:p>
    <w:p>
      <w:pPr>
        <w:spacing w:after="0" w:line="241" w:lineRule="exact"/>
        <w:rPr>
          <w:sz w:val="20"/>
          <w:szCs w:val="20"/>
          <w:color w:val="auto"/>
        </w:rPr>
      </w:pPr>
    </w:p>
    <w:p>
      <w:pPr>
        <w:ind w:right="60" w:firstLine="316"/>
        <w:spacing w:after="0" w:line="285" w:lineRule="auto"/>
        <w:rPr>
          <w:sz w:val="20"/>
          <w:szCs w:val="20"/>
          <w:color w:val="auto"/>
        </w:rPr>
      </w:pPr>
      <w:r>
        <w:rPr>
          <w:rFonts w:ascii="Arial" w:cs="Arial" w:eastAsia="Arial" w:hAnsi="Arial"/>
          <w:sz w:val="16"/>
          <w:szCs w:val="16"/>
          <w:color w:val="auto"/>
        </w:rPr>
        <w:t>The Company’s broad portfolio of technology and products address multiple end markets. Cloud represents a large and growing end market comprised primarily of products for public or private cloud environments and end customers, which the Company believes it is uniquely positioned to address as the only provider of both Flash and HDD.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1"/>
                <w:szCs w:val="11"/>
                <w:color w:val="auto"/>
              </w:rPr>
            </w:pPr>
          </w:p>
        </w:tc>
        <w:tc>
          <w:tcPr>
            <w:tcW w:w="1080" w:type="dxa"/>
            <w:vAlign w:val="bottom"/>
          </w:tcPr>
          <w:p>
            <w:pPr>
              <w:jc w:val="right"/>
              <w:ind w:right="323"/>
              <w:spacing w:after="0" w:line="129" w:lineRule="exact"/>
              <w:rPr>
                <w:sz w:val="20"/>
                <w:szCs w:val="20"/>
                <w:color w:val="auto"/>
              </w:rPr>
            </w:pPr>
            <w:r>
              <w:rPr>
                <w:rFonts w:ascii="Arial" w:cs="Arial" w:eastAsia="Arial" w:hAnsi="Arial"/>
                <w:sz w:val="14"/>
                <w:szCs w:val="14"/>
                <w:b w:val="1"/>
                <w:bCs w:val="1"/>
                <w:color w:val="auto"/>
                <w:w w:val="95"/>
              </w:rPr>
              <w:t>October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Cloud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2,225</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r>
      <w:tr>
        <w:trPr>
          <w:trHeight w:val="23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Asia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2,675</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-1699260</wp:posOffset>
            </wp:positionV>
            <wp:extent cx="67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The Company’s top 10 customers accounted for 52% of its net revenue for the three months ended September 30, 2022, and 43% of its net revenue for the three months ended October 1, 2021. For the three months ended September 30, 2022 and October 1, 2021, no single customer accounted for 10% or more of the Company’s net revenue.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summary of goodwill activity for the period: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Flash</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HDD</w:t>
            </w:r>
          </w:p>
        </w:tc>
        <w:tc>
          <w:tcPr>
            <w:tcW w:w="3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24"/>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6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6"/>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July 1, 2022</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10,041</w:t>
            </w:r>
          </w:p>
        </w:tc>
      </w:tr>
      <w:tr>
        <w:trPr>
          <w:trHeight w:val="208"/>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5,716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4,321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more-likely-than-not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w:t>
      </w:r>
    </w:p>
    <w:p>
      <w:pPr>
        <w:spacing w:after="0" w:line="186" w:lineRule="exact"/>
        <w:rPr>
          <w:sz w:val="20"/>
          <w:szCs w:val="20"/>
          <w:color w:val="auto"/>
        </w:rPr>
      </w:pPr>
    </w:p>
    <w:p>
      <w:pPr>
        <w:ind w:right="80" w:firstLine="316"/>
        <w:spacing w:after="0" w:line="300" w:lineRule="auto"/>
        <w:rPr>
          <w:sz w:val="20"/>
          <w:szCs w:val="20"/>
          <w:color w:val="auto"/>
        </w:rPr>
      </w:pPr>
      <w:r>
        <w:rPr>
          <w:rFonts w:ascii="Arial" w:cs="Arial" w:eastAsia="Arial" w:hAnsi="Arial"/>
          <w:sz w:val="16"/>
          <w:szCs w:val="16"/>
          <w:color w:val="auto"/>
        </w:rPr>
        <w:t>As of September 30, 2022, management identified several factors, including changes in macroeconomic conditions and a recent decline of the Company’s market stock price, that warranted a quantitative analysis of impairment for both the Flash and HDD reporting units as of that date. The fair value of each operating segment was based on a weighting of two valuation methodologies: an income approach and a market approach.</w:t>
      </w:r>
    </w:p>
    <w:p>
      <w:pPr>
        <w:spacing w:after="0" w:line="181" w:lineRule="exact"/>
        <w:rPr>
          <w:sz w:val="20"/>
          <w:szCs w:val="20"/>
          <w:color w:val="auto"/>
        </w:rPr>
      </w:pPr>
    </w:p>
    <w:p>
      <w:pPr>
        <w:ind w:right="140" w:firstLine="316"/>
        <w:spacing w:after="0" w:line="287" w:lineRule="auto"/>
        <w:rPr>
          <w:sz w:val="20"/>
          <w:szCs w:val="20"/>
          <w:color w:val="auto"/>
        </w:rPr>
      </w:pPr>
      <w:r>
        <w:rPr>
          <w:rFonts w:ascii="Arial" w:cs="Arial" w:eastAsia="Arial" w:hAnsi="Arial"/>
          <w:sz w:val="16"/>
          <w:szCs w:val="16"/>
          <w:color w:val="auto"/>
        </w:rPr>
        <w:t>The income approach was based on the present value of the projected discounted cash flows (“DCF”) expected to be generated by the operating segment. Those projections required the use of significant estimates and assumptions specific to the reporting unit as well as those based on general economic conditions, which included, among other factors, revenue growth rates, gross margins, operating costs, capital expenditures, assumed tax rates and other assumptions deemed reasonable by management. The present value was based on applying a weighted average cost of capital (“WACC”) which considered long-term interest rates and cost of equity based on the Company’s risk profile.</w:t>
      </w:r>
    </w:p>
    <w:p>
      <w:pPr>
        <w:spacing w:after="0" w:line="192" w:lineRule="exact"/>
        <w:rPr>
          <w:sz w:val="20"/>
          <w:szCs w:val="20"/>
          <w:color w:val="auto"/>
        </w:rPr>
      </w:pPr>
    </w:p>
    <w:p>
      <w:pPr>
        <w:ind w:right="680" w:firstLine="316"/>
        <w:spacing w:after="0" w:line="262" w:lineRule="auto"/>
        <w:rPr>
          <w:sz w:val="20"/>
          <w:szCs w:val="20"/>
          <w:color w:val="auto"/>
        </w:rPr>
      </w:pPr>
      <w:r>
        <w:rPr>
          <w:rFonts w:ascii="Arial" w:cs="Arial" w:eastAsia="Arial" w:hAnsi="Arial"/>
          <w:sz w:val="18"/>
          <w:szCs w:val="18"/>
          <w:color w:val="auto"/>
        </w:rPr>
        <w:t>The market approach was based on a guideline company method, which analyzed market multiples of revenue and earnings before interest, taxes, depreciation and amortization (“EBITDA”) for a group of comparable public companies.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316"/>
        <w:spacing w:after="0" w:line="325" w:lineRule="auto"/>
        <w:rPr>
          <w:sz w:val="20"/>
          <w:szCs w:val="20"/>
          <w:color w:val="auto"/>
        </w:rPr>
      </w:pPr>
      <w:r>
        <w:rPr>
          <w:rFonts w:ascii="Arial" w:cs="Arial" w:eastAsia="Arial" w:hAnsi="Arial"/>
          <w:sz w:val="16"/>
          <w:szCs w:val="16"/>
          <w:color w:val="auto"/>
        </w:rPr>
        <w:t>We reconciled the aggregated estimated fair value of both operating segments to the Company’s market capitalization, including consideration of a control premium representing the estimated amount a market participant would pay to obtain a controlling interest in the Company.</w:t>
      </w:r>
    </w:p>
    <w:p>
      <w:pPr>
        <w:spacing w:after="0" w:line="161" w:lineRule="exact"/>
        <w:rPr>
          <w:sz w:val="20"/>
          <w:szCs w:val="20"/>
          <w:color w:val="auto"/>
        </w:rPr>
      </w:pPr>
    </w:p>
    <w:p>
      <w:pPr>
        <w:ind w:right="280" w:firstLine="316"/>
        <w:spacing w:after="0" w:line="262" w:lineRule="auto"/>
        <w:rPr>
          <w:sz w:val="20"/>
          <w:szCs w:val="20"/>
          <w:color w:val="auto"/>
        </w:rPr>
      </w:pPr>
      <w:r>
        <w:rPr>
          <w:rFonts w:ascii="Arial" w:cs="Arial" w:eastAsia="Arial" w:hAnsi="Arial"/>
          <w:sz w:val="18"/>
          <w:szCs w:val="18"/>
          <w:color w:val="auto"/>
        </w:rPr>
        <w:t>As of September 30, 2022, the fair value derived from those valuation methodologies exceeded the carrying value by 7% and 32% for Flash and HDD, respectively, and no impairment was recognized.</w:t>
      </w:r>
    </w:p>
    <w:p>
      <w:pPr>
        <w:spacing w:after="0" w:line="208"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is required to use judgment when applying the goodwill impairment test, including the assignment of assets and liabilities to reporting units, and determination of the fair value of each reporting unit. In addition, the estimates used to determine the fair value of reporting units may change based on future changes in the Company’s results of operations, macroeconomic conditions or other factors. Changes in these estimates could materially affect the Company’s assessment of the fair value and goodwill impairment. In addition, if negative macroeconomic conditions continue or worsen or the Company’s stock price decreases for a sustained period of time, goodwill could become impaired, which could result in an impairment charge and materially adversely affect the Company’s financial condition results of operations.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60" w:right="27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Revenues</w:t>
      </w:r>
    </w:p>
    <w:p>
      <w:pPr>
        <w:spacing w:after="0" w:line="234" w:lineRule="exact"/>
        <w:rPr>
          <w:sz w:val="20"/>
          <w:szCs w:val="20"/>
          <w:color w:val="auto"/>
        </w:rPr>
      </w:pPr>
    </w:p>
    <w:p>
      <w:pPr>
        <w:ind w:right="20" w:firstLine="316"/>
        <w:spacing w:after="0" w:line="257" w:lineRule="auto"/>
        <w:rPr>
          <w:sz w:val="20"/>
          <w:szCs w:val="20"/>
          <w:color w:val="auto"/>
        </w:rPr>
      </w:pPr>
      <w:r>
        <w:rPr>
          <w:rFonts w:ascii="Arial" w:cs="Arial" w:eastAsia="Arial" w:hAnsi="Arial"/>
          <w:sz w:val="16"/>
          <w:szCs w:val="16"/>
          <w:color w:val="212529"/>
        </w:rPr>
        <w:t xml:space="preserve">Contract assets represent the Company’s rights to consideration where performance obligations are completed but the customer payments are not due until another performance obligation is satisfied. The Company did not have any contract assets as of either </w:t>
      </w:r>
      <w:r>
        <w:rPr>
          <w:rFonts w:ascii="Arial" w:cs="Arial" w:eastAsia="Arial" w:hAnsi="Arial"/>
          <w:sz w:val="16"/>
          <w:szCs w:val="16"/>
          <w:color w:val="000000"/>
        </w:rPr>
        <w:t>September 30, 2022</w:t>
      </w:r>
      <w:r>
        <w:rPr>
          <w:rFonts w:ascii="Arial" w:cs="Arial" w:eastAsia="Arial" w:hAnsi="Arial"/>
          <w:sz w:val="16"/>
          <w:szCs w:val="16"/>
          <w:color w:val="212529"/>
        </w:rPr>
        <w:t xml:space="preserve"> or </w:t>
      </w:r>
      <w:r>
        <w:rPr>
          <w:rFonts w:ascii="Arial" w:cs="Arial" w:eastAsia="Arial" w:hAnsi="Arial"/>
          <w:sz w:val="16"/>
          <w:szCs w:val="16"/>
          <w:color w:val="000000"/>
        </w:rPr>
        <w:t>July 1, 2022</w:t>
      </w:r>
      <w:r>
        <w:rPr>
          <w:rFonts w:ascii="Arial" w:cs="Arial" w:eastAsia="Arial" w:hAnsi="Arial"/>
          <w:sz w:val="16"/>
          <w:szCs w:val="16"/>
          <w:color w:val="212529"/>
        </w:rPr>
        <w:t xml:space="preserve">. Contract liabilities relate to customers’ payments in advance of performance under the contract and primarily relate to remaining performance obligations under professional service and support and maintenance contracts. Contract liabilities as of </w:t>
      </w:r>
      <w:r>
        <w:rPr>
          <w:rFonts w:ascii="Arial" w:cs="Arial" w:eastAsia="Arial" w:hAnsi="Arial"/>
          <w:sz w:val="16"/>
          <w:szCs w:val="16"/>
          <w:color w:val="000000"/>
        </w:rPr>
        <w:t>September 30, 2022</w:t>
      </w:r>
      <w:r>
        <w:rPr>
          <w:rFonts w:ascii="Arial" w:cs="Arial" w:eastAsia="Arial" w:hAnsi="Arial"/>
          <w:sz w:val="16"/>
          <w:szCs w:val="16"/>
          <w:color w:val="212529"/>
        </w:rPr>
        <w:t xml:space="preserve"> and </w:t>
      </w:r>
      <w:r>
        <w:rPr>
          <w:rFonts w:ascii="Arial" w:cs="Arial" w:eastAsia="Arial" w:hAnsi="Arial"/>
          <w:sz w:val="16"/>
          <w:szCs w:val="16"/>
          <w:color w:val="000000"/>
        </w:rPr>
        <w:t>July 1, 2022</w:t>
      </w:r>
      <w:r>
        <w:rPr>
          <w:rFonts w:ascii="Arial" w:cs="Arial" w:eastAsia="Arial" w:hAnsi="Arial"/>
          <w:sz w:val="16"/>
          <w:szCs w:val="16"/>
          <w:color w:val="212529"/>
        </w:rPr>
        <w:t xml:space="preserve"> and changes in contract liabilities for the </w:t>
      </w:r>
      <w:r>
        <w:rPr>
          <w:rFonts w:ascii="Arial" w:cs="Arial" w:eastAsia="Arial" w:hAnsi="Arial"/>
          <w:sz w:val="16"/>
          <w:szCs w:val="16"/>
          <w:color w:val="000000"/>
        </w:rPr>
        <w:t>three</w:t>
      </w:r>
      <w:r>
        <w:rPr>
          <w:rFonts w:ascii="Arial" w:cs="Arial" w:eastAsia="Arial" w:hAnsi="Arial"/>
          <w:sz w:val="16"/>
          <w:szCs w:val="16"/>
          <w:color w:val="212529"/>
        </w:rPr>
        <w:t xml:space="preserve"> </w:t>
      </w:r>
      <w:r>
        <w:rPr>
          <w:rFonts w:ascii="Arial" w:cs="Arial" w:eastAsia="Arial" w:hAnsi="Arial"/>
          <w:sz w:val="16"/>
          <w:szCs w:val="16"/>
          <w:color w:val="000000"/>
        </w:rPr>
        <w:t xml:space="preserve">months ended September 30, 2022 </w:t>
      </w:r>
      <w:r>
        <w:rPr>
          <w:rFonts w:ascii="Arial" w:cs="Arial" w:eastAsia="Arial" w:hAnsi="Arial"/>
          <w:sz w:val="16"/>
          <w:szCs w:val="16"/>
          <w:color w:val="212529"/>
        </w:rPr>
        <w:t>and</w:t>
      </w:r>
      <w:r>
        <w:rPr>
          <w:rFonts w:ascii="Arial" w:cs="Arial" w:eastAsia="Arial" w:hAnsi="Arial"/>
          <w:sz w:val="16"/>
          <w:szCs w:val="16"/>
          <w:color w:val="000000"/>
        </w:rPr>
        <w:t xml:space="preserve"> October 1, 2021 </w:t>
      </w:r>
      <w:r>
        <w:rPr>
          <w:rFonts w:ascii="Arial" w:cs="Arial" w:eastAsia="Arial" w:hAnsi="Arial"/>
          <w:sz w:val="16"/>
          <w:szCs w:val="16"/>
          <w:color w:val="212529"/>
        </w:rPr>
        <w:t>were not material.</w:t>
      </w:r>
    </w:p>
    <w:p>
      <w:pPr>
        <w:spacing w:after="0" w:line="189" w:lineRule="exact"/>
        <w:rPr>
          <w:sz w:val="20"/>
          <w:szCs w:val="20"/>
          <w:color w:val="auto"/>
        </w:rPr>
      </w:pPr>
    </w:p>
    <w:p>
      <w:pPr>
        <w:ind w:right="160" w:firstLine="316"/>
        <w:spacing w:after="0" w:line="232" w:lineRule="auto"/>
        <w:rPr>
          <w:sz w:val="20"/>
          <w:szCs w:val="20"/>
          <w:color w:val="auto"/>
        </w:rPr>
      </w:pPr>
      <w:r>
        <w:rPr>
          <w:rFonts w:ascii="Arial" w:cs="Arial" w:eastAsia="Arial" w:hAnsi="Arial"/>
          <w:sz w:val="18"/>
          <w:szCs w:val="18"/>
          <w:color w:val="212529"/>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The Company had no direct incremental costs to obtain contracts that have an expected benefit of greater than one year.</w:t>
      </w:r>
    </w:p>
    <w:p>
      <w:pPr>
        <w:spacing w:after="0" w:line="202" w:lineRule="exact"/>
        <w:rPr>
          <w:sz w:val="20"/>
          <w:szCs w:val="20"/>
          <w:color w:val="auto"/>
        </w:rPr>
      </w:pPr>
    </w:p>
    <w:p>
      <w:pPr>
        <w:ind w:firstLine="316"/>
        <w:spacing w:after="0" w:line="266" w:lineRule="auto"/>
        <w:rPr>
          <w:sz w:val="20"/>
          <w:szCs w:val="20"/>
          <w:color w:val="auto"/>
        </w:rPr>
      </w:pPr>
      <w:r>
        <w:rPr>
          <w:rFonts w:ascii="Arial" w:cs="Arial" w:eastAsia="Arial" w:hAnsi="Arial"/>
          <w:sz w:val="16"/>
          <w:szCs w:val="16"/>
          <w:color w:val="212529"/>
        </w:rPr>
        <w:t xml:space="preserve">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intellectual property (“IP”) license arrangements, which typically range longer than one year. Remaining performance obligations are mainly attributed to right-to-access patent license arrangements, professional service arrangements and customer support and service contracts which will be recognized over the remaining contract period. The transaction price allocated to the remaining performance obligations as of </w:t>
      </w:r>
      <w:r>
        <w:rPr>
          <w:rFonts w:ascii="Arial" w:cs="Arial" w:eastAsia="Arial" w:hAnsi="Arial"/>
          <w:sz w:val="16"/>
          <w:szCs w:val="16"/>
          <w:color w:val="000000"/>
        </w:rPr>
        <w:t>September 30, 2022</w:t>
      </w:r>
      <w:r>
        <w:rPr>
          <w:rFonts w:ascii="Arial" w:cs="Arial" w:eastAsia="Arial" w:hAnsi="Arial"/>
          <w:sz w:val="16"/>
          <w:szCs w:val="16"/>
          <w:color w:val="212529"/>
        </w:rPr>
        <w:t xml:space="preserve"> was </w:t>
      </w:r>
      <w:r>
        <w:rPr>
          <w:rFonts w:ascii="Arial" w:cs="Arial" w:eastAsia="Arial" w:hAnsi="Arial"/>
          <w:sz w:val="16"/>
          <w:szCs w:val="16"/>
          <w:color w:val="000000"/>
        </w:rPr>
        <w:t>$26 million</w:t>
      </w:r>
      <w:r>
        <w:rPr>
          <w:rFonts w:ascii="Arial" w:cs="Arial" w:eastAsia="Arial" w:hAnsi="Arial"/>
          <w:sz w:val="16"/>
          <w:szCs w:val="16"/>
          <w:color w:val="212529"/>
        </w:rPr>
        <w:t>, which is mainly attributable to the functional IP license and professional service arrangements. The Company expects to recognize substantially all of this amount as revenue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Supplemental Financial Statement Data</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Accounts receivable, net</w:t>
      </w:r>
    </w:p>
    <w:p>
      <w:pPr>
        <w:spacing w:after="0" w:line="241" w:lineRule="exact"/>
        <w:rPr>
          <w:sz w:val="20"/>
          <w:szCs w:val="20"/>
          <w:color w:val="auto"/>
        </w:rPr>
      </w:pPr>
    </w:p>
    <w:p>
      <w:pPr>
        <w:ind w:right="140" w:firstLine="316"/>
        <w:spacing w:after="0" w:line="287" w:lineRule="auto"/>
        <w:rPr>
          <w:sz w:val="20"/>
          <w:szCs w:val="20"/>
          <w:color w:val="auto"/>
        </w:rPr>
      </w:pPr>
      <w:r>
        <w:rPr>
          <w:rFonts w:ascii="Arial" w:cs="Arial" w:eastAsia="Arial" w:hAnsi="Arial"/>
          <w:sz w:val="16"/>
          <w:szCs w:val="16"/>
          <w:color w:val="auto"/>
        </w:rPr>
        <w:t>From time to time, in connection with factoring agreements, the Company sells trade accounts receivable without recourse to third party purchasers in exchange for cash. During the three months ended September 30, 2022, the Company sold trade accounts receivable aggregating $291 million. The Company did not sell any trade accounts receivable during the three months ended October 1, 2021. The discounts on the trade accounts receivable sold were not material and were recorded within Other income (expense), net in the Condensed Consolidated Statements of Operations. As of September 30, 2022 and July 1, 2022, the amount of factored receivables that remained outstanding was $291 million and $300 million, respectively.</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Raw materials and component parts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1,603</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Work-in-process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r>
      <w:tr>
        <w:trPr>
          <w:trHeight w:val="233"/>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Property, plant and equipment, net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189"/>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Land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Buildings and improvements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Machinery and equipment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8,642</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Computer equipment and software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Furniture and fixtures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Construction-in-process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Property, plant and equipment, gross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11,970</w:t>
            </w:r>
          </w:p>
        </w:tc>
      </w:tr>
      <w:tr>
        <w:trPr>
          <w:trHeight w:val="211"/>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(8,300)</w:t>
            </w:r>
          </w:p>
        </w:tc>
      </w:tr>
      <w:tr>
        <w:trPr>
          <w:trHeight w:val="208"/>
        </w:trPr>
        <w:tc>
          <w:tcPr>
            <w:tcW w:w="828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-1523365</wp:posOffset>
            </wp:positionV>
            <wp:extent cx="673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Intangible assets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Finite-lived intangible assets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5,493</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20" w:firstLine="316"/>
        <w:spacing w:after="0" w:line="300" w:lineRule="auto"/>
        <w:rPr>
          <w:sz w:val="20"/>
          <w:szCs w:val="20"/>
          <w:color w:val="auto"/>
        </w:rPr>
      </w:pPr>
      <w:r>
        <w:rPr>
          <w:rFonts w:ascii="Arial" w:cs="Arial" w:eastAsia="Arial" w:hAnsi="Arial"/>
          <w:sz w:val="16"/>
          <w:szCs w:val="16"/>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warranty liability</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warranty accrual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1"/>
                <w:szCs w:val="11"/>
                <w:color w:val="auto"/>
              </w:rPr>
            </w:pPr>
          </w:p>
        </w:tc>
        <w:tc>
          <w:tcPr>
            <w:tcW w:w="1080" w:type="dxa"/>
            <w:vAlign w:val="bottom"/>
          </w:tcPr>
          <w:p>
            <w:pPr>
              <w:jc w:val="right"/>
              <w:ind w:right="323"/>
              <w:spacing w:after="0" w:line="129" w:lineRule="exact"/>
              <w:rPr>
                <w:sz w:val="20"/>
                <w:szCs w:val="20"/>
                <w:color w:val="auto"/>
              </w:rPr>
            </w:pPr>
            <w:r>
              <w:rPr>
                <w:rFonts w:ascii="Arial" w:cs="Arial" w:eastAsia="Arial" w:hAnsi="Arial"/>
                <w:sz w:val="14"/>
                <w:szCs w:val="14"/>
                <w:b w:val="1"/>
                <w:bCs w:val="1"/>
                <w:color w:val="auto"/>
                <w:w w:val="95"/>
              </w:rPr>
              <w:t>October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accrual, beginning of period</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Charges to operations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Utilization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Changes in estimate related to pre-existing warranties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end of period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5495" cy="133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portion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5495" cy="133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portion (included in Other liabilities)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91"/>
        </w:trPr>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79"/>
        </w:trPr>
        <w:tc>
          <w:tcPr>
            <w:tcW w:w="180" w:type="dxa"/>
            <w:vAlign w:val="bottom"/>
          </w:tcPr>
          <w:p>
            <w:pPr>
              <w:spacing w:after="0"/>
              <w:rPr>
                <w:sz w:val="15"/>
                <w:szCs w:val="15"/>
                <w:color w:val="auto"/>
              </w:rPr>
            </w:pPr>
          </w:p>
        </w:tc>
        <w:tc>
          <w:tcPr>
            <w:tcW w:w="1760" w:type="dxa"/>
            <w:vAlign w:val="bottom"/>
            <w:gridSpan w:val="3"/>
          </w:tcPr>
          <w:p>
            <w:pPr>
              <w:ind w:left="96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434"/>
        </w:trPr>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9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4"/>
                <w:szCs w:val="24"/>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4"/>
        </w:trPr>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r>
      <w:tr>
        <w:trPr>
          <w:trHeight w:val="204"/>
        </w:trPr>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r>
      <w:tr>
        <w:trPr>
          <w:trHeight w:val="23"/>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-711200</wp:posOffset>
            </wp:positionV>
            <wp:extent cx="673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127" w:right="339" w:bottom="1440" w:gutter="0" w:footer="0" w:header="0"/>
          <w:type w:val="continuous"/>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liabilities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Non-current net tax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portion of unrecognized tax benefits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r>
      <w:tr>
        <w:trPr>
          <w:trHeight w:val="233"/>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41" w:lineRule="exact"/>
        <w:rPr>
          <w:sz w:val="20"/>
          <w:szCs w:val="20"/>
          <w:color w:val="auto"/>
        </w:rPr>
      </w:pPr>
    </w:p>
    <w:p>
      <w:pPr>
        <w:ind w:right="240" w:firstLine="316"/>
        <w:spacing w:after="0" w:line="294" w:lineRule="auto"/>
        <w:rPr>
          <w:sz w:val="20"/>
          <w:szCs w:val="20"/>
          <w:color w:val="auto"/>
        </w:rPr>
      </w:pPr>
      <w:r>
        <w:rPr>
          <w:rFonts w:ascii="Arial" w:cs="Arial" w:eastAsia="Arial" w:hAnsi="Arial"/>
          <w:sz w:val="16"/>
          <w:szCs w:val="16"/>
          <w:color w:val="auto"/>
        </w:rPr>
        <w:t>Accumulated other comprehensive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Actuarial Pension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2"/>
              </w:rPr>
              <w:t>Foreign Currency</w:t>
            </w: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8"/>
              </w:rPr>
              <w:t>Unrealized Losses on</w:t>
            </w:r>
          </w:p>
        </w:tc>
        <w:tc>
          <w:tcPr>
            <w:tcW w:w="100" w:type="dxa"/>
            <w:vAlign w:val="bottom"/>
          </w:tcPr>
          <w:p>
            <w:pPr>
              <w:spacing w:after="0"/>
              <w:rPr>
                <w:sz w:val="12"/>
                <w:szCs w:val="12"/>
                <w:color w:val="auto"/>
              </w:rPr>
            </w:pPr>
          </w:p>
        </w:tc>
        <w:tc>
          <w:tcPr>
            <w:tcW w:w="13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1"/>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Translation</w:t>
            </w: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Derivative Contracts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86"/>
              </w:rPr>
              <w:t>Comprehensive Loss</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3"/>
          </w:tcPr>
          <w:p>
            <w:pPr>
              <w:ind w:left="100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July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center"/>
              <w:ind w:left="903"/>
              <w:spacing w:after="0"/>
              <w:rPr>
                <w:sz w:val="20"/>
                <w:szCs w:val="20"/>
                <w:color w:val="auto"/>
              </w:rPr>
            </w:pPr>
            <w:r>
              <w:rPr>
                <w:rFonts w:ascii="Arial" w:cs="Arial" w:eastAsia="Arial" w:hAnsi="Arial"/>
                <w:sz w:val="16"/>
                <w:szCs w:val="16"/>
                <w:color w:val="auto"/>
                <w:w w:val="91"/>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8"/>
        </w:trPr>
        <w:tc>
          <w:tcPr>
            <w:tcW w:w="5220" w:type="dxa"/>
            <w:vAlign w:val="bottom"/>
          </w:tcPr>
          <w:p>
            <w:pPr>
              <w:ind w:left="14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18"/>
                <w:szCs w:val="18"/>
                <w:color w:val="auto"/>
              </w:rPr>
            </w:pPr>
          </w:p>
        </w:tc>
        <w:tc>
          <w:tcPr>
            <w:tcW w:w="1380" w:type="dxa"/>
            <w:vAlign w:val="bottom"/>
            <w:gridSpan w:val="2"/>
          </w:tcPr>
          <w:p>
            <w:pPr>
              <w:jc w:val="center"/>
              <w:ind w:left="823"/>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823"/>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 related to items of other comprehensive loss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923"/>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current-period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823"/>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1"/>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center"/>
              <w:ind w:left="903"/>
              <w:spacing w:after="0"/>
              <w:rPr>
                <w:sz w:val="20"/>
                <w:szCs w:val="20"/>
                <w:color w:val="auto"/>
              </w:rPr>
            </w:pPr>
            <w:r>
              <w:rPr>
                <w:rFonts w:ascii="Arial" w:cs="Arial" w:eastAsia="Arial" w:hAnsi="Arial"/>
                <w:sz w:val="16"/>
                <w:szCs w:val="16"/>
                <w:color w:val="auto"/>
                <w:w w:val="91"/>
              </w:rPr>
              <w:t>(11)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-987425</wp:posOffset>
            </wp:positionV>
            <wp:extent cx="67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-987425</wp:posOffset>
            </wp:positionV>
            <wp:extent cx="67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-987425</wp:posOffset>
            </wp:positionV>
            <wp:extent cx="67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60" w:firstLine="316"/>
        <w:spacing w:after="0" w:line="249" w:lineRule="auto"/>
        <w:rPr>
          <w:sz w:val="20"/>
          <w:szCs w:val="20"/>
          <w:color w:val="auto"/>
        </w:rPr>
      </w:pPr>
      <w:r>
        <w:rPr>
          <w:rFonts w:ascii="Arial" w:cs="Arial" w:eastAsia="Arial" w:hAnsi="Arial"/>
          <w:sz w:val="18"/>
          <w:szCs w:val="18"/>
          <w:color w:val="auto"/>
        </w:rPr>
        <w:t>During the three months ended September 30, 2022, the amounts reclassified out of AOCI were losses related to foreign exchange contracts and interest rate swap contracts. Losses reclassified out of AOCI related to foreign exchange contracts were $62 million for the three months ended September 30, 2022 that were substantially charged to Cost of revenue in the Condensed Consolidated Statements of Operations. Losses reclassified out of AOCI related to interest rate swap contracts were $2 million for the three months ended September 30, 2022 that were charged to Interest expense in the Condensed Consolidated Statements of Operations.</w:t>
      </w:r>
    </w:p>
    <w:p>
      <w:pPr>
        <w:spacing w:after="0" w:line="219" w:lineRule="exact"/>
        <w:rPr>
          <w:sz w:val="20"/>
          <w:szCs w:val="20"/>
          <w:color w:val="auto"/>
        </w:rPr>
      </w:pPr>
    </w:p>
    <w:p>
      <w:pPr>
        <w:ind w:right="120" w:firstLine="316"/>
        <w:spacing w:after="0" w:line="253" w:lineRule="auto"/>
        <w:rPr>
          <w:sz w:val="20"/>
          <w:szCs w:val="20"/>
          <w:color w:val="auto"/>
        </w:rPr>
      </w:pPr>
      <w:r>
        <w:rPr>
          <w:rFonts w:ascii="Arial" w:cs="Arial" w:eastAsia="Arial" w:hAnsi="Arial"/>
          <w:sz w:val="18"/>
          <w:szCs w:val="18"/>
          <w:color w:val="auto"/>
        </w:rPr>
        <w:t>As of September 30, 2022, substantially all of existing net losses related to cash flow hedges recorded in AOCI are expected to be reclassified to earnings within the next twelve months. In addition, as of September 30, 2022,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Fair Value Measurements and Investments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41" w:lineRule="exact"/>
        <w:rPr>
          <w:sz w:val="20"/>
          <w:szCs w:val="20"/>
          <w:color w:val="auto"/>
        </w:rPr>
      </w:pPr>
    </w:p>
    <w:p>
      <w:pPr>
        <w:ind w:right="240" w:firstLine="316"/>
        <w:spacing w:after="0" w:line="262"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208"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41" w:lineRule="exact"/>
        <w:rPr>
          <w:sz w:val="20"/>
          <w:szCs w:val="20"/>
          <w:color w:val="auto"/>
        </w:rPr>
      </w:pPr>
    </w:p>
    <w:p>
      <w:pPr>
        <w:jc w:val="both"/>
        <w:ind w:left="960" w:right="140" w:hanging="632"/>
        <w:spacing w:after="0" w:line="253" w:lineRule="auto"/>
        <w:tabs>
          <w:tab w:leader="none" w:pos="9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Inputs that are unobservable for the asset or liability and that are significant to the fair value of the assets or liabilities.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July 1, 2022, and indicate the fair value hierarchy of the valuation techniques utilized to determine such values: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September 30, 2022</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664"/>
              <w:spacing w:after="0"/>
              <w:rPr>
                <w:sz w:val="20"/>
                <w:szCs w:val="20"/>
                <w:color w:val="auto"/>
              </w:rPr>
            </w:pPr>
            <w:r>
              <w:rPr>
                <w:rFonts w:ascii="Arial" w:cs="Arial" w:eastAsia="Arial" w:hAnsi="Arial"/>
                <w:sz w:val="14"/>
                <w:szCs w:val="14"/>
                <w:i w:val="1"/>
                <w:iCs w:val="1"/>
                <w:color w:val="auto"/>
                <w:w w:val="98"/>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120"/>
              <w:spacing w:after="0"/>
              <w:rPr>
                <w:sz w:val="20"/>
                <w:szCs w:val="20"/>
                <w:color w:val="auto"/>
              </w:rPr>
            </w:pPr>
            <w:r>
              <w:rPr>
                <w:rFonts w:ascii="Arial" w:cs="Arial" w:eastAsia="Arial" w:hAnsi="Arial"/>
                <w:sz w:val="16"/>
                <w:szCs w:val="16"/>
                <w:color w:val="auto"/>
              </w:rPr>
              <w:t>Cash equivalents - Money market funds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Interest rate swap contracts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 at fair value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01"/>
        </w:trPr>
        <w:tc>
          <w:tcPr>
            <w:tcW w:w="5220" w:type="dxa"/>
            <w:vAlign w:val="bottom"/>
          </w:tcPr>
          <w:p>
            <w:pPr>
              <w:ind w:left="220"/>
              <w:spacing w:after="0"/>
              <w:rPr>
                <w:sz w:val="20"/>
                <w:szCs w:val="20"/>
                <w:color w:val="auto"/>
              </w:rPr>
            </w:pPr>
            <w:r>
              <w:rPr>
                <w:rFonts w:ascii="Arial" w:cs="Arial" w:eastAsia="Arial" w:hAnsi="Arial"/>
                <w:sz w:val="16"/>
                <w:szCs w:val="16"/>
                <w:color w:val="auto"/>
              </w:rPr>
              <w:t>Total liabilities at fair value</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center"/>
              <w:ind w:left="664"/>
              <w:spacing w:after="0"/>
              <w:rPr>
                <w:sz w:val="20"/>
                <w:szCs w:val="20"/>
                <w:color w:val="auto"/>
              </w:rPr>
            </w:pPr>
            <w:r>
              <w:rPr>
                <w:rFonts w:ascii="Arial" w:cs="Arial" w:eastAsia="Arial" w:hAnsi="Arial"/>
                <w:sz w:val="14"/>
                <w:szCs w:val="14"/>
                <w:b w:val="1"/>
                <w:bCs w:val="1"/>
                <w:color w:val="auto"/>
                <w:w w:val="88"/>
              </w:rPr>
              <w:t>July 1, 2022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664"/>
              <w:spacing w:after="0"/>
              <w:rPr>
                <w:sz w:val="20"/>
                <w:szCs w:val="20"/>
                <w:color w:val="auto"/>
              </w:rPr>
            </w:pPr>
            <w:r>
              <w:rPr>
                <w:rFonts w:ascii="Arial" w:cs="Arial" w:eastAsia="Arial" w:hAnsi="Arial"/>
                <w:sz w:val="14"/>
                <w:szCs w:val="14"/>
                <w:i w:val="1"/>
                <w:iCs w:val="1"/>
                <w:color w:val="auto"/>
                <w:w w:val="98"/>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120"/>
              <w:spacing w:after="0"/>
              <w:rPr>
                <w:sz w:val="20"/>
                <w:szCs w:val="20"/>
                <w:color w:val="auto"/>
              </w:rPr>
            </w:pPr>
            <w:r>
              <w:rPr>
                <w:rFonts w:ascii="Arial" w:cs="Arial" w:eastAsia="Arial" w:hAnsi="Arial"/>
                <w:sz w:val="16"/>
                <w:szCs w:val="16"/>
                <w:color w:val="auto"/>
              </w:rPr>
              <w:t>Cash equivalents - Money market funds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Interest rate swap contracts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 at fair value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1"/>
        </w:trPr>
        <w:tc>
          <w:tcPr>
            <w:tcW w:w="5220" w:type="dxa"/>
            <w:vAlign w:val="bottom"/>
          </w:tcPr>
          <w:p>
            <w:pPr>
              <w:ind w:left="220"/>
              <w:spacing w:after="0"/>
              <w:rPr>
                <w:sz w:val="20"/>
                <w:szCs w:val="20"/>
                <w:color w:val="auto"/>
              </w:rPr>
            </w:pPr>
            <w:r>
              <w:rPr>
                <w:rFonts w:ascii="Arial" w:cs="Arial" w:eastAsia="Arial" w:hAnsi="Arial"/>
                <w:sz w:val="16"/>
                <w:szCs w:val="16"/>
                <w:color w:val="auto"/>
              </w:rPr>
              <w:t>Total liabilities at fair value</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-2880360</wp:posOffset>
            </wp:positionV>
            <wp:extent cx="67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-2880360</wp:posOffset>
            </wp:positionV>
            <wp:extent cx="67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-2880360</wp:posOffset>
            </wp:positionV>
            <wp:extent cx="6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-1272540</wp:posOffset>
            </wp:positionV>
            <wp:extent cx="673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-1272540</wp:posOffset>
            </wp:positionV>
            <wp:extent cx="673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-1272540</wp:posOffset>
            </wp:positionV>
            <wp:extent cx="67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520" w:firstLine="316"/>
        <w:spacing w:after="0" w:line="262" w:lineRule="auto"/>
        <w:rPr>
          <w:sz w:val="20"/>
          <w:szCs w:val="20"/>
          <w:color w:val="auto"/>
        </w:rPr>
      </w:pPr>
      <w:r>
        <w:rPr>
          <w:rFonts w:ascii="Arial" w:cs="Arial" w:eastAsia="Arial" w:hAnsi="Arial"/>
          <w:sz w:val="18"/>
          <w:szCs w:val="18"/>
          <w:color w:val="auto"/>
        </w:rPr>
        <w:t>During the periods presented,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41" w:lineRule="exact"/>
        <w:rPr>
          <w:sz w:val="20"/>
          <w:szCs w:val="20"/>
          <w:color w:val="auto"/>
        </w:rPr>
      </w:pPr>
    </w:p>
    <w:p>
      <w:pPr>
        <w:ind w:right="60" w:firstLine="316"/>
        <w:spacing w:after="0" w:line="284"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first quarter of 2023 and the fourth quarter of 2022,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2022</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July 1, 2022</w:t>
            </w:r>
          </w:p>
        </w:tc>
        <w:tc>
          <w:tcPr>
            <w:tcW w:w="100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29"/>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64"/>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3"/>
              </w:rPr>
              <w:t>Carrying</w:t>
            </w:r>
          </w:p>
        </w:tc>
        <w:tc>
          <w:tcPr>
            <w:tcW w:w="4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03"/>
              <w:spacing w:after="0" w:line="129" w:lineRule="exact"/>
              <w:rPr>
                <w:sz w:val="20"/>
                <w:szCs w:val="20"/>
                <w:color w:val="auto"/>
              </w:rPr>
            </w:pPr>
            <w:r>
              <w:rPr>
                <w:rFonts w:ascii="Arial" w:cs="Arial" w:eastAsia="Arial" w:hAnsi="Arial"/>
                <w:sz w:val="14"/>
                <w:szCs w:val="14"/>
                <w:b w:val="1"/>
                <w:bCs w:val="1"/>
                <w:color w:val="auto"/>
              </w:rPr>
              <w:t>Fair</w:t>
            </w:r>
          </w:p>
        </w:tc>
      </w:tr>
      <w:tr>
        <w:trPr>
          <w:trHeight w:val="189"/>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Value</w:t>
            </w:r>
          </w:p>
        </w:tc>
      </w:tr>
      <w:tr>
        <w:trPr>
          <w:trHeight w:val="187"/>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 convertible notes due 2024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4.75% senior unsecured notes due 2026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2,205</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A-2 maturing 2027</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2.85% senior unsecured notes due 2029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 senior unsecured notes due 2032</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08"/>
        </w:trPr>
        <w:tc>
          <w:tcPr>
            <w:tcW w:w="522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6,667</w:t>
            </w: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-979170</wp:posOffset>
            </wp:positionV>
            <wp:extent cx="67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-979170</wp:posOffset>
            </wp:positionV>
            <wp:extent cx="673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47" w:lineRule="exact"/>
        <w:rPr>
          <w:sz w:val="20"/>
          <w:szCs w:val="20"/>
          <w:color w:val="auto"/>
        </w:rPr>
      </w:pPr>
    </w:p>
    <w:p>
      <w:pPr>
        <w:ind w:right="80" w:firstLine="316"/>
        <w:spacing w:after="0" w:line="250" w:lineRule="auto"/>
        <w:rPr>
          <w:sz w:val="20"/>
          <w:szCs w:val="20"/>
          <w:color w:val="auto"/>
        </w:rPr>
      </w:pPr>
      <w:r>
        <w:rPr>
          <w:rFonts w:ascii="Arial" w:cs="Arial" w:eastAsia="Arial" w:hAnsi="Arial"/>
          <w:sz w:val="18"/>
          <w:szCs w:val="18"/>
          <w:color w:val="auto"/>
        </w:rPr>
        <w:t>As of September 30, 2022,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through February 2023, on a portion of its term loans.</w:t>
      </w:r>
    </w:p>
    <w:p>
      <w:pPr>
        <w:spacing w:after="0" w:line="219"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(expense), net and are largely offset by corresponding changes in the fair values of the foreign currency denominated monetary assets and liabilities. For each of the three months ended September 30, 2022 and October 1, 2021, total net realized and unrealized transaction and foreign exchange contract currency gains and losses were not material to the Company’s Condensed Consolidated Financial Statements.</w:t>
      </w:r>
    </w:p>
    <w:p>
      <w:pPr>
        <w:spacing w:after="0" w:line="219" w:lineRule="exact"/>
        <w:rPr>
          <w:sz w:val="20"/>
          <w:szCs w:val="20"/>
          <w:color w:val="auto"/>
        </w:rPr>
      </w:pPr>
    </w:p>
    <w:p>
      <w:pPr>
        <w:ind w:right="160" w:firstLine="316"/>
        <w:spacing w:after="0" w:line="253" w:lineRule="auto"/>
        <w:rPr>
          <w:sz w:val="20"/>
          <w:szCs w:val="20"/>
          <w:color w:val="auto"/>
        </w:rPr>
      </w:pPr>
      <w:r>
        <w:rPr>
          <w:rFonts w:ascii="Arial" w:cs="Arial" w:eastAsia="Arial" w:hAnsi="Arial"/>
          <w:sz w:val="18"/>
          <w:szCs w:val="18"/>
          <w:color w:val="auto"/>
        </w:rPr>
        <w:t xml:space="preserve">Unrealized gains or losses on designated cash flow hedges are recognized in AOCI. For more information regarding cash flow hedges, see Part I, Item 1, Note 5, </w:t>
      </w:r>
      <w:r>
        <w:rPr>
          <w:rFonts w:ascii="Arial" w:cs="Arial" w:eastAsia="Arial" w:hAnsi="Arial"/>
          <w:sz w:val="18"/>
          <w:szCs w:val="18"/>
          <w:i w:val="1"/>
          <w:iCs w:val="1"/>
          <w:color w:val="auto"/>
        </w:rPr>
        <w:t>Supplemental Financial Statement Data - Accumulated other comprehensive loss</w:t>
      </w:r>
      <w:r>
        <w:rPr>
          <w:rFonts w:ascii="Arial" w:cs="Arial" w:eastAsia="Arial" w:hAnsi="Arial"/>
          <w:sz w:val="18"/>
          <w:szCs w:val="18"/>
          <w:color w:val="auto"/>
        </w:rPr>
        <w:t>, of the Notes to the Condensed Consolidated Financial Statements included in this Quarterly Report on Form 10-Q.</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Netting Arrangements</w:t>
      </w:r>
    </w:p>
    <w:p>
      <w:pPr>
        <w:spacing w:after="0" w:line="241" w:lineRule="exact"/>
        <w:rPr>
          <w:sz w:val="20"/>
          <w:szCs w:val="20"/>
          <w:color w:val="auto"/>
        </w:rPr>
      </w:pPr>
    </w:p>
    <w:p>
      <w:pPr>
        <w:ind w:right="20" w:firstLine="316"/>
        <w:spacing w:after="0" w:line="29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September 30, 2022 and July 1, 2022,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Debt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3"/>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ind w:left="96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 convertible notes due 2024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4.75% senior unsecured notes due 2026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A-2 maturing 2027</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2.85% senior unsecured notes due 2029</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3.10% senior unsecured notes due 2032</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7,100</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and debt discounts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8"/>
              </w:rPr>
              <w:t>(29)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8"/>
        </w:trPr>
        <w:tc>
          <w:tcPr>
            <w:tcW w:w="828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7,022</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-1255395</wp:posOffset>
            </wp:positionV>
            <wp:extent cx="67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During the three months ended September 30, 2022, the Company drew and repaid $300 million principal amount under its $2.25 billion revolving credit facility maturing in January 2027 (the “2027 Revolving Credit Facility”). The terms of the credit agreement governing the 2027 Revolving Credit Facility and Term Loan A-2 requires the Company to comply with a leverage ratio financial covenant. As of September 30, 2022, the Company was in compliance with this financial covenant.</w:t>
      </w:r>
    </w:p>
    <w:p>
      <w:pPr>
        <w:spacing w:after="0" w:line="219" w:lineRule="exact"/>
        <w:rPr>
          <w:sz w:val="20"/>
          <w:szCs w:val="20"/>
          <w:color w:val="auto"/>
        </w:rPr>
      </w:pPr>
    </w:p>
    <w:p>
      <w:pPr>
        <w:jc w:val="both"/>
        <w:ind w:right="280" w:firstLine="316"/>
        <w:spacing w:after="0" w:line="253" w:lineRule="auto"/>
        <w:rPr>
          <w:sz w:val="20"/>
          <w:szCs w:val="20"/>
          <w:color w:val="auto"/>
        </w:rPr>
      </w:pPr>
      <w:r>
        <w:rPr>
          <w:rFonts w:ascii="Arial" w:cs="Arial" w:eastAsia="Arial" w:hAnsi="Arial"/>
          <w:sz w:val="18"/>
          <w:szCs w:val="18"/>
          <w:color w:val="auto"/>
        </w:rPr>
        <w:t xml:space="preserve">As described in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the Company adopted ASU 2020-06 effective July 2, 2022, using a modified retrospective method, which resulted in the elimination of the originally recorded debt discount associated with the conversion feature on its 1.50% convertible notes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47" w:lineRule="exact"/>
        <w:rPr>
          <w:sz w:val="20"/>
          <w:szCs w:val="20"/>
          <w:color w:val="auto"/>
        </w:rPr>
      </w:pPr>
    </w:p>
    <w:p>
      <w:pPr>
        <w:jc w:val="both"/>
        <w:ind w:right="20" w:firstLine="316"/>
        <w:spacing w:after="0" w:line="250"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Obligations and Funded Status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end of period</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plan assets at end of period</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Unfunded status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the unfunded amounts related to the Pension Plans as recognized on the Company’s Condensed Consolidated Balance Sheets: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9"/>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amount recognized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periodic benefit costs were not material for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Related Parties and Related Commitments and Contingencies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60" w:firstLine="316"/>
        <w:spacing w:after="0" w:line="262" w:lineRule="auto"/>
        <w:rPr>
          <w:sz w:val="20"/>
          <w:szCs w:val="20"/>
          <w:color w:val="auto"/>
        </w:rPr>
      </w:pPr>
      <w:r>
        <w:rPr>
          <w:rFonts w:ascii="Arial" w:cs="Arial" w:eastAsia="Arial" w:hAnsi="Arial"/>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20" w:type="dxa"/>
            <w:vAlign w:val="bottom"/>
          </w:tcPr>
          <w:p>
            <w:pPr>
              <w:jc w:val="right"/>
              <w:ind w:right="443"/>
              <w:spacing w:after="0"/>
              <w:rPr>
                <w:sz w:val="20"/>
                <w:szCs w:val="20"/>
                <w:color w:val="auto"/>
              </w:rPr>
            </w:pPr>
            <w:r>
              <w:rPr>
                <w:rFonts w:ascii="Arial" w:cs="Arial" w:eastAsia="Arial" w:hAnsi="Arial"/>
                <w:sz w:val="14"/>
                <w:szCs w:val="14"/>
                <w:b w:val="1"/>
                <w:bCs w:val="1"/>
                <w:color w:val="auto"/>
              </w:rPr>
              <w:t>July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Partners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Notes receivable, Flash Alliance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Forward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Investment in Flash Partners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Flash Alliance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Flash Forward</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notes receivable and investments in Flash Ventures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-1113155</wp:posOffset>
            </wp:positionV>
            <wp:extent cx="673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380" w:firstLine="316"/>
        <w:spacing w:after="0" w:line="262" w:lineRule="auto"/>
        <w:rPr>
          <w:sz w:val="20"/>
          <w:szCs w:val="20"/>
          <w:color w:val="auto"/>
        </w:rPr>
      </w:pPr>
      <w:r>
        <w:rPr>
          <w:rFonts w:ascii="Arial" w:cs="Arial" w:eastAsia="Arial" w:hAnsi="Arial"/>
          <w:sz w:val="18"/>
          <w:szCs w:val="18"/>
          <w:color w:val="auto"/>
        </w:rPr>
        <w:t>During the three months ended September 30, 2022 and October 1, 2021, the Company made net payments to Flash Ventures of $1.0 billion, and $1.2 billion, respectively, for purchased flash-based memory wafers and net loans.</w:t>
      </w:r>
    </w:p>
    <w:p>
      <w:pPr>
        <w:spacing w:after="0" w:line="208" w:lineRule="exact"/>
        <w:rPr>
          <w:sz w:val="20"/>
          <w:szCs w:val="20"/>
          <w:color w:val="auto"/>
        </w:rPr>
      </w:pPr>
    </w:p>
    <w:p>
      <w:pPr>
        <w:ind w:right="260" w:firstLine="316"/>
        <w:spacing w:after="0" w:line="316" w:lineRule="auto"/>
        <w:rPr>
          <w:sz w:val="20"/>
          <w:szCs w:val="20"/>
          <w:color w:val="auto"/>
        </w:rPr>
      </w:pPr>
      <w:r>
        <w:rPr>
          <w:rFonts w:ascii="Arial" w:cs="Arial" w:eastAsia="Arial" w:hAnsi="Arial"/>
          <w:sz w:val="15"/>
          <w:szCs w:val="15"/>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73" w:lineRule="exact"/>
        <w:rPr>
          <w:sz w:val="20"/>
          <w:szCs w:val="20"/>
          <w:color w:val="auto"/>
        </w:rPr>
      </w:pPr>
    </w:p>
    <w:p>
      <w:pPr>
        <w:ind w:right="720" w:firstLine="316"/>
        <w:spacing w:after="0" w:line="262" w:lineRule="auto"/>
        <w:rPr>
          <w:sz w:val="20"/>
          <w:szCs w:val="20"/>
          <w:color w:val="auto"/>
        </w:rPr>
      </w:pPr>
      <w:r>
        <w:rPr>
          <w:rFonts w:ascii="Arial" w:cs="Arial" w:eastAsia="Arial" w:hAnsi="Arial"/>
          <w:sz w:val="18"/>
          <w:szCs w:val="18"/>
          <w:color w:val="auto"/>
        </w:rPr>
        <w:t>As of September 30, 2022 and July 1, 2022, the Company had account payable balances due to Flash Ventures of $295 million and $320 million, respectively.</w:t>
      </w:r>
    </w:p>
    <w:p>
      <w:pPr>
        <w:spacing w:after="0" w:line="208" w:lineRule="exact"/>
        <w:rPr>
          <w:sz w:val="20"/>
          <w:szCs w:val="20"/>
          <w:color w:val="auto"/>
        </w:rPr>
      </w:pPr>
    </w:p>
    <w:p>
      <w:pPr>
        <w:jc w:val="both"/>
        <w:ind w:right="140" w:firstLine="316"/>
        <w:spacing w:after="0" w:line="288"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September 30, 2022,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1"/>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04"/>
              <w:spacing w:after="0" w:line="141" w:lineRule="exact"/>
              <w:rPr>
                <w:sz w:val="20"/>
                <w:szCs w:val="20"/>
                <w:color w:val="auto"/>
              </w:rPr>
            </w:pPr>
            <w:r>
              <w:rPr>
                <w:rFonts w:ascii="Arial" w:cs="Arial" w:eastAsia="Arial" w:hAnsi="Arial"/>
                <w:sz w:val="14"/>
                <w:szCs w:val="14"/>
                <w:b w:val="1"/>
                <w:bCs w:val="1"/>
                <w:color w:val="auto"/>
                <w:w w:val="89"/>
              </w:rPr>
              <w:t>September 30,</w:t>
            </w:r>
          </w:p>
        </w:tc>
      </w:tr>
      <w:tr>
        <w:trPr>
          <w:trHeight w:val="191"/>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2022</w:t>
            </w:r>
          </w:p>
        </w:tc>
      </w:tr>
      <w:tr>
        <w:trPr>
          <w:trHeight w:val="189"/>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guarantees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r>
      <w:tr>
        <w:trPr>
          <w:trHeight w:val="20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Inventory and prepayments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r>
      <w:tr>
        <w:trPr>
          <w:trHeight w:val="233"/>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Maximum estimable loss exposure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93" w:lineRule="exact"/>
        <w:rPr>
          <w:sz w:val="20"/>
          <w:szCs w:val="20"/>
          <w:color w:val="auto"/>
        </w:rPr>
      </w:pPr>
    </w:p>
    <w:p>
      <w:pPr>
        <w:ind w:right="60" w:firstLine="316"/>
        <w:spacing w:after="0" w:line="249" w:lineRule="auto"/>
        <w:rPr>
          <w:sz w:val="20"/>
          <w:szCs w:val="20"/>
          <w:color w:val="auto"/>
        </w:rPr>
      </w:pPr>
      <w:r>
        <w:rPr>
          <w:rFonts w:ascii="Arial" w:cs="Arial" w:eastAsia="Arial" w:hAnsi="Arial"/>
          <w:sz w:val="18"/>
          <w:szCs w:val="18"/>
          <w:color w:val="auto"/>
        </w:rPr>
        <w:t>In January 2022, the Company entered into additional agreements regarding Flash Ventures’ investment in a new wafer fabrication facility currently under construction in Yokkaichi, Japan, referred to as “Y7”. The primary purpose of Y7 is to provide clean room space to continue the transition of existing flash-based wafer capacity to newer flash technology nodes. The Company is committed to pay, among other items, future building depreciation prepayments aggregating approximately $203 million as follows: $182 million for the remaining nine months of 2023 and $21 million in 2024, to be credited against future wafer charges.</w:t>
      </w:r>
    </w:p>
    <w:p>
      <w:pPr>
        <w:spacing w:after="0" w:line="219" w:lineRule="exact"/>
        <w:rPr>
          <w:sz w:val="20"/>
          <w:szCs w:val="20"/>
          <w:color w:val="auto"/>
        </w:rPr>
      </w:pPr>
    </w:p>
    <w:p>
      <w:pPr>
        <w:ind w:right="400" w:firstLine="316"/>
        <w:spacing w:after="0" w:line="262"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208" w:lineRule="exact"/>
        <w:rPr>
          <w:sz w:val="20"/>
          <w:szCs w:val="20"/>
          <w:color w:val="auto"/>
        </w:rPr>
      </w:pPr>
    </w:p>
    <w:p>
      <w:pPr>
        <w:ind w:right="920" w:firstLine="316"/>
        <w:spacing w:after="0" w:line="325"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Off-Balance Sheet Liabilities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9" w:lineRule="exact"/>
        <w:rPr>
          <w:sz w:val="20"/>
          <w:szCs w:val="20"/>
          <w:color w:val="auto"/>
        </w:rPr>
      </w:pPr>
    </w:p>
    <w:p>
      <w:pPr>
        <w:ind w:right="100" w:firstLine="316"/>
        <w:spacing w:after="0" w:line="261"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September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280" w:type="dxa"/>
            <w:vAlign w:val="bottom"/>
          </w:tcPr>
          <w:p>
            <w:pPr>
              <w:spacing w:after="0"/>
              <w:rPr>
                <w:sz w:val="11"/>
                <w:szCs w:val="11"/>
                <w:color w:val="auto"/>
              </w:rPr>
            </w:pPr>
          </w:p>
        </w:tc>
        <w:tc>
          <w:tcPr>
            <w:tcW w:w="1440" w:type="dxa"/>
            <w:vAlign w:val="bottom"/>
            <w:gridSpan w:val="2"/>
          </w:tcPr>
          <w:p>
            <w:pPr>
              <w:jc w:val="center"/>
              <w:spacing w:after="0" w:line="133" w:lineRule="exact"/>
              <w:rPr>
                <w:sz w:val="20"/>
                <w:szCs w:val="20"/>
                <w:color w:val="auto"/>
              </w:rPr>
            </w:pPr>
            <w:r>
              <w:rPr>
                <w:rFonts w:ascii="Arial" w:cs="Arial" w:eastAsia="Arial" w:hAnsi="Arial"/>
                <w:sz w:val="14"/>
                <w:szCs w:val="14"/>
                <w:i w:val="1"/>
                <w:iCs w:val="1"/>
                <w:color w:val="auto"/>
                <w:w w:val="88"/>
              </w:rPr>
              <w:t>(Japanese yen, in</w:t>
            </w: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i w:val="1"/>
                <w:iCs w:val="1"/>
                <w:color w:val="auto"/>
                <w:w w:val="95"/>
              </w:rPr>
              <w:t>(U.S. dollar, in millions)</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980" w:type="dxa"/>
            <w:vAlign w:val="bottom"/>
          </w:tcPr>
          <w:p>
            <w:pPr>
              <w:jc w:val="center"/>
              <w:ind w:left="367"/>
              <w:spacing w:after="0"/>
              <w:rPr>
                <w:sz w:val="20"/>
                <w:szCs w:val="20"/>
                <w:color w:val="auto"/>
              </w:rPr>
            </w:pPr>
            <w:r>
              <w:rPr>
                <w:rFonts w:ascii="Arial" w:cs="Arial" w:eastAsia="Arial" w:hAnsi="Arial"/>
                <w:sz w:val="14"/>
                <w:szCs w:val="14"/>
                <w:i w:val="1"/>
                <w:iCs w:val="1"/>
                <w:color w:val="auto"/>
                <w:w w:val="96"/>
              </w:rPr>
              <w:t>billions)</w:t>
            </w:r>
          </w:p>
        </w:tc>
        <w:tc>
          <w:tcPr>
            <w:tcW w:w="4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guarantee obligations</w:t>
            </w:r>
          </w:p>
        </w:tc>
        <w:tc>
          <w:tcPr>
            <w:tcW w:w="98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243</w:t>
            </w: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September 30, 2022 in U.S. dollars, based upon the Japanese yen to U.S. dollar exchange rate as of September 30, 2022:</w:t>
      </w: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Payment of Principal</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Purchase Option</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 Installments</w:t>
            </w:r>
          </w:p>
        </w:tc>
        <w:tc>
          <w:tcPr>
            <w:tcW w:w="1540" w:type="dxa"/>
            <w:vAlign w:val="bottom"/>
            <w:gridSpan w:val="3"/>
            <w:vMerge w:val="continue"/>
          </w:tcPr>
          <w:p>
            <w:pPr>
              <w:spacing w:after="0"/>
              <w:rPr>
                <w:sz w:val="12"/>
                <w:szCs w:val="12"/>
                <w:color w:val="auto"/>
              </w:rPr>
            </w:pPr>
          </w:p>
        </w:tc>
        <w:tc>
          <w:tcPr>
            <w:tcW w:w="152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2"/>
              </w:rPr>
              <w:t>Guarantee Amount</w:t>
            </w:r>
          </w:p>
        </w:tc>
        <w:tc>
          <w:tcPr>
            <w:tcW w:w="0" w:type="dxa"/>
            <w:vAlign w:val="bottom"/>
          </w:tcPr>
          <w:p>
            <w:pPr>
              <w:spacing w:after="0"/>
              <w:rPr>
                <w:sz w:val="1"/>
                <w:szCs w:val="1"/>
                <w:color w:val="auto"/>
              </w:rPr>
            </w:pPr>
          </w:p>
        </w:tc>
      </w:tr>
      <w:tr>
        <w:trPr>
          <w:trHeight w:val="192"/>
        </w:trPr>
        <w:tc>
          <w:tcPr>
            <w:tcW w:w="6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Remaining nine months of 2023</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2028 and thereafter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guarantee obligations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-1113155</wp:posOffset>
            </wp:positionV>
            <wp:extent cx="67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-1113155</wp:posOffset>
            </wp:positionV>
            <wp:extent cx="67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340" w:firstLine="316"/>
        <w:spacing w:after="0" w:line="292" w:lineRule="auto"/>
        <w:rPr>
          <w:sz w:val="20"/>
          <w:szCs w:val="20"/>
          <w:color w:val="auto"/>
        </w:rPr>
      </w:pPr>
      <w:r>
        <w:rPr>
          <w:rFonts w:ascii="Arial" w:cs="Arial" w:eastAsia="Arial" w:hAnsi="Arial"/>
          <w:sz w:val="16"/>
          <w:szCs w:val="16"/>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September 30, 2022, no amounts have been accrued in the Condensed Consolidated Financial Statements with respect to these indemnification agreements.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Unis Venture</w:t>
      </w:r>
    </w:p>
    <w:p>
      <w:pPr>
        <w:spacing w:after="0" w:line="241" w:lineRule="exact"/>
        <w:rPr>
          <w:sz w:val="20"/>
          <w:szCs w:val="20"/>
          <w:color w:val="auto"/>
        </w:rPr>
      </w:pPr>
    </w:p>
    <w:p>
      <w:pPr>
        <w:ind w:right="40" w:firstLine="316"/>
        <w:spacing w:after="0" w:line="283" w:lineRule="auto"/>
        <w:rPr>
          <w:sz w:val="20"/>
          <w:szCs w:val="20"/>
          <w:color w:val="auto"/>
        </w:rPr>
      </w:pPr>
      <w:r>
        <w:rPr>
          <w:rFonts w:ascii="Arial" w:cs="Arial" w:eastAsia="Arial" w:hAnsi="Arial"/>
          <w:sz w:val="16"/>
          <w:szCs w:val="16"/>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three months ended September 30, 2022, the Company recognized approximately 3% of its consolidated revenue on products distributed by the Unis Venture. For the three months ended October 1, 2021, the Company recognized approximately 5% of its consolidated revenue on products distributed by the Unis Venture. The outstanding accounts receivable due from the Unis Venture were 6% and 5% of Accounts receivable, net for September 30, 2022 and July 1, 2022,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Leases and Other Commitments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Leases</w:t>
      </w:r>
    </w:p>
    <w:p>
      <w:pPr>
        <w:spacing w:after="0" w:line="241" w:lineRule="exact"/>
        <w:rPr>
          <w:sz w:val="20"/>
          <w:szCs w:val="20"/>
          <w:color w:val="auto"/>
        </w:rPr>
      </w:pPr>
    </w:p>
    <w:p>
      <w:pPr>
        <w:ind w:right="100" w:firstLine="316"/>
        <w:spacing w:after="0" w:line="300" w:lineRule="auto"/>
        <w:rPr>
          <w:sz w:val="20"/>
          <w:szCs w:val="20"/>
          <w:color w:val="auto"/>
        </w:rPr>
      </w:pPr>
      <w:r>
        <w:rPr>
          <w:rFonts w:ascii="Arial" w:cs="Arial" w:eastAsia="Arial" w:hAnsi="Arial"/>
          <w:sz w:val="15"/>
          <w:szCs w:val="15"/>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September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60" w:type="dxa"/>
            <w:vAlign w:val="bottom"/>
          </w:tcPr>
          <w:p>
            <w:pPr>
              <w:spacing w:after="0"/>
              <w:rPr>
                <w:sz w:val="15"/>
                <w:szCs w:val="15"/>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Lease Amounts</w:t>
            </w:r>
          </w:p>
        </w:tc>
      </w:tr>
      <w:tr>
        <w:trPr>
          <w:trHeight w:val="24"/>
        </w:trPr>
        <w:tc>
          <w:tcPr>
            <w:tcW w:w="9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2"/>
        </w:trPr>
        <w:tc>
          <w:tcPr>
            <w:tcW w:w="9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40" w:type="dxa"/>
            <w:vAlign w:val="bottom"/>
          </w:tcPr>
          <w:p>
            <w:pPr>
              <w:jc w:val="right"/>
              <w:ind w:right="301"/>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lease payments by year:</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Remaining nine months of 2023</w:t>
            </w:r>
          </w:p>
        </w:tc>
        <w:tc>
          <w:tcPr>
            <w:tcW w:w="520" w:type="dxa"/>
            <w:vAlign w:val="bottom"/>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36</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46</w:t>
            </w: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44</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w:t>
            </w: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2027</w:t>
            </w:r>
          </w:p>
        </w:tc>
        <w:tc>
          <w:tcPr>
            <w:tcW w:w="5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39</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147</w:t>
            </w:r>
          </w:p>
        </w:tc>
      </w:tr>
      <w:tr>
        <w:trPr>
          <w:trHeight w:val="201"/>
        </w:trPr>
        <w:tc>
          <w:tcPr>
            <w:tcW w:w="9660" w:type="dxa"/>
            <w:vAlign w:val="bottom"/>
          </w:tcPr>
          <w:p>
            <w:pPr>
              <w:ind w:left="220"/>
              <w:spacing w:after="0"/>
              <w:rPr>
                <w:sz w:val="20"/>
                <w:szCs w:val="20"/>
                <w:color w:val="auto"/>
              </w:rPr>
            </w:pPr>
            <w:r>
              <w:rPr>
                <w:rFonts w:ascii="Arial" w:cs="Arial" w:eastAsia="Arial" w:hAnsi="Arial"/>
                <w:sz w:val="16"/>
                <w:szCs w:val="16"/>
                <w:color w:val="auto"/>
              </w:rPr>
              <w:t>Total future minimum lease payments</w:t>
            </w:r>
          </w:p>
        </w:tc>
        <w:tc>
          <w:tcPr>
            <w:tcW w:w="52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356</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Imputed interest</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51</w:t>
            </w:r>
          </w:p>
        </w:tc>
      </w:tr>
      <w:tr>
        <w:trPr>
          <w:trHeight w:val="201"/>
        </w:trPr>
        <w:tc>
          <w:tcPr>
            <w:tcW w:w="9660" w:type="dxa"/>
            <w:vAlign w:val="bottom"/>
          </w:tcPr>
          <w:p>
            <w:pPr>
              <w:ind w:left="140"/>
              <w:spacing w:after="0"/>
              <w:rPr>
                <w:sz w:val="20"/>
                <w:szCs w:val="20"/>
                <w:color w:val="auto"/>
              </w:rPr>
            </w:pPr>
            <w:r>
              <w:rPr>
                <w:rFonts w:ascii="Arial" w:cs="Arial" w:eastAsia="Arial" w:hAnsi="Arial"/>
                <w:sz w:val="16"/>
                <w:szCs w:val="16"/>
                <w:color w:val="auto"/>
              </w:rPr>
              <w:t>Present value of lease liabilities</w:t>
            </w:r>
          </w:p>
        </w:tc>
        <w:tc>
          <w:tcPr>
            <w:tcW w:w="52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305</w:t>
            </w:r>
          </w:p>
        </w:tc>
      </w:tr>
      <w:tr>
        <w:trPr>
          <w:trHeight w:val="211"/>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Current portion (included in Accrued expenses)</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Long-term operating lease liabilities (included in Other liabilities )</w:t>
            </w:r>
          </w:p>
        </w:tc>
        <w:tc>
          <w:tcPr>
            <w:tcW w:w="52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265</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9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9660" w:type="dxa"/>
            <w:vAlign w:val="bottom"/>
          </w:tcPr>
          <w:p>
            <w:pPr>
              <w:ind w:left="2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520" w:type="dxa"/>
            <w:vAlign w:val="bottom"/>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288</w:t>
            </w:r>
          </w:p>
        </w:tc>
      </w:tr>
      <w:tr>
        <w:trPr>
          <w:trHeight w:val="254"/>
        </w:trPr>
        <w:tc>
          <w:tcPr>
            <w:tcW w:w="96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08"/>
        </w:trPr>
        <w:tc>
          <w:tcPr>
            <w:tcW w:w="9660" w:type="dxa"/>
            <w:vAlign w:val="bottom"/>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5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8.2</w:t>
            </w:r>
          </w:p>
        </w:tc>
      </w:tr>
      <w:tr>
        <w:trPr>
          <w:trHeight w:val="214"/>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bl>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3"/>
          </w:tcPr>
          <w:p>
            <w:pPr>
              <w:jc w:val="center"/>
              <w:ind w:right="104"/>
              <w:spacing w:after="0"/>
              <w:rPr>
                <w:sz w:val="20"/>
                <w:szCs w:val="20"/>
                <w:color w:val="auto"/>
              </w:rPr>
            </w:pPr>
            <w:r>
              <w:rPr>
                <w:rFonts w:ascii="Arial" w:cs="Arial" w:eastAsia="Arial" w:hAnsi="Arial"/>
                <w:sz w:val="14"/>
                <w:szCs w:val="14"/>
                <w:b w:val="1"/>
                <w:bCs w:val="1"/>
                <w:color w:val="auto"/>
                <w:w w:val="92"/>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5"/>
        </w:trPr>
        <w:tc>
          <w:tcPr>
            <w:tcW w:w="8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right"/>
              <w:ind w:right="226"/>
              <w:spacing w:after="0" w:line="125" w:lineRule="exact"/>
              <w:rPr>
                <w:sz w:val="20"/>
                <w:szCs w:val="20"/>
                <w:color w:val="auto"/>
              </w:rPr>
            </w:pPr>
            <w:r>
              <w:rPr>
                <w:rFonts w:ascii="Arial" w:cs="Arial" w:eastAsia="Arial" w:hAnsi="Arial"/>
                <w:sz w:val="14"/>
                <w:szCs w:val="14"/>
                <w:b w:val="1"/>
                <w:bCs w:val="1"/>
                <w:color w:val="auto"/>
                <w:w w:val="98"/>
              </w:rPr>
              <w:t>September 30,</w:t>
            </w:r>
          </w:p>
        </w:tc>
        <w:tc>
          <w:tcPr>
            <w:tcW w:w="440" w:type="dxa"/>
            <w:vAlign w:val="bottom"/>
          </w:tcPr>
          <w:p>
            <w:pPr>
              <w:spacing w:after="0"/>
              <w:rPr>
                <w:sz w:val="10"/>
                <w:szCs w:val="10"/>
                <w:color w:val="auto"/>
              </w:rPr>
            </w:pPr>
          </w:p>
        </w:tc>
        <w:tc>
          <w:tcPr>
            <w:tcW w:w="1080" w:type="dxa"/>
            <w:vAlign w:val="bottom"/>
          </w:tcPr>
          <w:p>
            <w:pPr>
              <w:jc w:val="right"/>
              <w:ind w:right="324"/>
              <w:spacing w:after="0" w:line="125" w:lineRule="exact"/>
              <w:rPr>
                <w:sz w:val="20"/>
                <w:szCs w:val="20"/>
                <w:color w:val="auto"/>
              </w:rPr>
            </w:pPr>
            <w:r>
              <w:rPr>
                <w:rFonts w:ascii="Arial" w:cs="Arial" w:eastAsia="Arial" w:hAnsi="Arial"/>
                <w:sz w:val="14"/>
                <w:szCs w:val="14"/>
                <w:b w:val="1"/>
                <w:bCs w:val="1"/>
                <w:color w:val="auto"/>
                <w:w w:val="95"/>
              </w:rPr>
              <w:t>October 1,</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189"/>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left="826"/>
              <w:spacing w:after="0"/>
              <w:rPr>
                <w:sz w:val="20"/>
                <w:szCs w:val="20"/>
                <w:color w:val="auto"/>
              </w:rPr>
            </w:pPr>
            <w:r>
              <w:rPr>
                <w:rFonts w:ascii="Arial" w:cs="Arial" w:eastAsia="Arial" w:hAnsi="Arial"/>
                <w:sz w:val="14"/>
                <w:szCs w:val="14"/>
                <w:i w:val="1"/>
                <w:iCs w:val="1"/>
                <w:color w:val="auto"/>
                <w:w w:val="96"/>
              </w:rPr>
              <w:t>(in millions)</w:t>
            </w:r>
          </w:p>
        </w:tc>
        <w:tc>
          <w:tcPr>
            <w:tcW w:w="108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14</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Cash paid for operating leases</w:t>
            </w:r>
          </w:p>
        </w:tc>
        <w:tc>
          <w:tcPr>
            <w:tcW w:w="180" w:type="dxa"/>
            <w:vAlign w:val="bottom"/>
          </w:tcPr>
          <w:p>
            <w:pPr>
              <w:spacing w:after="0"/>
              <w:rPr>
                <w:sz w:val="18"/>
                <w:szCs w:val="18"/>
                <w:color w:val="auto"/>
              </w:rPr>
            </w:pP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-535305</wp:posOffset>
            </wp:positionV>
            <wp:extent cx="673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41"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September 30, 2022, the Company had the following minimum long-term commitments:</w:t>
      </w:r>
    </w:p>
    <w:tbl>
      <w:tblPr>
        <w:tblLayout w:type="fixed"/>
        <w:tblInd w:w="0" w:type="dxa"/>
        <w:tblCellMar>
          <w:top w:w="0" w:type="dxa"/>
          <w:left w:w="0" w:type="dxa"/>
          <w:bottom w:w="0" w:type="dxa"/>
          <w:right w:w="0" w:type="dxa"/>
        </w:tblCellMar>
      </w:tblPr>
      <w:tr>
        <w:trPr>
          <w:trHeight w:val="149"/>
        </w:trPr>
        <w:tc>
          <w:tcPr>
            <w:tcW w:w="9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Long-Term</w:t>
            </w:r>
          </w:p>
        </w:tc>
      </w:tr>
      <w:tr>
        <w:trPr>
          <w:trHeight w:val="189"/>
        </w:trPr>
        <w:tc>
          <w:tcPr>
            <w:tcW w:w="9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2"/>
              </w:rPr>
              <w:t>Commitments</w:t>
            </w:r>
          </w:p>
        </w:tc>
      </w:tr>
      <w:tr>
        <w:trPr>
          <w:trHeight w:val="187"/>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04"/>
              <w:spacing w:after="0"/>
              <w:rPr>
                <w:sz w:val="20"/>
                <w:szCs w:val="20"/>
                <w:color w:val="auto"/>
              </w:rPr>
            </w:pPr>
            <w:r>
              <w:rPr>
                <w:rFonts w:ascii="Arial" w:cs="Arial" w:eastAsia="Arial" w:hAnsi="Arial"/>
                <w:sz w:val="14"/>
                <w:szCs w:val="14"/>
                <w:i w:val="1"/>
                <w:iCs w:val="1"/>
                <w:color w:val="auto"/>
                <w:w w:val="98"/>
              </w:rPr>
              <w:t>(in millions)</w:t>
            </w:r>
          </w:p>
        </w:tc>
      </w:tr>
      <w:tr>
        <w:trPr>
          <w:trHeight w:val="220"/>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Remaining nine months of 2023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4"/>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4"/>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1"/>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8"/>
        </w:trPr>
        <w:tc>
          <w:tcPr>
            <w:tcW w:w="976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r>
      <w:tr>
        <w:trPr>
          <w:trHeight w:val="20"/>
        </w:trPr>
        <w:tc>
          <w:tcPr>
            <w:tcW w:w="9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Shareholders’ Equity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Stock-based Compensation Expense</w:t>
      </w:r>
    </w:p>
    <w:p>
      <w:pPr>
        <w:spacing w:after="0" w:line="241"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92"/>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360" w:type="dxa"/>
            <w:vAlign w:val="bottom"/>
          </w:tcPr>
          <w:p>
            <w:pPr>
              <w:spacing w:after="0"/>
              <w:rPr>
                <w:sz w:val="11"/>
                <w:szCs w:val="11"/>
                <w:color w:val="auto"/>
              </w:rPr>
            </w:pPr>
          </w:p>
        </w:tc>
        <w:tc>
          <w:tcPr>
            <w:tcW w:w="1080" w:type="dxa"/>
            <w:vAlign w:val="bottom"/>
          </w:tcPr>
          <w:p>
            <w:pPr>
              <w:jc w:val="center"/>
              <w:ind w:right="284"/>
              <w:spacing w:after="0" w:line="129" w:lineRule="exact"/>
              <w:rPr>
                <w:sz w:val="20"/>
                <w:szCs w:val="20"/>
                <w:color w:val="auto"/>
              </w:rPr>
            </w:pPr>
            <w:r>
              <w:rPr>
                <w:rFonts w:ascii="Arial" w:cs="Arial" w:eastAsia="Arial" w:hAnsi="Arial"/>
                <w:sz w:val="14"/>
                <w:szCs w:val="14"/>
                <w:b w:val="1"/>
                <w:bCs w:val="1"/>
                <w:color w:val="auto"/>
                <w:w w:val="92"/>
              </w:rPr>
              <w:t>October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89"/>
              </w:rPr>
              <w:t>2021</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center"/>
              <w:ind w:left="825"/>
              <w:spacing w:after="0"/>
              <w:rPr>
                <w:sz w:val="20"/>
                <w:szCs w:val="20"/>
                <w:color w:val="auto"/>
              </w:rPr>
            </w:pPr>
            <w:r>
              <w:rPr>
                <w:rFonts w:ascii="Arial" w:cs="Arial" w:eastAsia="Arial" w:hAnsi="Arial"/>
                <w:sz w:val="14"/>
                <w:szCs w:val="14"/>
                <w:i w:val="1"/>
                <w:iCs w:val="1"/>
                <w:color w:val="auto"/>
                <w:w w:val="96"/>
              </w:rPr>
              <w:t>(in millions)</w:t>
            </w:r>
          </w:p>
        </w:tc>
        <w:tc>
          <w:tcPr>
            <w:tcW w:w="108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885"/>
              <w:spacing w:after="0"/>
              <w:rPr>
                <w:sz w:val="20"/>
                <w:szCs w:val="20"/>
                <w:color w:val="auto"/>
              </w:rPr>
            </w:pPr>
            <w:r>
              <w:rPr>
                <w:rFonts w:ascii="Arial" w:cs="Arial" w:eastAsia="Arial" w:hAnsi="Arial"/>
                <w:sz w:val="16"/>
                <w:szCs w:val="16"/>
                <w:color w:val="auto"/>
                <w:w w:val="89"/>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85"/>
              <w:spacing w:after="0"/>
              <w:rPr>
                <w:sz w:val="20"/>
                <w:szCs w:val="20"/>
                <w:color w:val="auto"/>
              </w:rPr>
            </w:pPr>
            <w:r>
              <w:rPr>
                <w:rFonts w:ascii="Arial" w:cs="Arial" w:eastAsia="Arial" w:hAnsi="Arial"/>
                <w:sz w:val="16"/>
                <w:szCs w:val="16"/>
                <w:color w:val="auto"/>
                <w:w w:val="89"/>
              </w:rPr>
              <w:t>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center"/>
              <w:ind w:left="885"/>
              <w:spacing w:after="0"/>
              <w:rPr>
                <w:sz w:val="20"/>
                <w:szCs w:val="20"/>
                <w:color w:val="auto"/>
              </w:rPr>
            </w:pPr>
            <w:r>
              <w:rPr>
                <w:rFonts w:ascii="Arial" w:cs="Arial" w:eastAsia="Arial" w:hAnsi="Arial"/>
                <w:sz w:val="16"/>
                <w:szCs w:val="16"/>
                <w:color w:val="auto"/>
                <w:w w:val="89"/>
              </w:rPr>
              <w:t>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6"/>
        </w:trPr>
        <w:tc>
          <w:tcPr>
            <w:tcW w:w="8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92"/>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5"/>
        </w:trPr>
        <w:tc>
          <w:tcPr>
            <w:tcW w:w="8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September 30,</w:t>
            </w:r>
          </w:p>
        </w:tc>
        <w:tc>
          <w:tcPr>
            <w:tcW w:w="360" w:type="dxa"/>
            <w:vAlign w:val="bottom"/>
          </w:tcPr>
          <w:p>
            <w:pPr>
              <w:spacing w:after="0"/>
              <w:rPr>
                <w:sz w:val="10"/>
                <w:szCs w:val="10"/>
                <w:color w:val="auto"/>
              </w:rPr>
            </w:pPr>
          </w:p>
        </w:tc>
        <w:tc>
          <w:tcPr>
            <w:tcW w:w="1080" w:type="dxa"/>
            <w:vAlign w:val="bottom"/>
          </w:tcPr>
          <w:p>
            <w:pPr>
              <w:jc w:val="center"/>
              <w:ind w:right="284"/>
              <w:spacing w:after="0" w:line="125" w:lineRule="exact"/>
              <w:rPr>
                <w:sz w:val="20"/>
                <w:szCs w:val="20"/>
                <w:color w:val="auto"/>
              </w:rPr>
            </w:pPr>
            <w:r>
              <w:rPr>
                <w:rFonts w:ascii="Arial" w:cs="Arial" w:eastAsia="Arial" w:hAnsi="Arial"/>
                <w:sz w:val="14"/>
                <w:szCs w:val="14"/>
                <w:b w:val="1"/>
                <w:bCs w:val="1"/>
                <w:color w:val="auto"/>
                <w:w w:val="92"/>
              </w:rPr>
              <w:t>October 1,</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89"/>
              </w:rPr>
              <w:t>2021</w:t>
            </w:r>
          </w:p>
        </w:tc>
      </w:tr>
      <w:tr>
        <w:trPr>
          <w:trHeight w:val="189"/>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center"/>
              <w:ind w:left="825"/>
              <w:spacing w:after="0"/>
              <w:rPr>
                <w:sz w:val="20"/>
                <w:szCs w:val="20"/>
                <w:color w:val="auto"/>
              </w:rPr>
            </w:pPr>
            <w:r>
              <w:rPr>
                <w:rFonts w:ascii="Arial" w:cs="Arial" w:eastAsia="Arial" w:hAnsi="Arial"/>
                <w:sz w:val="14"/>
                <w:szCs w:val="14"/>
                <w:i w:val="1"/>
                <w:iCs w:val="1"/>
                <w:color w:val="auto"/>
                <w:w w:val="96"/>
              </w:rPr>
              <w:t>(in millions)</w:t>
            </w:r>
          </w:p>
        </w:tc>
        <w:tc>
          <w:tcPr>
            <w:tcW w:w="108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885"/>
              <w:spacing w:after="0"/>
              <w:rPr>
                <w:sz w:val="20"/>
                <w:szCs w:val="20"/>
                <w:color w:val="auto"/>
              </w:rPr>
            </w:pPr>
            <w:r>
              <w:rPr>
                <w:rFonts w:ascii="Arial" w:cs="Arial" w:eastAsia="Arial" w:hAnsi="Arial"/>
                <w:sz w:val="16"/>
                <w:szCs w:val="16"/>
                <w:color w:val="auto"/>
                <w:w w:val="89"/>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1240" w:type="dxa"/>
            <w:vAlign w:val="bottom"/>
          </w:tcPr>
          <w:p>
            <w:pPr>
              <w:jc w:val="center"/>
              <w:ind w:left="885"/>
              <w:spacing w:after="0"/>
              <w:rPr>
                <w:sz w:val="20"/>
                <w:szCs w:val="20"/>
                <w:color w:val="auto"/>
              </w:rPr>
            </w:pPr>
            <w:r>
              <w:rPr>
                <w:rFonts w:ascii="Arial" w:cs="Arial" w:eastAsia="Arial" w:hAnsi="Arial"/>
                <w:sz w:val="16"/>
                <w:szCs w:val="16"/>
                <w:color w:val="auto"/>
                <w:w w:val="89"/>
              </w:rPr>
              <w:t>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85"/>
              <w:spacing w:after="0"/>
              <w:rPr>
                <w:sz w:val="20"/>
                <w:szCs w:val="20"/>
                <w:color w:val="auto"/>
              </w:rPr>
            </w:pPr>
            <w:r>
              <w:rPr>
                <w:rFonts w:ascii="Arial" w:cs="Arial" w:eastAsia="Arial" w:hAnsi="Arial"/>
                <w:sz w:val="16"/>
                <w:szCs w:val="16"/>
                <w:color w:val="auto"/>
                <w:w w:val="89"/>
              </w:rPr>
              <w:t>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1"/>
        </w:trPr>
        <w:tc>
          <w:tcPr>
            <w:tcW w:w="8280" w:type="dxa"/>
            <w:vAlign w:val="bottom"/>
          </w:tcPr>
          <w:p>
            <w:pPr>
              <w:ind w:left="14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7"/>
                <w:szCs w:val="17"/>
                <w:color w:val="auto"/>
              </w:rPr>
            </w:pPr>
          </w:p>
        </w:tc>
        <w:tc>
          <w:tcPr>
            <w:tcW w:w="1240" w:type="dxa"/>
            <w:vAlign w:val="bottom"/>
          </w:tcPr>
          <w:p>
            <w:pPr>
              <w:jc w:val="center"/>
              <w:ind w:left="885"/>
              <w:spacing w:after="0"/>
              <w:rPr>
                <w:sz w:val="20"/>
                <w:szCs w:val="20"/>
                <w:color w:val="auto"/>
              </w:rPr>
            </w:pPr>
            <w:r>
              <w:rPr>
                <w:rFonts w:ascii="Arial" w:cs="Arial" w:eastAsia="Arial" w:hAnsi="Arial"/>
                <w:sz w:val="16"/>
                <w:szCs w:val="16"/>
                <w:color w:val="auto"/>
                <w:w w:val="89"/>
              </w:rPr>
              <w:t>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45"/>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8"/>
        </w:trPr>
        <w:tc>
          <w:tcPr>
            <w:tcW w:w="828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885"/>
              <w:spacing w:after="0"/>
              <w:rPr>
                <w:sz w:val="20"/>
                <w:szCs w:val="20"/>
                <w:color w:val="auto"/>
              </w:rPr>
            </w:pPr>
            <w:r>
              <w:rPr>
                <w:rFonts w:ascii="Arial" w:cs="Arial" w:eastAsia="Arial" w:hAnsi="Arial"/>
                <w:sz w:val="16"/>
                <w:szCs w:val="16"/>
                <w:color w:val="auto"/>
                <w:w w:val="89"/>
              </w:rPr>
              <w:t>73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-2118360</wp:posOffset>
            </wp:positionV>
            <wp:extent cx="673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-987425</wp:posOffset>
            </wp:positionV>
            <wp:extent cx="67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100" w:firstLine="316"/>
        <w:spacing w:after="0" w:line="262" w:lineRule="auto"/>
        <w:rPr>
          <w:sz w:val="20"/>
          <w:szCs w:val="20"/>
          <w:color w:val="auto"/>
        </w:rPr>
      </w:pPr>
      <w:r>
        <w:rPr>
          <w:rFonts w:ascii="Arial" w:cs="Arial" w:eastAsia="Arial" w:hAnsi="Arial"/>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208" w:lineRule="exact"/>
        <w:rPr>
          <w:sz w:val="20"/>
          <w:szCs w:val="20"/>
          <w:color w:val="auto"/>
        </w:rPr>
      </w:pPr>
    </w:p>
    <w:p>
      <w:pPr>
        <w:ind w:right="260" w:firstLine="316"/>
        <w:spacing w:after="0" w:line="253" w:lineRule="auto"/>
        <w:rPr>
          <w:sz w:val="20"/>
          <w:szCs w:val="20"/>
          <w:color w:val="auto"/>
        </w:rPr>
      </w:pPr>
      <w:r>
        <w:rPr>
          <w:rFonts w:ascii="Arial" w:cs="Arial" w:eastAsia="Arial" w:hAnsi="Arial"/>
          <w:sz w:val="18"/>
          <w:szCs w:val="18"/>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September 30, 2022:</w:t>
      </w:r>
    </w:p>
    <w:tbl>
      <w:tblPr>
        <w:tblLayout w:type="fixed"/>
        <w:tblInd w:w="0" w:type="dxa"/>
        <w:tblCellMar>
          <w:top w:w="0" w:type="dxa"/>
          <w:left w:w="0" w:type="dxa"/>
          <w:bottom w:w="0" w:type="dxa"/>
          <w:right w:w="0" w:type="dxa"/>
        </w:tblCellMar>
      </w:tblPr>
      <w:tr>
        <w:trPr>
          <w:trHeight w:val="153"/>
        </w:trPr>
        <w:tc>
          <w:tcPr>
            <w:tcW w:w="14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25"/>
              <w:spacing w:after="0" w:line="153" w:lineRule="exact"/>
              <w:rPr>
                <w:sz w:val="20"/>
                <w:szCs w:val="20"/>
                <w:color w:val="auto"/>
              </w:rPr>
            </w:pPr>
            <w:r>
              <w:rPr>
                <w:rFonts w:ascii="Arial" w:cs="Arial" w:eastAsia="Arial" w:hAnsi="Arial"/>
                <w:sz w:val="14"/>
                <w:szCs w:val="14"/>
                <w:b w:val="1"/>
                <w:bCs w:val="1"/>
                <w:color w:val="auto"/>
                <w:w w:val="91"/>
              </w:rPr>
              <w:t>Unamortized</w:t>
            </w:r>
          </w:p>
        </w:tc>
        <w:tc>
          <w:tcPr>
            <w:tcW w:w="10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r>
      <w:tr>
        <w:trPr>
          <w:trHeight w:val="189"/>
        </w:trPr>
        <w:tc>
          <w:tcPr>
            <w:tcW w:w="14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7"/>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187"/>
        </w:trPr>
        <w:tc>
          <w:tcPr>
            <w:tcW w:w="14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25"/>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20"/>
        </w:trPr>
        <w:tc>
          <w:tcPr>
            <w:tcW w:w="8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0"/>
                <w:szCs w:val="2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54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89"/>
              </w:rPr>
              <w:t>2.6</w:t>
            </w:r>
          </w:p>
        </w:tc>
      </w:tr>
      <w:tr>
        <w:trPr>
          <w:trHeight w:val="208"/>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ESPP</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540" w:type="dxa"/>
            <w:vAlign w:val="bottom"/>
            <w:tcBorders>
              <w:bottom w:val="single" w:sz="8" w:color="CCEEFF"/>
            </w:tcBorders>
            <w:gridSpan w:val="2"/>
          </w:tcPr>
          <w:p>
            <w:pPr>
              <w:jc w:val="center"/>
              <w:ind w:left="21"/>
              <w:spacing w:after="0"/>
              <w:rPr>
                <w:sz w:val="20"/>
                <w:szCs w:val="20"/>
                <w:color w:val="auto"/>
              </w:rPr>
            </w:pPr>
            <w:r>
              <w:rPr>
                <w:rFonts w:ascii="Arial" w:cs="Arial" w:eastAsia="Arial" w:hAnsi="Arial"/>
                <w:sz w:val="16"/>
                <w:szCs w:val="16"/>
                <w:color w:val="auto"/>
                <w:w w:val="89"/>
              </w:rPr>
              <w:t>1.0</w:t>
            </w:r>
          </w:p>
        </w:tc>
      </w:tr>
      <w:tr>
        <w:trPr>
          <w:trHeight w:val="233"/>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unamortized compensation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1"/>
        </w:trPr>
        <w:tc>
          <w:tcPr>
            <w:tcW w:w="1480" w:type="dxa"/>
            <w:vAlign w:val="bottom"/>
            <w:tcBorders>
              <w:bottom w:val="single" w:sz="8" w:color="auto"/>
            </w:tcBorders>
          </w:tcPr>
          <w:p>
            <w:pPr>
              <w:spacing w:after="0"/>
              <w:rPr>
                <w:sz w:val="7"/>
                <w:szCs w:val="7"/>
                <w:color w:val="auto"/>
              </w:rPr>
            </w:pPr>
          </w:p>
        </w:tc>
        <w:tc>
          <w:tcPr>
            <w:tcW w:w="6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r>
    </w:tbl>
    <w:p>
      <w:pPr>
        <w:spacing w:after="0" w:line="78" w:lineRule="exact"/>
        <w:rPr>
          <w:sz w:val="20"/>
          <w:szCs w:val="20"/>
          <w:color w:val="auto"/>
        </w:rPr>
      </w:pPr>
    </w:p>
    <w:p>
      <w:pPr>
        <w:ind w:left="260" w:hanging="254"/>
        <w:spacing w:after="0"/>
        <w:tabs>
          <w:tab w:leader="none" w:pos="2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metrics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60" w:right="27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241" w:lineRule="exact"/>
        <w:rPr>
          <w:sz w:val="20"/>
          <w:szCs w:val="20"/>
          <w:color w:val="auto"/>
        </w:rPr>
      </w:pPr>
    </w:p>
    <w:p>
      <w:pPr>
        <w:ind w:right="280" w:firstLine="316"/>
        <w:spacing w:after="0" w:line="261" w:lineRule="auto"/>
        <w:rPr>
          <w:sz w:val="20"/>
          <w:szCs w:val="20"/>
          <w:color w:val="auto"/>
        </w:rPr>
      </w:pPr>
      <w:r>
        <w:rPr>
          <w:rFonts w:ascii="Arial" w:cs="Arial" w:eastAsia="Arial" w:hAnsi="Arial"/>
          <w:sz w:val="18"/>
          <w:szCs w:val="18"/>
          <w:color w:val="auto"/>
        </w:rPr>
        <w:t>The following table summarizes stock option activity under the Company’s incentive plans. All outstanding options were exercisable at September 30, 2022:</w:t>
      </w:r>
    </w:p>
    <w:tbl>
      <w:tblPr>
        <w:tblLayout w:type="fixed"/>
        <w:tblInd w:w="0" w:type="dxa"/>
        <w:tblCellMar>
          <w:top w:w="0" w:type="dxa"/>
          <w:left w:w="0" w:type="dxa"/>
          <w:bottom w:w="0" w:type="dxa"/>
          <w:right w:w="0" w:type="dxa"/>
        </w:tblCellMar>
      </w:tblPr>
      <w:tr>
        <w:trPr>
          <w:trHeight w:val="146"/>
        </w:trPr>
        <w:tc>
          <w:tcPr>
            <w:tcW w:w="6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1"/>
        </w:trPr>
        <w:tc>
          <w:tcPr>
            <w:tcW w:w="67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Exercise Price Per</w:t>
            </w: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(in years)</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outstanding at July 1, 2022</w:t>
            </w:r>
          </w:p>
        </w:tc>
        <w:tc>
          <w:tcPr>
            <w:tcW w:w="1420" w:type="dxa"/>
            <w:vAlign w:val="bottom"/>
            <w:shd w:val="clear" w:color="auto" w:fill="CCEEFF"/>
          </w:tcPr>
          <w:p>
            <w:pPr>
              <w:jc w:val="center"/>
              <w:ind w:left="1024"/>
              <w:spacing w:after="0"/>
              <w:rPr>
                <w:sz w:val="20"/>
                <w:szCs w:val="20"/>
                <w:color w:val="auto"/>
              </w:rPr>
            </w:pPr>
            <w:r>
              <w:rPr>
                <w:rFonts w:ascii="Arial" w:cs="Arial" w:eastAsia="Arial" w:hAnsi="Arial"/>
                <w:sz w:val="16"/>
                <w:szCs w:val="16"/>
                <w:color w:val="auto"/>
                <w:w w:val="89"/>
              </w:rPr>
              <w:t>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66.76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0.54</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auto"/>
            </w:tcBorders>
          </w:tcPr>
          <w:p>
            <w:pPr>
              <w:jc w:val="center"/>
              <w:ind w:left="1004"/>
              <w:spacing w:after="0"/>
              <w:rPr>
                <w:sz w:val="20"/>
                <w:szCs w:val="20"/>
                <w:color w:val="auto"/>
              </w:rPr>
            </w:pPr>
            <w:r>
              <w:rPr>
                <w:rFonts w:ascii="Arial" w:cs="Arial" w:eastAsia="Arial" w:hAnsi="Arial"/>
                <w:sz w:val="16"/>
                <w:szCs w:val="16"/>
                <w:color w:val="auto"/>
                <w:w w:val="91"/>
              </w:rPr>
              <w:t>(0.5)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5"/>
              <w:spacing w:after="0"/>
              <w:rPr>
                <w:sz w:val="20"/>
                <w:szCs w:val="20"/>
                <w:color w:val="auto"/>
              </w:rPr>
            </w:pPr>
            <w:r>
              <w:rPr>
                <w:rFonts w:ascii="Arial" w:cs="Arial" w:eastAsia="Arial" w:hAnsi="Arial"/>
                <w:sz w:val="16"/>
                <w:szCs w:val="16"/>
                <w:color w:val="auto"/>
              </w:rPr>
              <w:t>84.39</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September 30, 2022</w:t>
            </w:r>
          </w:p>
        </w:tc>
        <w:tc>
          <w:tcPr>
            <w:tcW w:w="1420" w:type="dxa"/>
            <w:vAlign w:val="bottom"/>
            <w:tcBorders>
              <w:bottom w:val="single" w:sz="8" w:color="auto"/>
            </w:tcBorders>
            <w:shd w:val="clear" w:color="auto" w:fill="CCEEFF"/>
          </w:tcPr>
          <w:p>
            <w:pPr>
              <w:jc w:val="center"/>
              <w:ind w:left="1024"/>
              <w:spacing w:after="0"/>
              <w:rPr>
                <w:sz w:val="20"/>
                <w:szCs w:val="20"/>
                <w:color w:val="auto"/>
              </w:rPr>
            </w:pPr>
            <w:r>
              <w:rPr>
                <w:rFonts w:ascii="Arial" w:cs="Arial" w:eastAsia="Arial" w:hAnsi="Arial"/>
                <w:sz w:val="16"/>
                <w:szCs w:val="16"/>
                <w:color w:val="auto"/>
                <w:w w:val="89"/>
              </w:rPr>
              <w:t>0.4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45.08</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3"/>
              </w:rPr>
              <w:t>0.81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RSUs and PSUs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4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4"/>
                <w:szCs w:val="14"/>
                <w:color w:val="auto"/>
              </w:rPr>
            </w:pPr>
          </w:p>
        </w:tc>
        <w:tc>
          <w:tcPr>
            <w:tcW w:w="1300" w:type="dxa"/>
            <w:vAlign w:val="bottom"/>
          </w:tcPr>
          <w:p>
            <w:pPr>
              <w:jc w:val="center"/>
              <w:ind w:right="4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Grant Date Fair Value</w:t>
            </w:r>
          </w:p>
        </w:tc>
        <w:tc>
          <w:tcPr>
            <w:tcW w:w="120" w:type="dxa"/>
            <w:vAlign w:val="bottom"/>
          </w:tcPr>
          <w:p>
            <w:pPr>
              <w:spacing w:after="0"/>
              <w:rPr>
                <w:sz w:val="16"/>
                <w:szCs w:val="16"/>
                <w:color w:val="auto"/>
              </w:rPr>
            </w:pPr>
          </w:p>
        </w:tc>
        <w:tc>
          <w:tcPr>
            <w:tcW w:w="1300" w:type="dxa"/>
            <w:vAlign w:val="bottom"/>
          </w:tcPr>
          <w:p>
            <w:pPr>
              <w:jc w:val="center"/>
              <w:ind w:right="47"/>
              <w:spacing w:after="0"/>
              <w:rPr>
                <w:sz w:val="20"/>
                <w:szCs w:val="20"/>
                <w:color w:val="auto"/>
              </w:rPr>
            </w:pPr>
            <w:r>
              <w:rPr>
                <w:rFonts w:ascii="Arial" w:cs="Arial" w:eastAsia="Arial" w:hAnsi="Arial"/>
                <w:sz w:val="14"/>
                <w:szCs w:val="14"/>
                <w:b w:val="1"/>
                <w:bCs w:val="1"/>
                <w:color w:val="auto"/>
                <w:w w:val="90"/>
              </w:rPr>
              <w:t>Value at Vest Date</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1420" w:type="dxa"/>
            <w:vAlign w:val="bottom"/>
            <w:tcBorders>
              <w:top w:val="single" w:sz="8" w:color="auto"/>
            </w:tcBorders>
          </w:tcPr>
          <w:p>
            <w:pPr>
              <w:jc w:val="right"/>
              <w:ind w:right="283"/>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47"/>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July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52.89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4.5</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color w:val="auto"/>
              </w:rPr>
              <w:t>43.79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53.28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5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6"/>
                <w:szCs w:val="16"/>
                <w:color w:val="auto"/>
              </w:rPr>
              <w:t>62.12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49.71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47" w:lineRule="exact"/>
        <w:rPr>
          <w:sz w:val="20"/>
          <w:szCs w:val="20"/>
          <w:color w:val="auto"/>
        </w:rPr>
      </w:pPr>
    </w:p>
    <w:p>
      <w:pPr>
        <w:ind w:right="20" w:firstLine="316"/>
        <w:spacing w:after="0" w:line="247" w:lineRule="auto"/>
        <w:rPr>
          <w:sz w:val="20"/>
          <w:szCs w:val="20"/>
          <w:color w:val="auto"/>
        </w:rPr>
      </w:pPr>
      <w:r>
        <w:rPr>
          <w:rFonts w:ascii="Arial" w:cs="Arial" w:eastAsia="Arial" w:hAnsi="Arial"/>
          <w:sz w:val="18"/>
          <w:szCs w:val="18"/>
          <w:color w:val="auto"/>
        </w:rPr>
        <w:t>The Company’s Board of Directors has authorized a stock repurchase program for the repurchase of up to $5.0 billion of the Company’s common stock, which authorization is effective through July 25, 2023. The Company did not make any stock repurchases during the three months ended September 30, 2022 and has not repurchased any shares of its common stock pursuant to its stock repurchase program since the first quarter of fiscal 2019. Although the Company will reevaluate the repurchasing of common stock when appropriate, there can be no assurance if, when or at what level the Company may resume such activity. The remaining amount available to be repurchased under the Company’s current stock repurchase program as of September 30, 2022 was $4.5 billion. Repurchases under the stock repurchase program may be made in the open market or in privately negotiated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Income Tax Expense</w:t>
      </w:r>
    </w:p>
    <w:p>
      <w:pPr>
        <w:spacing w:after="0" w:line="247" w:lineRule="exact"/>
        <w:rPr>
          <w:sz w:val="20"/>
          <w:szCs w:val="20"/>
          <w:color w:val="auto"/>
        </w:rPr>
      </w:pPr>
    </w:p>
    <w:p>
      <w:pPr>
        <w:ind w:right="40" w:firstLine="316"/>
        <w:spacing w:after="0" w:line="285"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79" w:lineRule="exact"/>
        <w:rPr>
          <w:sz w:val="20"/>
          <w:szCs w:val="20"/>
          <w:color w:val="auto"/>
        </w:rPr>
      </w:pPr>
    </w:p>
    <w:p>
      <w:pPr>
        <w:ind w:right="60" w:firstLine="316"/>
        <w:spacing w:after="0" w:line="274" w:lineRule="auto"/>
        <w:rPr>
          <w:sz w:val="20"/>
          <w:szCs w:val="20"/>
          <w:color w:val="auto"/>
        </w:rPr>
      </w:pPr>
      <w:r>
        <w:rPr>
          <w:rFonts w:ascii="Arial" w:cs="Arial" w:eastAsia="Arial" w:hAnsi="Arial"/>
          <w:sz w:val="16"/>
          <w:szCs w:val="16"/>
          <w:color w:val="auto"/>
        </w:rPr>
        <w:t>On August 16, 2022, President Biden signed into law the Inflation Reduction Act of 2022, which contained significant law changes related to tax, climate, energy, and health care. The tax measures include, among other things, a corporate alternative minimum tax of 15% on corporations with three-year average annual adjusted financial statement income exceeding $1 billion. The corporate alternative minimum tax will not be effective for the Company until fiscal year 2024 and the Company is currently evaluating the potential effects of these legislative changes.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3"/>
          </w:tcPr>
          <w:p>
            <w:pPr>
              <w:jc w:val="center"/>
              <w:ind w:right="164"/>
              <w:spacing w:after="0"/>
              <w:rPr>
                <w:sz w:val="20"/>
                <w:szCs w:val="20"/>
                <w:color w:val="auto"/>
              </w:rPr>
            </w:pPr>
            <w:r>
              <w:rPr>
                <w:rFonts w:ascii="Arial" w:cs="Arial" w:eastAsia="Arial" w:hAnsi="Arial"/>
                <w:sz w:val="14"/>
                <w:szCs w:val="14"/>
                <w:b w:val="1"/>
                <w:bCs w:val="1"/>
                <w:color w:val="auto"/>
                <w:w w:val="92"/>
              </w:rPr>
              <w:t>Three Months Ended</w:t>
            </w:r>
          </w:p>
        </w:tc>
      </w:tr>
      <w:tr>
        <w:trPr>
          <w:trHeight w:val="24"/>
        </w:trPr>
        <w:tc>
          <w:tcPr>
            <w:tcW w:w="8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5"/>
        </w:trPr>
        <w:tc>
          <w:tcPr>
            <w:tcW w:w="8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86"/>
              <w:spacing w:after="0" w:line="125" w:lineRule="exact"/>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10"/>
                <w:szCs w:val="10"/>
                <w:color w:val="auto"/>
              </w:rPr>
            </w:pPr>
          </w:p>
        </w:tc>
        <w:tc>
          <w:tcPr>
            <w:tcW w:w="1140" w:type="dxa"/>
            <w:vAlign w:val="bottom"/>
          </w:tcPr>
          <w:p>
            <w:pPr>
              <w:jc w:val="right"/>
              <w:ind w:right="384"/>
              <w:spacing w:after="0" w:line="125" w:lineRule="exact"/>
              <w:rPr>
                <w:sz w:val="20"/>
                <w:szCs w:val="20"/>
                <w:color w:val="auto"/>
              </w:rPr>
            </w:pPr>
            <w:r>
              <w:rPr>
                <w:rFonts w:ascii="Arial" w:cs="Arial" w:eastAsia="Arial" w:hAnsi="Arial"/>
                <w:sz w:val="14"/>
                <w:szCs w:val="14"/>
                <w:b w:val="1"/>
                <w:bCs w:val="1"/>
                <w:color w:val="auto"/>
                <w:w w:val="95"/>
              </w:rPr>
              <w:t>October 1,</w:t>
            </w:r>
          </w:p>
        </w:tc>
      </w:tr>
      <w:tr>
        <w:trPr>
          <w:trHeight w:val="191"/>
        </w:trPr>
        <w:tc>
          <w:tcPr>
            <w:tcW w:w="8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r>
      <w:tr>
        <w:trPr>
          <w:trHeight w:val="189"/>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left="826"/>
              <w:spacing w:after="0"/>
              <w:rPr>
                <w:sz w:val="20"/>
                <w:szCs w:val="20"/>
                <w:color w:val="auto"/>
              </w:rPr>
            </w:pPr>
            <w:r>
              <w:rPr>
                <w:rFonts w:ascii="Arial" w:cs="Arial" w:eastAsia="Arial" w:hAnsi="Arial"/>
                <w:sz w:val="14"/>
                <w:szCs w:val="14"/>
                <w:i w:val="1"/>
                <w:iCs w:val="1"/>
                <w:color w:val="auto"/>
                <w:w w:val="96"/>
              </w:rPr>
              <w:t>($ in millions)</w:t>
            </w:r>
          </w:p>
        </w:tc>
        <w:tc>
          <w:tcPr>
            <w:tcW w:w="1140" w:type="dxa"/>
            <w:vAlign w:val="bottom"/>
          </w:tcPr>
          <w:p>
            <w:pPr>
              <w:spacing w:after="0"/>
              <w:rPr>
                <w:sz w:val="16"/>
                <w:szCs w:val="16"/>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84</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704</w:t>
            </w:r>
          </w:p>
        </w:tc>
      </w:tr>
      <w:tr>
        <w:trPr>
          <w:trHeight w:val="208"/>
        </w:trPr>
        <w:tc>
          <w:tcPr>
            <w:tcW w:w="8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360" w:type="dxa"/>
            <w:vAlign w:val="bottom"/>
          </w:tcPr>
          <w:p>
            <w:pPr>
              <w:ind w:left="960"/>
              <w:spacing w:after="0"/>
              <w:rPr>
                <w:sz w:val="20"/>
                <w:szCs w:val="20"/>
                <w:color w:val="auto"/>
              </w:rPr>
            </w:pPr>
            <w:r>
              <w:rPr>
                <w:rFonts w:ascii="Arial" w:cs="Arial" w:eastAsia="Arial" w:hAnsi="Arial"/>
                <w:sz w:val="16"/>
                <w:szCs w:val="16"/>
                <w:color w:val="auto"/>
              </w:rPr>
              <w:t>57</w:t>
            </w:r>
          </w:p>
        </w:tc>
        <w:tc>
          <w:tcPr>
            <w:tcW w:w="460" w:type="dxa"/>
            <w:vAlign w:val="bottom"/>
          </w:tcPr>
          <w:p>
            <w:pPr>
              <w:spacing w:after="0"/>
              <w:rPr>
                <w:sz w:val="18"/>
                <w:szCs w:val="18"/>
                <w:color w:val="auto"/>
              </w:rPr>
            </w:pP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94</w:t>
            </w: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68 %</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-535305</wp:posOffset>
            </wp:positionV>
            <wp:extent cx="67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ind w:right="160" w:firstLine="316"/>
        <w:spacing w:after="0" w:line="234" w:lineRule="auto"/>
        <w:rPr>
          <w:sz w:val="20"/>
          <w:szCs w:val="20"/>
          <w:color w:val="auto"/>
        </w:rPr>
      </w:pPr>
      <w:r>
        <w:rPr>
          <w:rFonts w:ascii="Arial" w:cs="Arial" w:eastAsia="Arial" w:hAnsi="Arial"/>
          <w:sz w:val="18"/>
          <w:szCs w:val="18"/>
          <w:color w:val="auto"/>
        </w:rPr>
        <w:t>Beginning in fiscal year 2023, the 2017 Act requires the Company to capitalize and amortize research and development expenses rather than expensing them in the year incurred. The tax effects related to the capitalization of research and development expenses are included in the effective tax rate for the three months ended September 30, 2022. This impact, together with the relative mix of earnings and losses by jurisdiction, the deduction for foreign derived intangible income, credits, and tax holidays in Malaysia, the Philippines and Thailand that will expire at various dates during fiscal years 2024 through 2031 are the primary drivers of the difference between the effective tax rate for the three months ended September 30, 2022 and the U.S. Federal statutory rate of 21%.</w:t>
      </w:r>
    </w:p>
    <w:p>
      <w:pPr>
        <w:spacing w:after="0" w:line="227" w:lineRule="exact"/>
        <w:rPr>
          <w:sz w:val="20"/>
          <w:szCs w:val="20"/>
          <w:color w:val="auto"/>
        </w:rPr>
      </w:pPr>
    </w:p>
    <w:p>
      <w:pPr>
        <w:ind w:right="80" w:firstLine="316"/>
        <w:spacing w:after="0" w:line="292" w:lineRule="auto"/>
        <w:rPr>
          <w:sz w:val="20"/>
          <w:szCs w:val="20"/>
          <w:color w:val="auto"/>
        </w:rPr>
      </w:pPr>
      <w:r>
        <w:rPr>
          <w:rFonts w:ascii="Arial" w:cs="Arial" w:eastAsia="Arial" w:hAnsi="Arial"/>
          <w:sz w:val="16"/>
          <w:szCs w:val="16"/>
          <w:color w:val="auto"/>
        </w:rPr>
        <w:t>The primary drivers of the difference between the effective tax rate for the three months ended October 1, 2021 and the U.S. Federal statutory rate of 21% are the relative mix of earnings and losses by jurisdiction, the deduction for foreign derived intangible income, credits, and tax holidays in Malaysia, the Philippines and Thailand. In addition, the effective tax rate for the three months ended October 1, 2021 included the discrete effect of an increase to unrecognized tax benefits of $16 million as a result of ongoing discussions with various taxing authorities.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Uncertain Tax Positions</w:t>
      </w:r>
    </w:p>
    <w:p>
      <w:pPr>
        <w:spacing w:after="0" w:line="241" w:lineRule="exact"/>
        <w:rPr>
          <w:sz w:val="20"/>
          <w:szCs w:val="20"/>
          <w:color w:val="auto"/>
        </w:rPr>
      </w:pPr>
    </w:p>
    <w:p>
      <w:pPr>
        <w:ind w:right="340" w:firstLine="316"/>
        <w:spacing w:after="0" w:line="262"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80" w:firstLine="316"/>
        <w:spacing w:after="0" w:line="262" w:lineRule="auto"/>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 for the three months ended September 30, 2022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1, 2022</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r>
      <w:tr>
        <w:trPr>
          <w:trHeight w:val="214"/>
        </w:trPr>
        <w:tc>
          <w:tcPr>
            <w:tcW w:w="9700" w:type="dxa"/>
            <w:vAlign w:val="bottom"/>
          </w:tcPr>
          <w:p>
            <w:pPr>
              <w:ind w:left="220"/>
              <w:spacing w:after="0"/>
              <w:rPr>
                <w:sz w:val="20"/>
                <w:szCs w:val="20"/>
                <w:color w:val="auto"/>
              </w:rPr>
            </w:pPr>
            <w:r>
              <w:rPr>
                <w:rFonts w:ascii="Arial" w:cs="Arial" w:eastAsia="Arial" w:hAnsi="Arial"/>
                <w:sz w:val="16"/>
                <w:szCs w:val="16"/>
                <w:color w:val="auto"/>
              </w:rPr>
              <w:t>Gross increases related to current year tax positions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decreases related to prior year tax positions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4"/>
        </w:trPr>
        <w:tc>
          <w:tcPr>
            <w:tcW w:w="9700" w:type="dxa"/>
            <w:vAlign w:val="bottom"/>
          </w:tcPr>
          <w:p>
            <w:pPr>
              <w:ind w:left="220"/>
              <w:spacing w:after="0"/>
              <w:rPr>
                <w:sz w:val="20"/>
                <w:szCs w:val="20"/>
                <w:color w:val="auto"/>
              </w:rPr>
            </w:pPr>
            <w:r>
              <w:rPr>
                <w:rFonts w:ascii="Arial" w:cs="Arial" w:eastAsia="Arial" w:hAnsi="Arial"/>
                <w:sz w:val="16"/>
                <w:szCs w:val="16"/>
                <w:color w:val="auto"/>
              </w:rPr>
              <w:t>Settlements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Lapse of statute of limitations</w:t>
            </w: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1"/>
        </w:trPr>
        <w:tc>
          <w:tcPr>
            <w:tcW w:w="9700" w:type="dxa"/>
            <w:vAlign w:val="bottom"/>
          </w:tcPr>
          <w:p>
            <w:pPr>
              <w:ind w:left="20"/>
              <w:spacing w:after="0"/>
              <w:rPr>
                <w:sz w:val="20"/>
                <w:szCs w:val="20"/>
                <w:color w:val="auto"/>
              </w:rPr>
            </w:pPr>
            <w:r>
              <w:rPr>
                <w:rFonts w:ascii="Arial" w:cs="Arial" w:eastAsia="Arial" w:hAnsi="Arial"/>
                <w:sz w:val="16"/>
                <w:szCs w:val="16"/>
                <w:color w:val="auto"/>
              </w:rPr>
              <w:t>Accrual balance at September 30, 2022</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r>
      <w:tr>
        <w:trPr>
          <w:trHeight w:val="26"/>
        </w:trPr>
        <w:tc>
          <w:tcPr>
            <w:tcW w:w="9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17" w:lineRule="exact"/>
        <w:rPr>
          <w:sz w:val="20"/>
          <w:szCs w:val="20"/>
          <w:color w:val="auto"/>
        </w:rPr>
      </w:pPr>
    </w:p>
    <w:p>
      <w:pPr>
        <w:ind w:right="260" w:firstLine="316"/>
        <w:spacing w:after="0" w:line="292" w:lineRule="auto"/>
        <w:rPr>
          <w:sz w:val="20"/>
          <w:szCs w:val="20"/>
          <w:color w:val="auto"/>
        </w:rPr>
      </w:pPr>
      <w:r>
        <w:rPr>
          <w:rFonts w:ascii="Arial" w:cs="Arial" w:eastAsia="Arial" w:hAnsi="Arial"/>
          <w:sz w:val="16"/>
          <w:szCs w:val="16"/>
          <w:color w:val="auto"/>
        </w:rPr>
        <w:t>As of September 30, 2022, the liability for unrecognized tax benefits (excluding accrued interest and penalties) was $1.03 billion.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September 30, 2022 was $264 million. Of these amounts, approximately $1.15 billion could result in potential cash payments.</w:t>
      </w:r>
    </w:p>
    <w:p>
      <w:pPr>
        <w:spacing w:after="0" w:line="186" w:lineRule="exact"/>
        <w:rPr>
          <w:sz w:val="20"/>
          <w:szCs w:val="20"/>
          <w:color w:val="auto"/>
        </w:rPr>
      </w:pPr>
    </w:p>
    <w:p>
      <w:pPr>
        <w:ind w:right="160" w:firstLine="316"/>
        <w:spacing w:after="0" w:line="278" w:lineRule="auto"/>
        <w:rPr>
          <w:sz w:val="20"/>
          <w:szCs w:val="20"/>
          <w:color w:val="auto"/>
        </w:rPr>
      </w:pPr>
      <w:r>
        <w:rPr>
          <w:rFonts w:ascii="Arial" w:cs="Arial" w:eastAsia="Arial" w:hAnsi="Arial"/>
          <w:sz w:val="16"/>
          <w:szCs w:val="16"/>
          <w:color w:val="auto"/>
        </w:rPr>
        <w:t>As previously disclosed, the IRS issued statutory notices of deficiency and notices of proposed adjustments with respect to transfer pricing with the Company’s foreign subsidiaries and intercompany payable balances for years 2008 through 2015. In September 2018 and March 2019, the Company filed petitions with the U.S. Tax Court covering years 2008 through 2012, for which it had received statutory notices of deficiency, while years 2013 through 2015 remain in the jurisdiction of the IRS’s Examination function. The IRS has filed various Amendments to Answer with the U.S. Tax Court which, together with the notices of proposed adjustments, would result in additional federal income tax liabilities totaling approximately $1.6 billion and penalties totaling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$449 million with respect to years 2008 through 2015. In May 2022, the Company and the IRS tentatively reached a settlement for resolving the statutory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notices of deficiency and notices of proposed adjustments with respect to years 2008 through 2015 subject to the parties entering into final stipulations and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closing agreement. Based on the tentative settlement for resolution, the Company expects to pay tax and interest totaling approximately $600 million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$700 million, which the Company expects to be partially offset by future reductions to its mandatory deemed repatriation tax obligations and tax savings from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interest deductions aggregating to approximately $100 million to $150 million. While the Company continues to work with the IRS to come to a final</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agreement on the federal tax and interest calculations, the Company is uncertain as to when a final agreement will be reached and the exact timing of when 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payments will be made. However, the Company believes it is reasonably likely that these payments may be made within the next twelve months and have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classified that portion of these unrecognized tax benefits, including interest in Income taxes payable on its Condensed Consolidated Balance Sheets as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This classification and amount may be subject to change in the next twelve months depending on when the Company is able to reach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final agreement with the IRS.</w:t>
      </w:r>
    </w:p>
    <w:p>
      <w:pPr>
        <w:spacing w:after="0" w:line="230"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Net Income Per Common Share</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computation of basic and diluted income per common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180" w:type="dxa"/>
            <w:vAlign w:val="bottom"/>
          </w:tcPr>
          <w:p>
            <w:pPr>
              <w:jc w:val="right"/>
              <w:ind w:right="323"/>
              <w:spacing w:after="0" w:line="129" w:lineRule="exact"/>
              <w:rPr>
                <w:sz w:val="20"/>
                <w:szCs w:val="20"/>
                <w:color w:val="auto"/>
              </w:rPr>
            </w:pPr>
            <w:r>
              <w:rPr>
                <w:rFonts w:ascii="Arial" w:cs="Arial" w:eastAsia="Arial" w:hAnsi="Arial"/>
                <w:sz w:val="14"/>
                <w:szCs w:val="14"/>
                <w:b w:val="1"/>
                <w:bCs w:val="1"/>
                <w:color w:val="auto"/>
              </w:rPr>
              <w:t>October 1,</w:t>
            </w:r>
          </w:p>
        </w:tc>
        <w:tc>
          <w:tcPr>
            <w:tcW w:w="0" w:type="dxa"/>
            <w:vAlign w:val="bottom"/>
          </w:tcPr>
          <w:p>
            <w:pPr>
              <w:spacing w:after="0"/>
              <w:rPr>
                <w:sz w:val="1"/>
                <w:szCs w:val="1"/>
                <w:color w:val="auto"/>
              </w:rPr>
            </w:pP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423"/>
              <w:spacing w:after="0"/>
              <w:rPr>
                <w:sz w:val="20"/>
                <w:szCs w:val="20"/>
                <w:color w:val="auto"/>
              </w:rPr>
            </w:pPr>
            <w:r>
              <w:rPr>
                <w:rFonts w:ascii="Arial" w:cs="Arial" w:eastAsia="Arial" w:hAnsi="Arial"/>
                <w:sz w:val="14"/>
                <w:szCs w:val="14"/>
                <w:i w:val="1"/>
                <w:iCs w:val="1"/>
                <w:color w:val="auto"/>
              </w:rPr>
              <w:t>(in millions, except per share data)</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Employee stock options, RSUs, PSUs, and ESPP</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3"/>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potential common shares excluded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-1381125</wp:posOffset>
            </wp:positionV>
            <wp:extent cx="67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three months ended September 30, 2022 and October 1, 2021, the Company excluded common shares subject to outstanding equity awards from the calculation of diluted shares because their impact would have been anti-dilutive based on the Company’s average stock price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Realignment</w:t>
      </w:r>
    </w:p>
    <w:p>
      <w:pPr>
        <w:spacing w:after="0" w:line="241"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The Company recorded the following charges related to these actions: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1"/>
                <w:szCs w:val="11"/>
                <w:color w:val="auto"/>
              </w:rPr>
            </w:pPr>
          </w:p>
        </w:tc>
        <w:tc>
          <w:tcPr>
            <w:tcW w:w="1080" w:type="dxa"/>
            <w:vAlign w:val="bottom"/>
          </w:tcPr>
          <w:p>
            <w:pPr>
              <w:jc w:val="right"/>
              <w:ind w:right="324"/>
              <w:spacing w:after="0" w:line="129" w:lineRule="exact"/>
              <w:rPr>
                <w:sz w:val="20"/>
                <w:szCs w:val="20"/>
                <w:color w:val="auto"/>
              </w:rPr>
            </w:pPr>
            <w:r>
              <w:rPr>
                <w:rFonts w:ascii="Arial" w:cs="Arial" w:eastAsia="Arial" w:hAnsi="Arial"/>
                <w:sz w:val="14"/>
                <w:szCs w:val="14"/>
                <w:b w:val="1"/>
                <w:bCs w:val="1"/>
                <w:color w:val="auto"/>
                <w:w w:val="95"/>
              </w:rPr>
              <w:t>October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termination benefits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8"/>
        </w:trPr>
        <w:tc>
          <w:tcPr>
            <w:tcW w:w="8280" w:type="dxa"/>
            <w:vAlign w:val="bottom"/>
          </w:tcPr>
          <w:p>
            <w:pPr>
              <w:ind w:left="40"/>
              <w:spacing w:after="0"/>
              <w:rPr>
                <w:sz w:val="20"/>
                <w:szCs w:val="20"/>
                <w:color w:val="auto"/>
              </w:rPr>
            </w:pPr>
            <w:r>
              <w:rPr>
                <w:rFonts w:ascii="Arial" w:cs="Arial" w:eastAsia="Arial" w:hAnsi="Arial"/>
                <w:sz w:val="16"/>
                <w:szCs w:val="16"/>
                <w:color w:val="auto"/>
              </w:rPr>
              <w:t>Asset impairments and losses on disposal of assets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82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employee termination, asset impairment, and other charges</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an analysis of the components of these activities against the reserve during the three months ended September 30,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Employee Termination</w:t>
            </w:r>
          </w:p>
        </w:tc>
      </w:tr>
      <w:tr>
        <w:trPr>
          <w:trHeight w:val="191"/>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6"/>
              </w:rPr>
              <w:t>Benefits</w:t>
            </w:r>
          </w:p>
        </w:tc>
      </w:tr>
      <w:tr>
        <w:trPr>
          <w:trHeight w:val="189"/>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4"/>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1, 2022</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844"/>
              <w:spacing w:after="0"/>
              <w:rPr>
                <w:sz w:val="20"/>
                <w:szCs w:val="20"/>
                <w:color w:val="auto"/>
              </w:rPr>
            </w:pPr>
            <w:r>
              <w:rPr>
                <w:rFonts w:ascii="Arial" w:cs="Arial" w:eastAsia="Arial" w:hAnsi="Arial"/>
                <w:sz w:val="16"/>
                <w:szCs w:val="16"/>
                <w:color w:val="auto"/>
                <w:w w:val="89"/>
              </w:rPr>
              <w:t>17</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200" w:type="dxa"/>
            <w:vAlign w:val="bottom"/>
          </w:tcPr>
          <w:p>
            <w:pPr>
              <w:jc w:val="center"/>
              <w:ind w:left="844"/>
              <w:spacing w:after="0"/>
              <w:rPr>
                <w:sz w:val="20"/>
                <w:szCs w:val="20"/>
                <w:color w:val="auto"/>
              </w:rPr>
            </w:pPr>
            <w:r>
              <w:rPr>
                <w:rFonts w:ascii="Arial" w:cs="Arial" w:eastAsia="Arial" w:hAnsi="Arial"/>
                <w:sz w:val="16"/>
                <w:szCs w:val="16"/>
                <w:color w:val="auto"/>
                <w:w w:val="89"/>
              </w:rPr>
              <w:t>24</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824"/>
              <w:spacing w:after="0"/>
              <w:rPr>
                <w:sz w:val="20"/>
                <w:szCs w:val="20"/>
                <w:color w:val="auto"/>
              </w:rPr>
            </w:pPr>
            <w:r>
              <w:rPr>
                <w:rFonts w:ascii="Arial" w:cs="Arial" w:eastAsia="Arial" w:hAnsi="Arial"/>
                <w:sz w:val="16"/>
                <w:szCs w:val="16"/>
                <w:color w:val="auto"/>
                <w:w w:val="91"/>
              </w:rPr>
              <w:t>(28)</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Accrual balance at September 30, 2022</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844"/>
              <w:spacing w:after="0"/>
              <w:rPr>
                <w:sz w:val="20"/>
                <w:szCs w:val="20"/>
                <w:color w:val="auto"/>
              </w:rPr>
            </w:pPr>
            <w:r>
              <w:rPr>
                <w:rFonts w:ascii="Arial" w:cs="Arial" w:eastAsia="Arial" w:hAnsi="Arial"/>
                <w:sz w:val="16"/>
                <w:szCs w:val="16"/>
                <w:color w:val="auto"/>
                <w:w w:val="89"/>
              </w:rPr>
              <w:t>13</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400" w:right="266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w:t>
      </w:r>
    </w:p>
    <w:p>
      <w:pPr>
        <w:spacing w:after="0" w:line="228" w:lineRule="exact"/>
        <w:rPr>
          <w:sz w:val="20"/>
          <w:szCs w:val="20"/>
          <w:color w:val="auto"/>
        </w:rPr>
      </w:pPr>
    </w:p>
    <w:p>
      <w:pPr>
        <w:jc w:val="both"/>
        <w:ind w:right="20" w:firstLine="316"/>
        <w:spacing w:after="0" w:line="283" w:lineRule="auto"/>
        <w:rPr>
          <w:sz w:val="20"/>
          <w:szCs w:val="20"/>
          <w:color w:val="auto"/>
        </w:rPr>
      </w:pPr>
      <w:r>
        <w:rPr>
          <w:rFonts w:ascii="Arial" w:cs="Arial" w:eastAsia="Arial" w:hAnsi="Arial"/>
          <w:sz w:val="16"/>
          <w:szCs w:val="16"/>
          <w:color w:val="auto"/>
        </w:rPr>
        <w:t xml:space="preserve">For disclosures regarding statutory notices of deficiency issued by the IRS on June 28, 2018 and December 10, 2018, petitions filed by the Company with the U.S. Tax Court in September 2018 and March 2019, additional penalties asserted by the IRS in March 2021 and further Amendments to Answers filed by the IRS in June 2021 and January 2022, and a tentative resolution with respect to certain matters, see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Matters</w:t>
      </w:r>
    </w:p>
    <w:p>
      <w:pPr>
        <w:spacing w:after="0" w:line="241" w:lineRule="exact"/>
        <w:rPr>
          <w:sz w:val="20"/>
          <w:szCs w:val="20"/>
          <w:color w:val="auto"/>
        </w:rPr>
      </w:pPr>
    </w:p>
    <w:p>
      <w:pPr>
        <w:ind w:firstLine="316"/>
        <w:spacing w:after="0" w:line="249"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47" w:lineRule="exact"/>
        <w:rPr>
          <w:sz w:val="20"/>
          <w:szCs w:val="20"/>
          <w:color w:val="auto"/>
        </w:rPr>
      </w:pPr>
    </w:p>
    <w:p>
      <w:pPr>
        <w:ind w:right="140" w:firstLine="316"/>
        <w:spacing w:after="0" w:line="214"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1, 2022. See also “Forward-Looking Statements” immediately prior to Part I, Item 1 in this Quarterly Report on Form 10-Q.</w:t>
      </w:r>
    </w:p>
    <w:p>
      <w:pPr>
        <w:spacing w:after="0" w:line="227"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7"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We are on a mission to unlock the potential of data by harnessing the possibility to use it. We are a leading developer, manufacturer, and provider of data storage devices based on both flash-based products (“Flash”) and hard disk drives (“HDD”) technologies. With dedicated business units driving advancements in NAND flash and magnetic recording technologies, we create and drive innovations needed to help customers capture, preserve, access, and transform an ever-increasing diversity of data.</w:t>
      </w:r>
    </w:p>
    <w:p>
      <w:pPr>
        <w:spacing w:after="0" w:line="219" w:lineRule="exact"/>
        <w:rPr>
          <w:sz w:val="20"/>
          <w:szCs w:val="20"/>
          <w:color w:val="auto"/>
        </w:rPr>
      </w:pPr>
    </w:p>
    <w:p>
      <w:pPr>
        <w:ind w:right="40" w:firstLine="316"/>
        <w:spacing w:after="0" w:line="253"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years 2023, which ends on June 30, 2023, and 2022, which ended on July 1, 2022, are each comprised of 52 weeks, with all quarters presented consisting of 13 weeks.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Strategic Alternatives</w:t>
      </w:r>
    </w:p>
    <w:p>
      <w:pPr>
        <w:spacing w:after="0" w:line="228" w:lineRule="exact"/>
        <w:rPr>
          <w:sz w:val="20"/>
          <w:szCs w:val="20"/>
          <w:color w:val="auto"/>
        </w:rPr>
      </w:pPr>
    </w:p>
    <w:p>
      <w:pPr>
        <w:ind w:right="140" w:firstLine="316"/>
        <w:spacing w:after="0" w:line="287" w:lineRule="auto"/>
        <w:rPr>
          <w:sz w:val="20"/>
          <w:szCs w:val="20"/>
          <w:color w:val="auto"/>
        </w:rPr>
      </w:pPr>
      <w:r>
        <w:rPr>
          <w:rFonts w:ascii="Arial" w:cs="Arial" w:eastAsia="Arial" w:hAnsi="Arial"/>
          <w:sz w:val="16"/>
          <w:szCs w:val="16"/>
          <w:color w:val="auto"/>
        </w:rPr>
        <w:t>In June 2022, we announced that we are reviewing potential strategic alternatives aimed at further optimizing long-term value for stockholders. The Executive Committee of our Board of Directors is overseeing the assessment process and evaluating a range of alternatives, including options for separating our Flash and HDD business units. In conjunction with that review process, we announced that we had entered into a letter agreement with Elliott Investment Management L.P., which had disclosed in May 2022 a $1 billion investment in our Company and called for a full strategic review of our business. As of September 30, 2022, we are still actively working with financial advisors and our legal counsel in this strategic review process.</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 Resolution</w:t>
      </w:r>
    </w:p>
    <w:p>
      <w:pPr>
        <w:spacing w:after="0" w:line="241"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 xml:space="preserve">As previously disclosed, we have received statutory notices of deficiency and notices of proposed adjustments from the Internal Revenue Service (“IRS”) with respect to 2008 through 2015. During 2022, new information became available which required us to re-measure our unrecognized tax benefits for this IRS matter. Additionally, during 2022, we and the IRS tentatively reached a settlement for resolving this matter. Additional information is provided in our discussion of Income tax expense in our results of operations below, as well as in Part I, Item 1,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the Condensed Consolidated Financial Statements, and in the “Short- and Long-Term Liquidity-Unrecognized Tax Benefits” section below.</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Operational and COVID-19 Pandemic Update</w:t>
      </w:r>
    </w:p>
    <w:p>
      <w:pPr>
        <w:spacing w:after="0" w:line="241" w:lineRule="exact"/>
        <w:rPr>
          <w:sz w:val="20"/>
          <w:szCs w:val="20"/>
          <w:color w:val="auto"/>
        </w:rPr>
      </w:pPr>
    </w:p>
    <w:p>
      <w:pPr>
        <w:ind w:right="260" w:firstLine="316"/>
        <w:spacing w:after="0" w:line="249" w:lineRule="auto"/>
        <w:rPr>
          <w:sz w:val="20"/>
          <w:szCs w:val="20"/>
          <w:color w:val="auto"/>
        </w:rPr>
      </w:pPr>
      <w:r>
        <w:rPr>
          <w:rFonts w:ascii="Arial" w:cs="Arial" w:eastAsia="Arial" w:hAnsi="Arial"/>
          <w:sz w:val="18"/>
          <w:szCs w:val="18"/>
          <w:color w:val="auto"/>
        </w:rPr>
        <w:t>Macroeconomic factors such as inflation, higher interest rates and recession concerns have softened demand for our products, with certain customers reducing purchases as they adjust their production levels and right-size their inventories. As a result, we and our industry are experiencing a supply-demand imbalance, which has negatively impacted pricing, particularly in Flash and is expected to result in reduced shipments and increased absorption charges in HDD in future quarters. However, we believe digital transformation will continue to drive long-term growth for data storage across all three of our end markets.</w:t>
      </w:r>
    </w:p>
    <w:p>
      <w:pPr>
        <w:spacing w:after="0" w:line="219" w:lineRule="exact"/>
        <w:rPr>
          <w:sz w:val="20"/>
          <w:szCs w:val="20"/>
          <w:color w:val="auto"/>
        </w:rPr>
      </w:pPr>
    </w:p>
    <w:p>
      <w:pPr>
        <w:ind w:right="340" w:firstLine="316"/>
        <w:spacing w:after="0" w:line="253" w:lineRule="auto"/>
        <w:rPr>
          <w:sz w:val="20"/>
          <w:szCs w:val="20"/>
          <w:color w:val="auto"/>
        </w:rPr>
      </w:pPr>
      <w:r>
        <w:rPr>
          <w:rFonts w:ascii="Arial" w:cs="Arial" w:eastAsia="Arial" w:hAnsi="Arial"/>
          <w:sz w:val="18"/>
          <w:szCs w:val="18"/>
          <w:color w:val="auto"/>
        </w:rPr>
        <w:t>We believe we have made significant progress in strengthening our product portfolio to meet our customers’ growing and evolving storage needs. Our BiCS5 based products continue to play a significant role in driving top line results across our end markets. Additionally, hard drive products utilizing OptiNAND and shingled magnetic recording (“SMR”) technologies have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commenced commercial shipments and our latest 26-terabyte SMR drives are undergoing qualifications at multiple cloud and OEM customers. We continued commercial shipment of consumer flash devices based on our next generation 3D-flash technology, but are pushing out our BiCS6 transition as compared to prior targets to reduce our capital expenditures for 2023 in light of market conditions. We are also aware of the ongoing trends in the HDD Client market as PCs shift from using HDD to Flash technology and as a result, we have and are still undergoing actions to restructure our HDD manufacturing footprint to reflect this market dynamic, including a sharp reduction in our client hard drive production capacity of approximately 40%.</w:t>
      </w:r>
    </w:p>
    <w:p>
      <w:pPr>
        <w:spacing w:after="0" w:line="192" w:lineRule="exact"/>
        <w:rPr>
          <w:sz w:val="20"/>
          <w:szCs w:val="20"/>
          <w:color w:val="auto"/>
        </w:rPr>
      </w:pPr>
    </w:p>
    <w:p>
      <w:pPr>
        <w:ind w:firstLine="316"/>
        <w:spacing w:after="0" w:line="253" w:lineRule="auto"/>
        <w:rPr>
          <w:sz w:val="20"/>
          <w:szCs w:val="20"/>
          <w:color w:val="auto"/>
        </w:rPr>
      </w:pPr>
      <w:r>
        <w:rPr>
          <w:rFonts w:ascii="Arial" w:cs="Arial" w:eastAsia="Arial" w:hAnsi="Arial"/>
          <w:sz w:val="18"/>
          <w:szCs w:val="18"/>
          <w:color w:val="auto"/>
        </w:rPr>
        <w:t>The COVID-19 environment remains dynamic with outbreaks in various geographies. The responses to COVID-19 taken by ourselves and others in the supply chain have contributed to increases in the costs of their services which in turn impacted our operations, but these costs have now been normalized in our operating results.</w:t>
      </w:r>
    </w:p>
    <w:p>
      <w:pPr>
        <w:spacing w:after="0" w:line="216"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 xml:space="preserve">We will continue to actively monitor the situation and may take further actions altering our business operations that we determine are in the best interests of our employees, customers, partners, suppliers, and stakeholders, or as required by federal, state, or local authorities. See “Adverse global or regional conditions could harm our business,” “The COVID-19 pandemic could negatively affect our business” and “We are dependent on a limited number of qualified suppliers who provide critical services, materials or components, and a disruption in our supply chain could negatively affect our business”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year ended July 1, 2022 for more information regarding the risks we face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macroeconomic conditions, the COVID-19 pandemic and supply chain disruptions.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Russia Sanctions</w:t>
      </w:r>
    </w:p>
    <w:p>
      <w:pPr>
        <w:spacing w:after="0" w:line="241"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In February 2022, the U.S. and other countries imposed sanctions on Russia. In accordance with these sanctions, we have ceased shipments to distributors for customers located in Russia. Our revenue from distributors for customers in Russia have not been significant. We have no material assets or operations in Russia.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First Quarter Overview</w:t>
      </w:r>
    </w:p>
    <w:p>
      <w:pPr>
        <w:spacing w:after="0" w:line="241" w:lineRule="exact"/>
        <w:rPr>
          <w:sz w:val="20"/>
          <w:szCs w:val="20"/>
          <w:color w:val="auto"/>
        </w:rPr>
      </w:pPr>
    </w:p>
    <w:p>
      <w:pPr>
        <w:ind w:right="220" w:firstLine="316"/>
        <w:spacing w:after="0" w:line="243"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3"/>
          </w:tcPr>
          <w:p>
            <w:pPr>
              <w:jc w:val="right"/>
              <w:ind w:right="561"/>
              <w:spacing w:after="0" w:line="13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060" w:type="dxa"/>
            <w:vAlign w:val="bottom"/>
            <w:gridSpan w:val="2"/>
          </w:tcPr>
          <w:p>
            <w:pPr>
              <w:jc w:val="center"/>
              <w:ind w:left="263"/>
              <w:spacing w:after="0" w:line="133" w:lineRule="exact"/>
              <w:rPr>
                <w:sz w:val="20"/>
                <w:szCs w:val="20"/>
                <w:color w:val="auto"/>
              </w:rPr>
            </w:pPr>
            <w:r>
              <w:rPr>
                <w:rFonts w:ascii="Arial" w:cs="Arial" w:eastAsia="Arial" w:hAnsi="Arial"/>
                <w:sz w:val="14"/>
                <w:szCs w:val="14"/>
                <w:b w:val="1"/>
                <w:bCs w:val="1"/>
                <w:color w:val="auto"/>
                <w:w w:val="92"/>
              </w:rPr>
              <w:t>October 1,</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w w:val="95"/>
              </w:rPr>
              <w:t>$ Change</w:t>
            </w:r>
          </w:p>
        </w:tc>
        <w:tc>
          <w:tcPr>
            <w:tcW w:w="10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841"/>
              <w:spacing w:after="0"/>
              <w:rPr>
                <w:sz w:val="20"/>
                <w:szCs w:val="20"/>
                <w:color w:val="auto"/>
              </w:rPr>
            </w:pPr>
            <w:r>
              <w:rPr>
                <w:rFonts w:ascii="Arial" w:cs="Arial" w:eastAsia="Arial" w:hAnsi="Arial"/>
                <w:sz w:val="14"/>
                <w:szCs w:val="14"/>
                <w:b w:val="1"/>
                <w:bCs w:val="1"/>
                <w:color w:val="auto"/>
                <w:w w:val="83"/>
              </w:rPr>
              <w:t>2022</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421"/>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12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100.0 %</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(1,315)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8"/>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73.7</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w:t>
            </w:r>
          </w:p>
        </w:tc>
        <w:tc>
          <w:tcPr>
            <w:tcW w:w="4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67.0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(631)</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26.3</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33.0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(684)</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4"/>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14.8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11.4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(26)</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w:t>
            </w:r>
          </w:p>
        </w:tc>
        <w:tc>
          <w:tcPr>
            <w:tcW w:w="1200" w:type="dxa"/>
            <w:vAlign w:val="bottom"/>
            <w:gridSpan w:val="2"/>
          </w:tcPr>
          <w:p>
            <w:pPr>
              <w:jc w:val="right"/>
              <w:ind w:right="221"/>
              <w:spacing w:after="0"/>
              <w:rPr>
                <w:sz w:val="20"/>
                <w:szCs w:val="20"/>
                <w:color w:val="auto"/>
              </w:rPr>
            </w:pPr>
            <w:r>
              <w:rPr>
                <w:rFonts w:ascii="Arial" w:cs="Arial" w:eastAsia="Arial" w:hAnsi="Arial"/>
                <w:sz w:val="16"/>
                <w:szCs w:val="16"/>
                <w:color w:val="auto"/>
              </w:rPr>
              <w:t>6.6</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291</w:t>
            </w:r>
          </w:p>
        </w:tc>
        <w:tc>
          <w:tcPr>
            <w:tcW w:w="480" w:type="dxa"/>
            <w:vAlign w:val="bottom"/>
          </w:tcPr>
          <w:p>
            <w:pPr>
              <w:spacing w:after="0"/>
              <w:rPr>
                <w:sz w:val="18"/>
                <w:szCs w:val="18"/>
                <w:color w:val="auto"/>
              </w:rPr>
            </w:pPr>
          </w:p>
        </w:tc>
        <w:tc>
          <w:tcPr>
            <w:tcW w:w="660" w:type="dxa"/>
            <w:vAlign w:val="bottom"/>
          </w:tcPr>
          <w:p>
            <w:pPr>
              <w:jc w:val="right"/>
              <w:ind w:right="161"/>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(44)</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w:t>
            </w: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1"/>
        </w:trPr>
        <w:tc>
          <w:tcPr>
            <w:tcW w:w="4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22.0</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4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17.6</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(64)</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15.4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(620)</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4"/>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96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1200" w:type="dxa"/>
            <w:vAlign w:val="bottom"/>
            <w:gridSpan w:val="2"/>
          </w:tcPr>
          <w:p>
            <w:pPr>
              <w:jc w:val="right"/>
              <w:ind w:right="181"/>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480" w:type="dxa"/>
            <w:vAlign w:val="bottom"/>
          </w:tcPr>
          <w:p>
            <w:pPr>
              <w:spacing w:after="0"/>
              <w:rPr>
                <w:sz w:val="18"/>
                <w:szCs w:val="18"/>
                <w:color w:val="auto"/>
              </w:rPr>
            </w:pPr>
          </w:p>
        </w:tc>
        <w:tc>
          <w:tcPr>
            <w:tcW w:w="660" w:type="dxa"/>
            <w:vAlign w:val="bottom"/>
          </w:tcPr>
          <w:p>
            <w:pPr>
              <w:jc w:val="right"/>
              <w:ind w:right="141"/>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8</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4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1"/>
        </w:trPr>
        <w:tc>
          <w:tcPr>
            <w:tcW w:w="4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4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(620)</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8"/>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4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(37)</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0.7 %</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(583)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ectPr>
          <w:pgSz w:w="11900" w:h="16838" w:orient="portrait"/>
          <w:cols w:equalWidth="0" w:num="1">
            <w:col w:w="11180"/>
          </w:cols>
          <w:pgMar w:left="320" w:top="12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for the periods presented, a summary of our segment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7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1"/>
                <w:szCs w:val="11"/>
                <w:color w:val="auto"/>
              </w:rPr>
            </w:pPr>
          </w:p>
        </w:tc>
        <w:tc>
          <w:tcPr>
            <w:tcW w:w="1120" w:type="dxa"/>
            <w:vAlign w:val="bottom"/>
          </w:tcPr>
          <w:p>
            <w:pPr>
              <w:jc w:val="right"/>
              <w:ind w:right="342"/>
              <w:spacing w:after="0" w:line="129" w:lineRule="exact"/>
              <w:rPr>
                <w:sz w:val="20"/>
                <w:szCs w:val="20"/>
                <w:color w:val="auto"/>
              </w:rPr>
            </w:pPr>
            <w:r>
              <w:rPr>
                <w:rFonts w:ascii="Arial" w:cs="Arial" w:eastAsia="Arial" w:hAnsi="Arial"/>
                <w:sz w:val="14"/>
                <w:szCs w:val="14"/>
                <w:b w:val="1"/>
                <w:bCs w:val="1"/>
                <w:color w:val="auto"/>
                <w:w w:val="98"/>
              </w:rPr>
              <w:t>October 1,</w:t>
            </w:r>
          </w:p>
        </w:tc>
      </w:tr>
      <w:tr>
        <w:trPr>
          <w:trHeight w:val="189"/>
        </w:trPr>
        <w:tc>
          <w:tcPr>
            <w:tcW w:w="7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r>
      <w:tr>
        <w:trPr>
          <w:trHeight w:val="187"/>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1120" w:type="dxa"/>
            <w:vAlign w:val="bottom"/>
          </w:tcPr>
          <w:p>
            <w:pPr>
              <w:spacing w:after="0"/>
              <w:rPr>
                <w:sz w:val="16"/>
                <w:szCs w:val="16"/>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780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3"/>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2,490</w:t>
            </w:r>
          </w:p>
        </w:tc>
      </w:tr>
      <w:tr>
        <w:trPr>
          <w:trHeight w:val="214"/>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2,561</w:t>
            </w:r>
          </w:p>
        </w:tc>
      </w:tr>
      <w:tr>
        <w:trPr>
          <w:trHeight w:val="201"/>
        </w:trPr>
        <w:tc>
          <w:tcPr>
            <w:tcW w:w="780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5,051</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8"/>
        </w:trPr>
        <w:tc>
          <w:tcPr>
            <w:tcW w:w="780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3"/>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921</w:t>
            </w:r>
          </w:p>
        </w:tc>
      </w:tr>
      <w:tr>
        <w:trPr>
          <w:trHeight w:val="214"/>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792</w:t>
            </w:r>
          </w:p>
        </w:tc>
      </w:tr>
      <w:tr>
        <w:trPr>
          <w:trHeight w:val="188"/>
        </w:trPr>
        <w:tc>
          <w:tcPr>
            <w:tcW w:w="7800" w:type="dxa"/>
            <w:vAlign w:val="bottom"/>
          </w:tcPr>
          <w:p>
            <w:pPr>
              <w:ind w:left="120"/>
              <w:spacing w:after="0"/>
              <w:rPr>
                <w:sz w:val="20"/>
                <w:szCs w:val="20"/>
                <w:color w:val="auto"/>
              </w:rPr>
            </w:pPr>
            <w:r>
              <w:rPr>
                <w:rFonts w:ascii="Arial" w:cs="Arial" w:eastAsia="Arial" w:hAnsi="Arial"/>
                <w:sz w:val="16"/>
                <w:szCs w:val="16"/>
                <w:color w:val="auto"/>
              </w:rPr>
              <w:t>Unallocated corporate items: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4"/>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w:t>
            </w:r>
          </w:p>
        </w:tc>
      </w:tr>
      <w:tr>
        <w:trPr>
          <w:trHeight w:val="208"/>
        </w:trPr>
        <w:tc>
          <w:tcPr>
            <w:tcW w:w="7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(39)</w:t>
            </w:r>
          </w:p>
        </w:tc>
      </w:tr>
      <w:tr>
        <w:trPr>
          <w:trHeight w:val="208"/>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unallocated corporate items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(48)</w:t>
            </w:r>
          </w:p>
        </w:tc>
      </w:tr>
      <w:tr>
        <w:trPr>
          <w:trHeight w:val="201"/>
        </w:trPr>
        <w:tc>
          <w:tcPr>
            <w:tcW w:w="7800" w:type="dxa"/>
            <w:vAlign w:val="bottom"/>
          </w:tcPr>
          <w:p>
            <w:pPr>
              <w:ind w:left="440"/>
              <w:spacing w:after="0"/>
              <w:rPr>
                <w:sz w:val="20"/>
                <w:szCs w:val="20"/>
                <w:color w:val="auto"/>
              </w:rPr>
            </w:pPr>
            <w:r>
              <w:rPr>
                <w:rFonts w:ascii="Arial" w:cs="Arial" w:eastAsia="Arial" w:hAnsi="Arial"/>
                <w:sz w:val="16"/>
                <w:szCs w:val="16"/>
                <w:color w:val="auto"/>
              </w:rPr>
              <w:t>Consolidated gross profit</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1,665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margin:</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8"/>
        </w:trPr>
        <w:tc>
          <w:tcPr>
            <w:tcW w:w="780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37.0 %</w:t>
            </w:r>
          </w:p>
        </w:tc>
      </w:tr>
      <w:tr>
        <w:trPr>
          <w:trHeight w:val="214"/>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30.9 %</w:t>
            </w:r>
          </w:p>
        </w:tc>
      </w:tr>
      <w:tr>
        <w:trPr>
          <w:trHeight w:val="204"/>
        </w:trPr>
        <w:tc>
          <w:tcPr>
            <w:tcW w:w="7800" w:type="dxa"/>
            <w:vAlign w:val="bottom"/>
          </w:tcPr>
          <w:p>
            <w:pPr>
              <w:ind w:left="120"/>
              <w:spacing w:after="0"/>
              <w:rPr>
                <w:sz w:val="20"/>
                <w:szCs w:val="20"/>
                <w:color w:val="auto"/>
              </w:rPr>
            </w:pPr>
            <w:r>
              <w:rPr>
                <w:rFonts w:ascii="Arial" w:cs="Arial" w:eastAsia="Arial" w:hAnsi="Arial"/>
                <w:sz w:val="16"/>
                <w:szCs w:val="16"/>
                <w:color w:val="auto"/>
              </w:rPr>
              <w:t>Consolidated gross margin</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26.3 %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-2331720</wp:posOffset>
            </wp:positionV>
            <wp:extent cx="673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for the periods presented, summary information regarding our disaggregated revenue: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1"/>
                <w:szCs w:val="11"/>
                <w:color w:val="auto"/>
              </w:rPr>
            </w:pPr>
          </w:p>
        </w:tc>
        <w:tc>
          <w:tcPr>
            <w:tcW w:w="1060" w:type="dxa"/>
            <w:vAlign w:val="bottom"/>
          </w:tcPr>
          <w:p>
            <w:pPr>
              <w:jc w:val="right"/>
              <w:ind w:right="323"/>
              <w:spacing w:after="0" w:line="129" w:lineRule="exact"/>
              <w:rPr>
                <w:sz w:val="20"/>
                <w:szCs w:val="20"/>
                <w:color w:val="auto"/>
              </w:rPr>
            </w:pPr>
            <w:r>
              <w:rPr>
                <w:rFonts w:ascii="Arial" w:cs="Arial" w:eastAsia="Arial" w:hAnsi="Arial"/>
                <w:sz w:val="14"/>
                <w:szCs w:val="14"/>
                <w:b w:val="1"/>
                <w:bCs w:val="1"/>
                <w:color w:val="auto"/>
                <w:w w:val="92"/>
              </w:rPr>
              <w:t>October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206"/>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1060" w:type="dxa"/>
            <w:vAlign w:val="bottom"/>
          </w:tcPr>
          <w:p>
            <w:pPr>
              <w:spacing w:after="0"/>
              <w:rPr>
                <w:sz w:val="17"/>
                <w:szCs w:val="17"/>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Cloud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2,225</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r>
      <w:tr>
        <w:trPr>
          <w:trHeight w:val="23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Asia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2,675</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Revenue</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Comparison of Three Months Ended September 30, 2022 to Three Months Ended October 1, 2021</w:t>
      </w:r>
    </w:p>
    <w:p>
      <w:pPr>
        <w:spacing w:after="0" w:line="241" w:lineRule="exact"/>
        <w:rPr>
          <w:sz w:val="20"/>
          <w:szCs w:val="20"/>
          <w:color w:val="auto"/>
        </w:rPr>
      </w:pPr>
    </w:p>
    <w:p>
      <w:pPr>
        <w:ind w:firstLine="316"/>
        <w:spacing w:after="0" w:line="300" w:lineRule="auto"/>
        <w:rPr>
          <w:sz w:val="20"/>
          <w:szCs w:val="20"/>
          <w:color w:val="auto"/>
        </w:rPr>
      </w:pPr>
      <w:r>
        <w:rPr>
          <w:rFonts w:ascii="Arial" w:cs="Arial" w:eastAsia="Arial" w:hAnsi="Arial"/>
          <w:sz w:val="16"/>
          <w:szCs w:val="16"/>
          <w:color w:val="auto"/>
        </w:rPr>
        <w:t>The decrease in consolidated net revenue for the three months ended September 30, 2022 from the comparable period in the prior year reflects decreases in exabytes shipments of Flash and HDD sold as certain customers reduced purchases as they adjusted their production levels and right-sized their inventories. Revenue also declined as a result of lower average selling prices. These items are further discussed below in our discussion by segment.</w:t>
      </w:r>
    </w:p>
    <w:p>
      <w:pPr>
        <w:spacing w:after="0" w:line="181" w:lineRule="exact"/>
        <w:rPr>
          <w:sz w:val="20"/>
          <w:szCs w:val="20"/>
          <w:color w:val="auto"/>
        </w:rPr>
      </w:pPr>
    </w:p>
    <w:p>
      <w:pPr>
        <w:ind w:right="140" w:firstLine="316"/>
        <w:spacing w:after="0" w:line="292" w:lineRule="auto"/>
        <w:rPr>
          <w:sz w:val="20"/>
          <w:szCs w:val="20"/>
          <w:color w:val="auto"/>
        </w:rPr>
      </w:pPr>
      <w:r>
        <w:rPr>
          <w:rFonts w:ascii="Arial" w:cs="Arial" w:eastAsia="Arial" w:hAnsi="Arial"/>
          <w:sz w:val="16"/>
          <w:szCs w:val="16"/>
          <w:color w:val="auto"/>
        </w:rPr>
        <w:t>Flash revenue decreased 31% for the three months ended September 30, 2022 from the comparable period in the prior year, primarily driven by a 26% decline in the average selling price with the remainder driven by a decrease in exabytes sold. The decline in average selling price was primarily due to pricing pressure caused by macroeconomic headwinds and a supply-demand imbalance in the current period. The decrease in exabytes sold reflected customers reducing purchases as they adjusted their production levels and right-sized their inventories.</w:t>
      </w:r>
    </w:p>
    <w:p>
      <w:pPr>
        <w:spacing w:after="0" w:line="186" w:lineRule="exact"/>
        <w:rPr>
          <w:sz w:val="20"/>
          <w:szCs w:val="20"/>
          <w:color w:val="auto"/>
        </w:rPr>
      </w:pPr>
    </w:p>
    <w:p>
      <w:pPr>
        <w:ind w:right="100" w:firstLine="316"/>
        <w:spacing w:after="0" w:line="292" w:lineRule="auto"/>
        <w:rPr>
          <w:sz w:val="20"/>
          <w:szCs w:val="20"/>
          <w:color w:val="auto"/>
        </w:rPr>
      </w:pPr>
      <w:r>
        <w:rPr>
          <w:rFonts w:ascii="Arial" w:cs="Arial" w:eastAsia="Arial" w:hAnsi="Arial"/>
          <w:sz w:val="16"/>
          <w:szCs w:val="16"/>
          <w:color w:val="auto"/>
        </w:rPr>
        <w:t>HDD revenue decreased 21% for the three months ended September 30, 2022 from the comparable period in the prior year, primarily driven by a 12% decrease in exabytes sold with the remainder driven by a decline in the average selling price. The decline in exabytes sold was spread evenly across customers in our cloud, client, and consumer end markets due to the macroeconomic pressures noted earlier and our end customers right-sizing their inventories. The decline in the average selling price largely reflected the shift in mix to higher capacity drives.</w:t>
      </w:r>
    </w:p>
    <w:p>
      <w:pPr>
        <w:spacing w:after="0" w:line="173" w:lineRule="exact"/>
        <w:rPr>
          <w:sz w:val="20"/>
          <w:szCs w:val="20"/>
          <w:color w:val="auto"/>
        </w:rPr>
      </w:pPr>
    </w:p>
    <w:p>
      <w:pPr>
        <w:ind w:right="20" w:firstLine="316"/>
        <w:spacing w:after="0" w:line="231" w:lineRule="auto"/>
        <w:rPr>
          <w:sz w:val="20"/>
          <w:szCs w:val="20"/>
          <w:color w:val="auto"/>
        </w:rPr>
      </w:pPr>
      <w:r>
        <w:rPr>
          <w:rFonts w:ascii="Arial" w:cs="Arial" w:eastAsia="Arial" w:hAnsi="Arial"/>
          <w:sz w:val="18"/>
          <w:szCs w:val="18"/>
          <w:color w:val="auto"/>
        </w:rPr>
        <w:t>The decrease in Cloud revenue for the three months ended September 30, 2022 from the comparable period in the prior year reflected declines in both Flash and HDD capacity enterprise drives as customers reduced purchases to right-size their inventories. In Client, the decrease in revenue for the three months ended September 30, 2022 from the comparable period in the prior year resulted primarily from a decline in Flash revenue as a result of lower pricing, while a reduction in purchases by PC OEMs to adjust their inventories to current production levels also contributed to the revenue decline. In Consumer, the decrease in revenue for the three months ended September 30, 2022 from the comparable period in the prior year reflected lower Flash pricing and lower retail HDD shipments.</w:t>
      </w:r>
    </w:p>
    <w:p>
      <w:pPr>
        <w:spacing w:after="0" w:line="216" w:lineRule="exact"/>
        <w:rPr>
          <w:sz w:val="20"/>
          <w:szCs w:val="20"/>
          <w:color w:val="auto"/>
        </w:rPr>
      </w:pPr>
    </w:p>
    <w:p>
      <w:pPr>
        <w:ind w:right="200" w:firstLine="316"/>
        <w:spacing w:after="0" w:line="308" w:lineRule="auto"/>
        <w:rPr>
          <w:sz w:val="20"/>
          <w:szCs w:val="20"/>
          <w:color w:val="auto"/>
        </w:rPr>
      </w:pPr>
      <w:r>
        <w:rPr>
          <w:rFonts w:ascii="Arial" w:cs="Arial" w:eastAsia="Arial" w:hAnsi="Arial"/>
          <w:sz w:val="16"/>
          <w:szCs w:val="16"/>
          <w:color w:val="auto"/>
        </w:rPr>
        <w:t>The changes in net revenue by geography for the three months ended September 30, 2022 from the comparable period in the prior year reflected a larger decline in Asia from lower Client revenue from OEMs in this region as well as routine variations in the mix of business.</w:t>
      </w:r>
    </w:p>
    <w:p>
      <w:pPr>
        <w:spacing w:after="0" w:line="174" w:lineRule="exact"/>
        <w:rPr>
          <w:sz w:val="20"/>
          <w:szCs w:val="20"/>
          <w:color w:val="auto"/>
        </w:rPr>
      </w:pPr>
    </w:p>
    <w:p>
      <w:pPr>
        <w:jc w:val="both"/>
        <w:ind w:right="160" w:firstLine="316"/>
        <w:spacing w:after="0" w:line="253" w:lineRule="auto"/>
        <w:rPr>
          <w:sz w:val="20"/>
          <w:szCs w:val="20"/>
          <w:color w:val="auto"/>
        </w:rPr>
      </w:pPr>
      <w:r>
        <w:rPr>
          <w:rFonts w:ascii="Arial" w:cs="Arial" w:eastAsia="Arial" w:hAnsi="Arial"/>
          <w:sz w:val="18"/>
          <w:szCs w:val="18"/>
          <w:color w:val="auto"/>
        </w:rPr>
        <w:t>Our top 10 customers accounted for 52% of our net revenue for the three months ended September 30, 2022, compared to 43% of our net revenue for the three months ended October 1, 2021. For each of the three months ended September 30, 2022 and October 1, 2021, no single customer accounted for 10% or more of our net revenue.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These programs represented 19% of gross revenue for the three months ended September 30, 2022, and 18% of gross revenue for the three months ended October 1, 2021.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Gross Profit and Gross Margin</w:t>
      </w:r>
    </w:p>
    <w:p>
      <w:pPr>
        <w:spacing w:after="0" w:line="241"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Consolidated gross profit decreased by $684 million for the three months ended September 30, 2022 from the comparable period in the prior year, which reflects the decrease in revenue in both Flash and HDD. Consolidated gross margin decreased 6.7 percentage points for the three months ended September 30, 2022 from the comparable period in the prior year, which primarily reflects lower average price per gigabyte in Flash and HDD, partially offset by cost reductions as mix shifted to higher capacity drives. Flash and HDD gross margin decreased by 12.5 and 2.4 percentage points year over year, respectively, each reflecting the lower average price per gigabyte, partially offset by cost reductions as mix shifted to higher capacity drives.</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Expenses</w:t>
      </w:r>
    </w:p>
    <w:p>
      <w:pPr>
        <w:spacing w:after="0" w:line="241" w:lineRule="exact"/>
        <w:rPr>
          <w:sz w:val="20"/>
          <w:szCs w:val="20"/>
          <w:color w:val="auto"/>
        </w:rPr>
      </w:pPr>
    </w:p>
    <w:p>
      <w:pPr>
        <w:ind w:right="280" w:firstLine="316"/>
        <w:spacing w:after="0" w:line="262" w:lineRule="auto"/>
        <w:rPr>
          <w:sz w:val="20"/>
          <w:szCs w:val="20"/>
          <w:color w:val="auto"/>
        </w:rPr>
      </w:pPr>
      <w:r>
        <w:rPr>
          <w:rFonts w:ascii="Arial" w:cs="Arial" w:eastAsia="Arial" w:hAnsi="Arial"/>
          <w:sz w:val="18"/>
          <w:szCs w:val="18"/>
          <w:color w:val="auto"/>
        </w:rPr>
        <w:t>Research and development (“R&amp;D”) expense decreased $26 million for the three months ended September 30, 2022 from the comparable period in the prior year. The decrease was primarily due to a reduction in variable compensation expenses.</w:t>
      </w:r>
    </w:p>
    <w:p>
      <w:pPr>
        <w:spacing w:after="0" w:line="208"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Selling, general and administrative (“SG&amp;A”) expense decreased $44 million for the three months ended September 30, 2022 from the comparable period in the prior year. The decline was primarily driven by a reduction in expenses related to outside services, compensation and benefits, and material use as we took actions to reduce expenses in the current environment.</w:t>
      </w:r>
    </w:p>
    <w:p>
      <w:pPr>
        <w:spacing w:after="0" w:line="216" w:lineRule="exact"/>
        <w:rPr>
          <w:sz w:val="20"/>
          <w:szCs w:val="20"/>
          <w:color w:val="auto"/>
        </w:rPr>
      </w:pPr>
    </w:p>
    <w:p>
      <w:pPr>
        <w:ind w:right="180" w:firstLine="316"/>
        <w:spacing w:after="0" w:line="280" w:lineRule="auto"/>
        <w:rPr>
          <w:sz w:val="20"/>
          <w:szCs w:val="20"/>
          <w:color w:val="auto"/>
        </w:rPr>
      </w:pPr>
      <w:r>
        <w:rPr>
          <w:rFonts w:ascii="Arial" w:cs="Arial" w:eastAsia="Arial" w:hAnsi="Arial"/>
          <w:sz w:val="16"/>
          <w:szCs w:val="16"/>
          <w:color w:val="auto"/>
        </w:rPr>
        <w:t xml:space="preserve">Employee termination, asset impairment and other charges of $24 million for the three months ended September 30, 2022 reflects restructuring actions initiated in the current year to adjust our cost structure to align with the current demand environment. For information regarding Employee termination, asset impairment and other charges, see Part I, Item 1, Note 15, </w:t>
      </w:r>
      <w:r>
        <w:rPr>
          <w:rFonts w:ascii="Arial" w:cs="Arial" w:eastAsia="Arial" w:hAnsi="Arial"/>
          <w:sz w:val="16"/>
          <w:szCs w:val="16"/>
          <w:i w:val="1"/>
          <w:iCs w:val="1"/>
          <w:color w:val="auto"/>
        </w:rPr>
        <w:t>Employee Termination, Asset Impairment, and Other Charges</w:t>
      </w:r>
      <w:r>
        <w:rPr>
          <w:rFonts w:ascii="Arial" w:cs="Arial" w:eastAsia="Arial" w:hAnsi="Arial"/>
          <w:sz w:val="16"/>
          <w:szCs w:val="16"/>
          <w:color w:val="auto"/>
        </w:rPr>
        <w:t xml:space="preserve"> of the Notes to Condensed Consolidated Financial Statements included in this Quarterly Report on Form 10-Q.</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and Other Income (Expense)</w:t>
      </w:r>
    </w:p>
    <w:p>
      <w:pPr>
        <w:spacing w:after="0" w:line="241" w:lineRule="exact"/>
        <w:rPr>
          <w:sz w:val="20"/>
          <w:szCs w:val="20"/>
          <w:color w:val="auto"/>
        </w:rPr>
      </w:pPr>
    </w:p>
    <w:p>
      <w:pPr>
        <w:ind w:right="380" w:firstLine="316"/>
        <w:spacing w:after="0" w:line="325" w:lineRule="auto"/>
        <w:rPr>
          <w:sz w:val="20"/>
          <w:szCs w:val="20"/>
          <w:color w:val="auto"/>
        </w:rPr>
      </w:pPr>
      <w:r>
        <w:rPr>
          <w:rFonts w:ascii="Arial" w:cs="Arial" w:eastAsia="Arial" w:hAnsi="Arial"/>
          <w:sz w:val="16"/>
          <w:szCs w:val="16"/>
          <w:color w:val="auto"/>
        </w:rPr>
        <w:t>Total interest and other expense, net for the three months ended September 30, 2022 was flat compared to the prior year due to lower interest expense primarily resulting from the pay-down of principal on our debt, offset by higher losses on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1" w:lineRule="exact"/>
        <w:rPr>
          <w:sz w:val="20"/>
          <w:szCs w:val="20"/>
          <w:color w:val="auto"/>
        </w:rPr>
      </w:pPr>
    </w:p>
    <w:p>
      <w:pPr>
        <w:ind w:right="80" w:firstLine="316"/>
        <w:spacing w:after="0" w:line="248"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20"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of 15% on corporations with three-year average annual adjusted financial statement income exceeding $1 billion. The corporate alternative minimum tax will not be effective for us until fiscal year 2024. We are currently evaluating the potential effects of these legislative changes.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income tax information from our Condensed Consolidated Statements of Operations by dollar and effective tax rate: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3"/>
          </w:tcPr>
          <w:p>
            <w:pPr>
              <w:jc w:val="center"/>
              <w:ind w:right="164"/>
              <w:spacing w:after="0"/>
              <w:rPr>
                <w:sz w:val="20"/>
                <w:szCs w:val="20"/>
                <w:color w:val="auto"/>
              </w:rPr>
            </w:pPr>
            <w:r>
              <w:rPr>
                <w:rFonts w:ascii="Arial" w:cs="Arial" w:eastAsia="Arial" w:hAnsi="Arial"/>
                <w:sz w:val="14"/>
                <w:szCs w:val="14"/>
                <w:b w:val="1"/>
                <w:bCs w:val="1"/>
                <w:color w:val="auto"/>
                <w:w w:val="92"/>
              </w:rPr>
              <w:t>Three Months Ended</w:t>
            </w:r>
          </w:p>
        </w:tc>
      </w:tr>
      <w:tr>
        <w:trPr>
          <w:trHeight w:val="24"/>
        </w:trPr>
        <w:tc>
          <w:tcPr>
            <w:tcW w:w="8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8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85"/>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480" w:type="dxa"/>
            <w:vAlign w:val="bottom"/>
          </w:tcPr>
          <w:p>
            <w:pPr>
              <w:spacing w:after="0"/>
              <w:rPr>
                <w:sz w:val="11"/>
                <w:szCs w:val="11"/>
                <w:color w:val="auto"/>
              </w:rPr>
            </w:pPr>
          </w:p>
        </w:tc>
        <w:tc>
          <w:tcPr>
            <w:tcW w:w="1120" w:type="dxa"/>
            <w:vAlign w:val="bottom"/>
          </w:tcPr>
          <w:p>
            <w:pPr>
              <w:jc w:val="right"/>
              <w:ind w:right="384"/>
              <w:spacing w:after="0" w:line="129" w:lineRule="exact"/>
              <w:rPr>
                <w:sz w:val="20"/>
                <w:szCs w:val="20"/>
                <w:color w:val="auto"/>
              </w:rPr>
            </w:pPr>
            <w:r>
              <w:rPr>
                <w:rFonts w:ascii="Arial" w:cs="Arial" w:eastAsia="Arial" w:hAnsi="Arial"/>
                <w:sz w:val="14"/>
                <w:szCs w:val="14"/>
                <w:b w:val="1"/>
                <w:bCs w:val="1"/>
                <w:color w:val="auto"/>
                <w:w w:val="92"/>
              </w:rPr>
              <w:t>October 1,</w:t>
            </w:r>
          </w:p>
        </w:tc>
      </w:tr>
      <w:tr>
        <w:trPr>
          <w:trHeight w:val="189"/>
        </w:trPr>
        <w:tc>
          <w:tcPr>
            <w:tcW w:w="8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r>
      <w:tr>
        <w:trPr>
          <w:trHeight w:val="206"/>
        </w:trPr>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left="825"/>
              <w:spacing w:after="0"/>
              <w:rPr>
                <w:sz w:val="20"/>
                <w:szCs w:val="20"/>
                <w:color w:val="auto"/>
              </w:rPr>
            </w:pPr>
            <w:r>
              <w:rPr>
                <w:rFonts w:ascii="Arial" w:cs="Arial" w:eastAsia="Arial" w:hAnsi="Arial"/>
                <w:sz w:val="16"/>
                <w:szCs w:val="16"/>
                <w:i w:val="1"/>
                <w:iCs w:val="1"/>
                <w:color w:val="auto"/>
                <w:w w:val="95"/>
              </w:rPr>
              <w:t>($ in millions)</w:t>
            </w:r>
          </w:p>
        </w:tc>
        <w:tc>
          <w:tcPr>
            <w:tcW w:w="1120" w:type="dxa"/>
            <w:vAlign w:val="bottom"/>
          </w:tcPr>
          <w:p>
            <w:pPr>
              <w:spacing w:after="0"/>
              <w:rPr>
                <w:sz w:val="17"/>
                <w:szCs w:val="17"/>
                <w:color w:val="auto"/>
              </w:rPr>
            </w:pP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84</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704</w:t>
            </w:r>
          </w:p>
        </w:tc>
      </w:tr>
      <w:tr>
        <w:trPr>
          <w:trHeight w:val="208"/>
        </w:trPr>
        <w:tc>
          <w:tcPr>
            <w:tcW w:w="8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360" w:type="dxa"/>
            <w:vAlign w:val="bottom"/>
          </w:tcPr>
          <w:p>
            <w:pPr>
              <w:ind w:left="960"/>
              <w:spacing w:after="0"/>
              <w:rPr>
                <w:sz w:val="20"/>
                <w:szCs w:val="20"/>
                <w:color w:val="auto"/>
              </w:rPr>
            </w:pPr>
            <w:r>
              <w:rPr>
                <w:rFonts w:ascii="Arial" w:cs="Arial" w:eastAsia="Arial" w:hAnsi="Arial"/>
                <w:sz w:val="16"/>
                <w:szCs w:val="16"/>
                <w:color w:val="auto"/>
              </w:rPr>
              <w:t>57</w:t>
            </w:r>
          </w:p>
        </w:tc>
        <w:tc>
          <w:tcPr>
            <w:tcW w:w="480" w:type="dxa"/>
            <w:vAlign w:val="bottom"/>
          </w:tcPr>
          <w:p>
            <w:pPr>
              <w:spacing w:after="0"/>
              <w:rPr>
                <w:sz w:val="18"/>
                <w:szCs w:val="18"/>
                <w:color w:val="auto"/>
              </w:rPr>
            </w:pPr>
          </w:p>
        </w:tc>
        <w:tc>
          <w:tcPr>
            <w:tcW w:w="1120" w:type="dxa"/>
            <w:vAlign w:val="bottom"/>
          </w:tcPr>
          <w:p>
            <w:pPr>
              <w:jc w:val="right"/>
              <w:ind w:right="124"/>
              <w:spacing w:after="0"/>
              <w:rPr>
                <w:sz w:val="20"/>
                <w:szCs w:val="20"/>
                <w:color w:val="auto"/>
              </w:rPr>
            </w:pPr>
            <w:r>
              <w:rPr>
                <w:rFonts w:ascii="Arial" w:cs="Arial" w:eastAsia="Arial" w:hAnsi="Arial"/>
                <w:sz w:val="16"/>
                <w:szCs w:val="16"/>
                <w:color w:val="auto"/>
              </w:rPr>
              <w:t>94</w:t>
            </w: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68 %</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-543560</wp:posOffset>
            </wp:positionV>
            <wp:extent cx="673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220" w:firstLine="316"/>
        <w:spacing w:after="0" w:line="288" w:lineRule="auto"/>
        <w:rPr>
          <w:sz w:val="20"/>
          <w:szCs w:val="20"/>
          <w:color w:val="auto"/>
        </w:rPr>
      </w:pPr>
      <w:r>
        <w:rPr>
          <w:rFonts w:ascii="Arial" w:cs="Arial" w:eastAsia="Arial" w:hAnsi="Arial"/>
          <w:sz w:val="15"/>
          <w:szCs w:val="15"/>
          <w:color w:val="auto"/>
        </w:rPr>
        <w:t>Beginning in fiscal year 2023, the 2017 Act requires us to capitalize and amortize research and development expenses rather than expensing them in the year incurred. The tax effects related to the capitalization of research and development expenses are included in the effective tax rate for the three months ended September 30, 2022. This impact, together with the relative mix of earnings and losses by jurisdiction, the deduction for foreign derived intangible income, credits, and tax holidays in Malaysia, the Philippines and Thailand that will expire at various dates during fiscal years 2024 through 2031 are the primary drivers of the difference between the effective tax rate for the three months ended September 30, 2022 and the U.S. Federal statutory rate of 21%.</w:t>
      </w:r>
    </w:p>
    <w:p>
      <w:pPr>
        <w:spacing w:after="0" w:line="192" w:lineRule="exact"/>
        <w:rPr>
          <w:sz w:val="20"/>
          <w:szCs w:val="20"/>
          <w:color w:val="auto"/>
        </w:rPr>
      </w:pPr>
    </w:p>
    <w:p>
      <w:pPr>
        <w:ind w:right="80" w:firstLine="316"/>
        <w:spacing w:after="0" w:line="292" w:lineRule="auto"/>
        <w:rPr>
          <w:sz w:val="20"/>
          <w:szCs w:val="20"/>
          <w:color w:val="auto"/>
        </w:rPr>
      </w:pPr>
      <w:r>
        <w:rPr>
          <w:rFonts w:ascii="Arial" w:cs="Arial" w:eastAsia="Arial" w:hAnsi="Arial"/>
          <w:sz w:val="16"/>
          <w:szCs w:val="16"/>
          <w:color w:val="auto"/>
        </w:rPr>
        <w:t>The primary drivers of the difference between the effective tax rate for the three months ended October 1, 2021 and the U.S. Federal statutory rate of 21% are the relative mix of earnings and losses by jurisdiction, the deduction for foreign derived intangible income, credits, and tax holidays in Malaysia, the Philippines and Thailand. In addition, the effective tax rate for the three months ended October 1, 2021 included the discrete effect of an increase to unrecognized tax benefits of $16 million as a result of ongoing discussions with various taxing authorities.</w:t>
      </w:r>
    </w:p>
    <w:p>
      <w:pPr>
        <w:spacing w:after="0" w:line="173" w:lineRule="exact"/>
        <w:rPr>
          <w:sz w:val="20"/>
          <w:szCs w:val="20"/>
          <w:color w:val="auto"/>
        </w:rPr>
      </w:pPr>
    </w:p>
    <w:p>
      <w:pPr>
        <w:ind w:right="20" w:firstLine="316"/>
        <w:spacing w:after="0" w:line="235" w:lineRule="auto"/>
        <w:rPr>
          <w:sz w:val="20"/>
          <w:szCs w:val="20"/>
          <w:color w:val="auto"/>
        </w:rPr>
      </w:pPr>
      <w:r>
        <w:rPr>
          <w:rFonts w:ascii="Arial" w:cs="Arial" w:eastAsia="Arial" w:hAnsi="Arial"/>
          <w:sz w:val="18"/>
          <w:szCs w:val="18"/>
          <w:color w:val="auto"/>
        </w:rPr>
        <w:t>Our future effective tax rate is subject to future regulatory developments and changes in the mix of our U.S. earnings compared to foreign earnings. The 2017 Act requires us to capitalize and amortize research and development expenses rather than expensing them in the year incurred, which, as described above, increased our effective tax rate for the three months ended September 30, 2022 and is expected to materially increase our effective tax rate and taxes paid, if not repealed or otherwise modified. In addition, our total tax expense in future years may also vary as a result of discrete items such as excess tax benefits or deficiencies.</w:t>
      </w:r>
    </w:p>
    <w:p>
      <w:pPr>
        <w:spacing w:after="0" w:line="226" w:lineRule="exact"/>
        <w:rPr>
          <w:sz w:val="20"/>
          <w:szCs w:val="20"/>
          <w:color w:val="auto"/>
        </w:rPr>
      </w:pPr>
    </w:p>
    <w:p>
      <w:pPr>
        <w:ind w:right="520" w:firstLine="316"/>
        <w:spacing w:after="0" w:line="262" w:lineRule="auto"/>
        <w:rPr>
          <w:sz w:val="20"/>
          <w:szCs w:val="20"/>
          <w:color w:val="auto"/>
        </w:rPr>
      </w:pPr>
      <w:r>
        <w:rPr>
          <w:rFonts w:ascii="Arial" w:cs="Arial" w:eastAsia="Arial" w:hAnsi="Arial"/>
          <w:sz w:val="18"/>
          <w:szCs w:val="18"/>
          <w:color w:val="auto"/>
        </w:rPr>
        <w:t xml:space="preserve">For additional information regarding Income tax expense, see Part I, Item 1,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1"/>
                <w:szCs w:val="11"/>
                <w:color w:val="auto"/>
              </w:rPr>
            </w:pPr>
          </w:p>
        </w:tc>
        <w:tc>
          <w:tcPr>
            <w:tcW w:w="1080" w:type="dxa"/>
            <w:vAlign w:val="bottom"/>
          </w:tcPr>
          <w:p>
            <w:pPr>
              <w:jc w:val="right"/>
              <w:ind w:right="323"/>
              <w:spacing w:after="0" w:line="129" w:lineRule="exact"/>
              <w:rPr>
                <w:sz w:val="20"/>
                <w:szCs w:val="20"/>
                <w:color w:val="auto"/>
              </w:rPr>
            </w:pPr>
            <w:r>
              <w:rPr>
                <w:rFonts w:ascii="Arial" w:cs="Arial" w:eastAsia="Arial" w:hAnsi="Arial"/>
                <w:sz w:val="14"/>
                <w:szCs w:val="14"/>
                <w:b w:val="1"/>
                <w:bCs w:val="1"/>
                <w:color w:val="auto"/>
                <w:w w:val="95"/>
              </w:rPr>
              <w:t>October 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20" w:firstLine="316"/>
        <w:spacing w:after="0" w:line="232" w:lineRule="auto"/>
        <w:rPr>
          <w:sz w:val="20"/>
          <w:szCs w:val="20"/>
          <w:color w:val="auto"/>
        </w:rPr>
      </w:pPr>
      <w:r>
        <w:rPr>
          <w:rFonts w:ascii="Arial" w:cs="Arial" w:eastAsia="Arial" w:hAnsi="Arial"/>
          <w:sz w:val="18"/>
          <w:szCs w:val="18"/>
          <w:color w:val="auto"/>
        </w:rPr>
        <w:t xml:space="preserve">We and the IRS tentatively reached a basis for resolving the statutory notices of deficiency and notices of proposed adjustments with respect to fiscal years 2008 through 2015. We expect to pay tax and interest totaling approximately $600 million to $700 million, which we expect to be partially offset by future reductions to our mandatory deemed repatriation tax obligations and tax savings from interest deductions aggregating to approximately $100 to $150 million. See Part I, Item 1,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 for further details.</w:t>
      </w:r>
    </w:p>
    <w:p>
      <w:pPr>
        <w:spacing w:after="0" w:line="226" w:lineRule="exact"/>
        <w:rPr>
          <w:sz w:val="20"/>
          <w:szCs w:val="20"/>
          <w:color w:val="auto"/>
        </w:rPr>
      </w:pPr>
    </w:p>
    <w:p>
      <w:pPr>
        <w:ind w:right="240" w:firstLine="316"/>
        <w:spacing w:after="0" w:line="287" w:lineRule="auto"/>
        <w:rPr>
          <w:sz w:val="20"/>
          <w:szCs w:val="20"/>
          <w:color w:val="auto"/>
        </w:rPr>
      </w:pPr>
      <w:r>
        <w:rPr>
          <w:rFonts w:ascii="Arial" w:cs="Arial" w:eastAsia="Arial" w:hAnsi="Arial"/>
          <w:sz w:val="16"/>
          <w:szCs w:val="16"/>
          <w:color w:val="auto"/>
        </w:rPr>
        <w:t>We have an existing shelf registration statement (the “Shelf Registration Statement”) filed with the Securities and Exchange Commission that expires in August 2024, which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92" w:lineRule="exact"/>
        <w:rPr>
          <w:sz w:val="20"/>
          <w:szCs w:val="20"/>
          <w:color w:val="auto"/>
        </w:rPr>
      </w:pPr>
    </w:p>
    <w:p>
      <w:pPr>
        <w:ind w:right="40" w:firstLine="316"/>
        <w:spacing w:after="0" w:line="292" w:lineRule="auto"/>
        <w:rPr>
          <w:sz w:val="20"/>
          <w:szCs w:val="20"/>
          <w:color w:val="auto"/>
        </w:rPr>
      </w:pPr>
      <w:r>
        <w:rPr>
          <w:rFonts w:ascii="Arial" w:cs="Arial" w:eastAsia="Arial" w:hAnsi="Arial"/>
          <w:sz w:val="16"/>
          <w:szCs w:val="16"/>
          <w:color w:val="auto"/>
        </w:rPr>
        <w:t xml:space="preserve">We believe our cash, cash equivalents and cash generated from operations as well as our available credit facilities will be sufficient to satisfy our IRS obligation and meet our working capital, debt and capital expenditure needs for at least the next twelve months. We believe we can also access the various debt capital markets to further to supplement our liquidity position. Our ability to sustain our working capital position is subject to a number of risks that we discuss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year ended July 1, 2022.</w:t>
      </w:r>
    </w:p>
    <w:p>
      <w:pPr>
        <w:spacing w:after="0" w:line="186"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During 2023, we expect expenditures for property, plant and equipment for our company plus our portion of the capital expenditures by our Flash Ventures joint venture with Kioxia for its operations to aggregate to $2.7 billion. After consideration of the Flash Ventures’ lease financing of its capital expenditures and net operating cash flow, we expect net cash used for our purchases of property, plant and equipment and net activity in notes receivable relating to Flash Ventures to be a cash outflow of approximately $1.3 billion during 2023. The total expected cash to be used could vary depending on the timing and completion of various capital projects and the availability, timing and terms of related financing</w:t>
      </w:r>
      <w:r>
        <w:rPr>
          <w:rFonts w:ascii="Arial" w:cs="Arial" w:eastAsia="Arial" w:hAnsi="Arial"/>
          <w:sz w:val="16"/>
          <w:szCs w:val="16"/>
          <w:color w:val="7030A0"/>
        </w:rPr>
        <w:t>.</w:t>
      </w:r>
    </w:p>
    <w:p>
      <w:pPr>
        <w:spacing w:after="0" w:line="192" w:lineRule="exact"/>
        <w:rPr>
          <w:sz w:val="20"/>
          <w:szCs w:val="20"/>
          <w:color w:val="auto"/>
        </w:rPr>
      </w:pPr>
    </w:p>
    <w:p>
      <w:pPr>
        <w:ind w:right="200" w:firstLine="316"/>
        <w:spacing w:after="0" w:line="325" w:lineRule="auto"/>
        <w:rPr>
          <w:sz w:val="20"/>
          <w:szCs w:val="20"/>
          <w:color w:val="auto"/>
        </w:rPr>
      </w:pPr>
      <w:r>
        <w:rPr>
          <w:rFonts w:ascii="Arial" w:cs="Arial" w:eastAsia="Arial" w:hAnsi="Arial"/>
          <w:sz w:val="16"/>
          <w:szCs w:val="16"/>
          <w:color w:val="auto"/>
        </w:rPr>
        <w:t>A total of $1.53 billion and $2.41 billion of our Cash and cash equivalents was held by our foreign subsidiaries as of September 30, 2022 and October 1, 2021, respectively. There are no material tax consequences that were not previously accrued for on the repatriation of this cash.</w:t>
      </w:r>
    </w:p>
    <w:p>
      <w:pPr>
        <w:spacing w:after="0" w:line="161" w:lineRule="exact"/>
        <w:rPr>
          <w:sz w:val="20"/>
          <w:szCs w:val="20"/>
          <w:color w:val="auto"/>
        </w:rPr>
      </w:pPr>
    </w:p>
    <w:p>
      <w:pPr>
        <w:ind w:right="460" w:firstLine="316"/>
        <w:spacing w:after="0" w:line="325" w:lineRule="auto"/>
        <w:rPr>
          <w:sz w:val="20"/>
          <w:szCs w:val="20"/>
          <w:color w:val="auto"/>
        </w:rPr>
      </w:pPr>
      <w:r>
        <w:rPr>
          <w:rFonts w:ascii="Arial" w:cs="Arial" w:eastAsia="Arial" w:hAnsi="Arial"/>
          <w:sz w:val="16"/>
          <w:szCs w:val="16"/>
          <w:color w:val="auto"/>
        </w:rPr>
        <w:t>Our cash equivalents are primarily invested in money market funds that invest in U.S. Treasury securities and U.S. Government agency securities. In addition, from time to time, we also invest directly in certificates of deposit, asset backed securities and corporate and municipal notes and bonds.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Activities</w:t>
      </w:r>
    </w:p>
    <w:p>
      <w:pPr>
        <w:spacing w:after="0" w:line="241"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$329 million for the three months ended September 30, 2022, as compared to $440 million for the three months ended October 1, 2021.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 (in days):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960" w:type="dxa"/>
            <w:vAlign w:val="bottom"/>
            <w:gridSpan w:val="3"/>
          </w:tcPr>
          <w:p>
            <w:pPr>
              <w:ind w:left="840"/>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52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September 30,</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October 1,</w:t>
            </w:r>
          </w:p>
        </w:tc>
      </w:tr>
      <w:tr>
        <w:trPr>
          <w:trHeight w:val="189"/>
        </w:trPr>
        <w:tc>
          <w:tcPr>
            <w:tcW w:w="8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1084"/>
              <w:spacing w:after="0"/>
              <w:rPr>
                <w:sz w:val="20"/>
                <w:szCs w:val="20"/>
                <w:color w:val="auto"/>
              </w:rPr>
            </w:pPr>
            <w:r>
              <w:rPr>
                <w:rFonts w:ascii="Arial" w:cs="Arial" w:eastAsia="Arial" w:hAnsi="Arial"/>
                <w:sz w:val="16"/>
                <w:szCs w:val="16"/>
                <w:color w:val="auto"/>
                <w:w w:val="89"/>
              </w:rPr>
              <w:t>44</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Days in inventory</w:t>
            </w:r>
          </w:p>
        </w:tc>
        <w:tc>
          <w:tcPr>
            <w:tcW w:w="14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40" w:type="dxa"/>
            <w:vAlign w:val="bottom"/>
          </w:tcPr>
          <w:p>
            <w:pPr>
              <w:jc w:val="center"/>
              <w:ind w:left="1084"/>
              <w:spacing w:after="0"/>
              <w:rPr>
                <w:sz w:val="20"/>
                <w:szCs w:val="20"/>
                <w:color w:val="auto"/>
              </w:rPr>
            </w:pPr>
            <w:r>
              <w:rPr>
                <w:rFonts w:ascii="Arial" w:cs="Arial" w:eastAsia="Arial" w:hAnsi="Arial"/>
                <w:sz w:val="16"/>
                <w:szCs w:val="16"/>
                <w:color w:val="auto"/>
                <w:w w:val="89"/>
              </w:rPr>
              <w:t>95</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1064"/>
              <w:spacing w:after="0"/>
              <w:rPr>
                <w:sz w:val="20"/>
                <w:szCs w:val="20"/>
                <w:color w:val="auto"/>
              </w:rPr>
            </w:pPr>
            <w:r>
              <w:rPr>
                <w:rFonts w:ascii="Arial" w:cs="Arial" w:eastAsia="Arial" w:hAnsi="Arial"/>
                <w:sz w:val="16"/>
                <w:szCs w:val="16"/>
                <w:color w:val="auto"/>
                <w:w w:val="91"/>
              </w:rPr>
              <w:t>(61)</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Cash conversion cycle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ind w:left="1084"/>
              <w:spacing w:after="0"/>
              <w:rPr>
                <w:sz w:val="20"/>
                <w:szCs w:val="20"/>
                <w:color w:val="auto"/>
              </w:rPr>
            </w:pPr>
            <w:r>
              <w:rPr>
                <w:rFonts w:ascii="Arial" w:cs="Arial" w:eastAsia="Arial" w:hAnsi="Arial"/>
                <w:sz w:val="16"/>
                <w:szCs w:val="16"/>
                <w:color w:val="auto"/>
                <w:w w:val="89"/>
              </w:rPr>
              <w:t>78</w:t>
            </w: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Changes in days sales outstanding (“DSO”) are generally due to the timing of shipments. Changes in days in inventory (“DIO”) are generally related to the timing of inventory builds, including staging of inventory to meet expected future demand.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92"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For the three months ended September 30, 2022, DSO increased by 15 days from the comparable period in the prior year, primarily reflecting the timing of shipments and customer collections. DIO increased by 33 days from the comparable period in the prior year primarily reflecting a decline in products shipped. DPO increased by 4 days from the comparable period in the prior year primarily due to routine variations in the timing of purchases and payments during the period. We have seen no significant deterioration in our receivables as a result of COVID-19 or other market conditions.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Investing Activities</w:t>
      </w:r>
    </w:p>
    <w:p>
      <w:pPr>
        <w:spacing w:after="0" w:line="241" w:lineRule="exact"/>
        <w:rPr>
          <w:sz w:val="20"/>
          <w:szCs w:val="20"/>
          <w:color w:val="auto"/>
        </w:rPr>
      </w:pPr>
    </w:p>
    <w:p>
      <w:pPr>
        <w:ind w:right="60" w:firstLine="316"/>
        <w:spacing w:after="0" w:line="328" w:lineRule="auto"/>
        <w:rPr>
          <w:sz w:val="20"/>
          <w:szCs w:val="20"/>
          <w:color w:val="auto"/>
        </w:rPr>
      </w:pPr>
      <w:r>
        <w:rPr>
          <w:rFonts w:ascii="Arial" w:cs="Arial" w:eastAsia="Arial" w:hAnsi="Arial"/>
          <w:sz w:val="15"/>
          <w:szCs w:val="15"/>
          <w:color w:val="auto"/>
        </w:rPr>
        <w:t>Net cash used in investing activities for the three months ended September 30, 2022 primarily consisted of $320 million in capital expenditures partially offset by a $99 million net decrease in notes receivable issuances to Flash Ventures. Net cash used in investing activities for the three months ended October 1, 2021 primarily consisted of $245 million in capital expenditures, partially offset by a $52 million net increase in notes receivable issuances to Flash Ventures.-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41" w:lineRule="exact"/>
        <w:rPr>
          <w:sz w:val="20"/>
          <w:szCs w:val="20"/>
          <w:color w:val="auto"/>
        </w:rPr>
      </w:pPr>
    </w:p>
    <w:p>
      <w:pPr>
        <w:ind w:right="160" w:firstLine="316"/>
        <w:spacing w:after="0" w:line="292" w:lineRule="auto"/>
        <w:rPr>
          <w:sz w:val="20"/>
          <w:szCs w:val="20"/>
          <w:color w:val="auto"/>
        </w:rPr>
      </w:pPr>
      <w:r>
        <w:rPr>
          <w:rFonts w:ascii="Arial" w:cs="Arial" w:eastAsia="Arial" w:hAnsi="Arial"/>
          <w:sz w:val="16"/>
          <w:szCs w:val="16"/>
          <w:color w:val="auto"/>
        </w:rPr>
        <w:t>During the three months ended September 30, 2022, cash flows from financing activities primarily consisted of $50 million used for taxes paid on vested stock awards under employee stock plans, while we drew and repaid $300 million under our revolving credit facility within the period. Net cash used in financing activities for the three months ended October 1, 2021 primarily consisted of $213 million for the repayment of our debt, which included a $150 million voluntary prepayment on our Term Loan B-4, and $78 million for taxes paid on vested stock awards under employee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 xml:space="preserve">Other than the commitments related to Flash Ventures incurred in the normal course of business and certain indemnification provisions (see “Short and Long-term Liquidity-Purchase Obligations and Other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Material Cash Commitments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our known material cash commitments, including those for capital expenditures, as of September 30,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1 Year (Remaining</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2-3 Years (2024-</w:t>
            </w:r>
          </w:p>
        </w:tc>
        <w:tc>
          <w:tcPr>
            <w:tcW w:w="10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4-5 Years (2026-</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141"/>
        </w:trPr>
        <w:tc>
          <w:tcPr>
            <w:tcW w:w="15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Nine Months of</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2025)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1"/>
              </w:rPr>
              <w:t>(Beyond 2027)</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4"/>
        </w:trPr>
        <w:tc>
          <w:tcPr>
            <w:tcW w:w="476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4"/>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6268085</wp:posOffset>
            </wp:positionH>
            <wp:positionV relativeFrom="paragraph">
              <wp:posOffset>-1196975</wp:posOffset>
            </wp:positionV>
            <wp:extent cx="673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-1196975</wp:posOffset>
            </wp:positionV>
            <wp:extent cx="673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-1196975</wp:posOffset>
            </wp:positionV>
            <wp:extent cx="67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-1196975</wp:posOffset>
            </wp:positionV>
            <wp:extent cx="673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44" w:lineRule="exact"/>
        <w:rPr>
          <w:sz w:val="20"/>
          <w:szCs w:val="20"/>
          <w:color w:val="auto"/>
        </w:rPr>
      </w:pPr>
    </w:p>
    <w:p>
      <w:pPr>
        <w:ind w:left="300" w:hanging="294"/>
        <w:spacing w:after="0"/>
        <w:tabs>
          <w:tab w:leader="none" w:pos="30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2" w:lineRule="exact"/>
        <w:rPr>
          <w:rFonts w:ascii="Arial" w:cs="Arial" w:eastAsia="Arial" w:hAnsi="Arial"/>
          <w:sz w:val="23"/>
          <w:szCs w:val="23"/>
          <w:color w:val="auto"/>
          <w:vertAlign w:val="superscript"/>
        </w:rPr>
      </w:pPr>
    </w:p>
    <w:p>
      <w:pPr>
        <w:ind w:left="320" w:right="20" w:hanging="314"/>
        <w:spacing w:after="0" w:line="223" w:lineRule="auto"/>
        <w:tabs>
          <w:tab w:leader="none" w:pos="30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w:t>
      </w:r>
    </w:p>
    <w:p>
      <w:pPr>
        <w:spacing w:after="0" w:line="241" w:lineRule="exact"/>
        <w:rPr>
          <w:sz w:val="20"/>
          <w:szCs w:val="20"/>
          <w:color w:val="auto"/>
        </w:rPr>
      </w:pPr>
    </w:p>
    <w:p>
      <w:pPr>
        <w:ind w:right="20" w:firstLine="316"/>
        <w:spacing w:after="0" w:line="248" w:lineRule="auto"/>
        <w:rPr>
          <w:sz w:val="20"/>
          <w:szCs w:val="20"/>
          <w:color w:val="auto"/>
        </w:rPr>
      </w:pPr>
      <w:r>
        <w:rPr>
          <w:rFonts w:ascii="Arial" w:cs="Arial" w:eastAsia="Arial" w:hAnsi="Arial"/>
          <w:sz w:val="18"/>
          <w:szCs w:val="18"/>
          <w:color w:val="auto"/>
        </w:rPr>
        <w:t xml:space="preserve">In addition to our existing debt, as of September 30, 2022, we had $2.25 billion available for borrowing under our revolving credit facility until January 2027, subject to customary conditions under the loan agreement. Additional information regarding our indebtedness, including information about principal repayment terms, interest rates, covenants and other key terms of our outstanding indebtedness, is included in Part II, Item 8, Note 8,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our Annual Report on Form 10-K for the year ended July 1, 2022. The loan agreement governing our revolving credit facility and our Term Loan A-2 due 2027 requires us to comply with a leverage ratio financial covenant. As of September 30, 2022, we were in compliance with this financial covenant.</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September 30, 2022, we were in compliance with all covenants under these Japanese lease facilities.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 for information regarding Flash Ventures.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41" w:lineRule="exact"/>
        <w:rPr>
          <w:sz w:val="20"/>
          <w:szCs w:val="20"/>
          <w:color w:val="auto"/>
        </w:rPr>
      </w:pPr>
    </w:p>
    <w:p>
      <w:pPr>
        <w:ind w:right="220" w:firstLine="316"/>
        <w:spacing w:after="0" w:line="287"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Deemed Repatriation Tax</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estimated mandatory deemed repatriation tax obligations that are payable in the following years: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05"/>
              <w:spacing w:after="0"/>
              <w:rPr>
                <w:sz w:val="20"/>
                <w:szCs w:val="20"/>
                <w:color w:val="auto"/>
              </w:rPr>
            </w:pPr>
            <w:r>
              <w:rPr>
                <w:rFonts w:ascii="Arial" w:cs="Arial" w:eastAsia="Arial" w:hAnsi="Arial"/>
                <w:sz w:val="14"/>
                <w:szCs w:val="14"/>
                <w:b w:val="1"/>
                <w:bCs w:val="1"/>
                <w:color w:val="auto"/>
                <w:w w:val="89"/>
              </w:rPr>
              <w:t>September 30,</w:t>
            </w:r>
          </w:p>
        </w:tc>
      </w:tr>
      <w:tr>
        <w:trPr>
          <w:trHeight w:val="189"/>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2022</w:t>
            </w: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800" w:type="dxa"/>
            <w:vAlign w:val="bottom"/>
            <w:shd w:val="clear" w:color="auto" w:fill="CCEEFF"/>
          </w:tcPr>
          <w:p>
            <w:pPr>
              <w:jc w:val="right"/>
              <w:ind w:right="9381"/>
              <w:spacing w:after="0"/>
              <w:rPr>
                <w:sz w:val="20"/>
                <w:szCs w:val="20"/>
                <w:color w:val="auto"/>
              </w:rPr>
            </w:pPr>
            <w:r>
              <w:rPr>
                <w:rFonts w:ascii="Arial" w:cs="Arial" w:eastAsia="Arial" w:hAnsi="Arial"/>
                <w:sz w:val="16"/>
                <w:szCs w:val="16"/>
                <w:color w:val="auto"/>
                <w:w w:val="89"/>
              </w:rPr>
              <w:t>2024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8"/>
        </w:trPr>
        <w:tc>
          <w:tcPr>
            <w:tcW w:w="9800" w:type="dxa"/>
            <w:vAlign w:val="bottom"/>
          </w:tcPr>
          <w:p>
            <w:pPr>
              <w:jc w:val="right"/>
              <w:ind w:right="9381"/>
              <w:spacing w:after="0"/>
              <w:rPr>
                <w:sz w:val="20"/>
                <w:szCs w:val="20"/>
                <w:color w:val="auto"/>
              </w:rPr>
            </w:pPr>
            <w:r>
              <w:rPr>
                <w:rFonts w:ascii="Arial" w:cs="Arial" w:eastAsia="Arial" w:hAnsi="Arial"/>
                <w:sz w:val="16"/>
                <w:szCs w:val="16"/>
                <w:color w:val="auto"/>
                <w:w w:val="89"/>
              </w:rPr>
              <w:t>2025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1"/>
        </w:trPr>
        <w:tc>
          <w:tcPr>
            <w:tcW w:w="9800" w:type="dxa"/>
            <w:vAlign w:val="bottom"/>
            <w:shd w:val="clear" w:color="auto" w:fill="CCEEFF"/>
          </w:tcPr>
          <w:p>
            <w:pPr>
              <w:jc w:val="right"/>
              <w:ind w:right="9381"/>
              <w:spacing w:after="0"/>
              <w:rPr>
                <w:sz w:val="20"/>
                <w:szCs w:val="20"/>
                <w:color w:val="auto"/>
              </w:rPr>
            </w:pPr>
            <w:r>
              <w:rPr>
                <w:rFonts w:ascii="Arial" w:cs="Arial" w:eastAsia="Arial" w:hAnsi="Arial"/>
                <w:sz w:val="16"/>
                <w:szCs w:val="16"/>
                <w:color w:val="auto"/>
                <w:w w:val="89"/>
              </w:rPr>
              <w:t>2026</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8"/>
        </w:trPr>
        <w:tc>
          <w:tcPr>
            <w:tcW w:w="9800" w:type="dxa"/>
            <w:vAlign w:val="bottom"/>
          </w:tcPr>
          <w:p>
            <w:pPr>
              <w:jc w:val="right"/>
              <w:ind w:right="9261"/>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60" w:firstLine="316"/>
        <w:spacing w:after="0" w:line="325" w:lineRule="auto"/>
        <w:rPr>
          <w:sz w:val="20"/>
          <w:szCs w:val="20"/>
          <w:color w:val="auto"/>
        </w:rPr>
      </w:pPr>
      <w:r>
        <w:rPr>
          <w:rFonts w:ascii="Arial" w:cs="Arial" w:eastAsia="Arial" w:hAnsi="Arial"/>
          <w:sz w:val="16"/>
          <w:szCs w:val="16"/>
          <w:color w:val="auto"/>
        </w:rPr>
        <w:t xml:space="preserve">For additional information regarding our estimate of the total tax liability for the mandatory deemed repatriation tax, see Part II, Item 8, Note 13,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of the Notes to Consolidated Financial Statements included in our Annual Report on Form 10-K for the year ended June 28, 2019.</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Unrecognized Tax Benefits</w:t>
      </w:r>
    </w:p>
    <w:p>
      <w:pPr>
        <w:spacing w:after="0" w:line="241" w:lineRule="exact"/>
        <w:rPr>
          <w:sz w:val="20"/>
          <w:szCs w:val="20"/>
          <w:color w:val="auto"/>
        </w:rPr>
      </w:pPr>
    </w:p>
    <w:p>
      <w:pPr>
        <w:ind w:right="320" w:firstLine="316"/>
        <w:spacing w:after="0" w:line="250" w:lineRule="auto"/>
        <w:rPr>
          <w:sz w:val="20"/>
          <w:szCs w:val="20"/>
          <w:color w:val="auto"/>
        </w:rPr>
      </w:pPr>
      <w:r>
        <w:rPr>
          <w:rFonts w:ascii="Arial" w:cs="Arial" w:eastAsia="Arial" w:hAnsi="Arial"/>
          <w:sz w:val="18"/>
          <w:szCs w:val="18"/>
          <w:color w:val="auto"/>
        </w:rPr>
        <w:t>As of September 30, 2022, the liability for unrecognized tax benefits (excluding accrued interest and penalties) was $1.03 billion.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September 30, 2022 was $264 million. Of these amounts, approximately $1.15 billion could result in potential cash payments.</w:t>
      </w:r>
    </w:p>
    <w:p>
      <w:pPr>
        <w:spacing w:after="0" w:line="219" w:lineRule="exact"/>
        <w:rPr>
          <w:sz w:val="20"/>
          <w:szCs w:val="20"/>
          <w:color w:val="auto"/>
        </w:rPr>
      </w:pPr>
    </w:p>
    <w:p>
      <w:pPr>
        <w:ind w:right="20" w:firstLine="316"/>
        <w:spacing w:after="0" w:line="279" w:lineRule="auto"/>
        <w:rPr>
          <w:sz w:val="20"/>
          <w:szCs w:val="20"/>
          <w:color w:val="auto"/>
        </w:rPr>
      </w:pPr>
      <w:r>
        <w:rPr>
          <w:rFonts w:ascii="Arial" w:cs="Arial" w:eastAsia="Arial" w:hAnsi="Arial"/>
          <w:sz w:val="16"/>
          <w:szCs w:val="16"/>
          <w:color w:val="auto"/>
        </w:rPr>
        <w:t>As previously disclosed, the IRS issued statutory notices of deficiency and notices of proposed adjustments with respect to transfer pricing with our foreign subsidiaries and intercompany payable balances for years 2008 through 2015. In September 2018 and March 2019, we filed petitions with the U.S. Tax Court covering years 2008 through 2012, for which we had received statutory notices of deficiency, while years 2013 through 2015 remain in the jurisdiction of the IRS’s Examination function. The IRS has filed various Amendments to Answer with the U.S. Tax Court which, together with the notices of proposed adjustments, would result in additional federal income tax liabilities totaling approximately $1.6 billion and penalties totaling $449 million with respect to years 2008 through 2015. In May 2022, we and the IRS tentatively reached a settlement for resolving the statutory notices of deficiency and notices of proposed adjustments with respect to years 2008 through 2015 subject to the parties entering into final stipulations and a closing agreement. Based on the tentative settlement for resolution, we expect to pay tax and interest totaling approximately $600 million to $700 million, which we expect to be partially offset by future reductions to our mandatory deemed repatriation tax obligations and tax savings from interest deductions aggregating to approximately $100 to $150 million. While we continue to work with the IRS to come to a final agreement on the federal tax and interest calculations, we are uncertain as to when a final agreement will be reached and the exact timing of when any payments will be made. However, we believe it is reasonably likely that these payments may be made within the next twelve months and have classified that portion of these unrecognized tax benefits, including interest in Income taxes payable on our Condensed Consolidated Balance Sheets as of September 30, 2022. This classification and amount may be subject to change in the next twelve months depending on when we are able to reach a final agreement with the IRS.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Research and Development Expense Capitalization</w:t>
      </w:r>
    </w:p>
    <w:p>
      <w:pPr>
        <w:spacing w:after="0" w:line="241" w:lineRule="exact"/>
        <w:rPr>
          <w:sz w:val="20"/>
          <w:szCs w:val="20"/>
          <w:color w:val="auto"/>
        </w:rPr>
      </w:pPr>
    </w:p>
    <w:p>
      <w:pPr>
        <w:ind w:right="660" w:firstLine="316"/>
        <w:spacing w:after="0" w:line="325" w:lineRule="auto"/>
        <w:rPr>
          <w:sz w:val="20"/>
          <w:szCs w:val="20"/>
          <w:color w:val="auto"/>
        </w:rPr>
      </w:pPr>
      <w:r>
        <w:rPr>
          <w:rFonts w:ascii="Arial" w:cs="Arial" w:eastAsia="Arial" w:hAnsi="Arial"/>
          <w:sz w:val="16"/>
          <w:szCs w:val="16"/>
          <w:color w:val="auto"/>
        </w:rPr>
        <w:t>Beginning in 2023, the 2017 Act requires us to capitalize and amortize research and development expenses rather than expensing them in the year incurred, which is expected to result in materially higher cash tax payments, if not repealed or otherwise modified.</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w:t>
      </w:r>
    </w:p>
    <w:p>
      <w:pPr>
        <w:spacing w:after="0" w:line="241" w:lineRule="exact"/>
        <w:rPr>
          <w:sz w:val="20"/>
          <w:szCs w:val="20"/>
          <w:color w:val="auto"/>
        </w:rPr>
      </w:pPr>
    </w:p>
    <w:p>
      <w:pPr>
        <w:ind w:right="20" w:firstLine="316"/>
        <w:spacing w:after="0" w:line="292" w:lineRule="auto"/>
        <w:rPr>
          <w:sz w:val="20"/>
          <w:szCs w:val="20"/>
          <w:color w:val="auto"/>
        </w:rPr>
      </w:pPr>
      <w:r>
        <w:rPr>
          <w:rFonts w:ascii="Arial" w:cs="Arial" w:eastAsia="Arial" w:hAnsi="Arial"/>
          <w:sz w:val="16"/>
          <w:szCs w:val="16"/>
          <w:color w:val="auto"/>
        </w:rPr>
        <w:t xml:space="preserve">We have generally held a balance of fixed and variable rate debt and periodically have used interest rate swaps to hedge a portion of our fixed rate debt. As of September 30, 2022, our only variable rate debt outstanding was our Term Loan A-2 on which we had pay-fixed interest rate swaps of $2 billion notional amount that would mitigate the impact of fluctuations in variable interest rates on this loan through February 2023. See Part I, Item 3,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Qualitative Disclosures About Market Risks </w:t>
      </w:r>
      <w:r>
        <w:rPr>
          <w:rFonts w:ascii="Arial" w:cs="Arial" w:eastAsia="Arial" w:hAnsi="Arial"/>
          <w:sz w:val="16"/>
          <w:szCs w:val="16"/>
          <w:color w:val="auto"/>
        </w:rPr>
        <w:t>included in this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Exchange Contracts</w:t>
      </w:r>
    </w:p>
    <w:p>
      <w:pPr>
        <w:spacing w:after="0" w:line="241" w:lineRule="exact"/>
        <w:rPr>
          <w:sz w:val="20"/>
          <w:szCs w:val="20"/>
          <w:color w:val="auto"/>
        </w:rPr>
      </w:pPr>
    </w:p>
    <w:p>
      <w:pPr>
        <w:ind w:right="100" w:firstLine="316"/>
        <w:spacing w:after="0" w:line="253"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Arial" w:cs="Arial" w:eastAsia="Arial" w:hAnsi="Arial"/>
          <w:sz w:val="18"/>
          <w:szCs w:val="18"/>
          <w:i w:val="1"/>
          <w:iCs w:val="1"/>
          <w:color w:val="auto"/>
        </w:rPr>
        <w:t>Quantitative and Qualitative Disclosures About Market Risks</w:t>
      </w:r>
      <w:r>
        <w:rPr>
          <w:rFonts w:ascii="Arial" w:cs="Arial" w:eastAsia="Arial" w:hAnsi="Arial"/>
          <w:sz w:val="18"/>
          <w:szCs w:val="18"/>
          <w:color w:val="auto"/>
        </w:rPr>
        <w:t xml:space="preserve"> included in this Quarterly Report on Form 10-Q for additional information.</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Indemnifications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200" w:firstLine="316"/>
        <w:spacing w:after="0" w:line="300" w:lineRule="auto"/>
        <w:rPr>
          <w:sz w:val="20"/>
          <w:szCs w:val="20"/>
          <w:color w:val="auto"/>
        </w:rPr>
      </w:pPr>
      <w:r>
        <w:rPr>
          <w:rFonts w:ascii="Arial" w:cs="Arial" w:eastAsia="Arial" w:hAnsi="Arial"/>
          <w:sz w:val="16"/>
          <w:szCs w:val="16"/>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Repurchase Program</w:t>
      </w:r>
    </w:p>
    <w:p>
      <w:pPr>
        <w:spacing w:after="0" w:line="241" w:lineRule="exact"/>
        <w:rPr>
          <w:sz w:val="20"/>
          <w:szCs w:val="20"/>
          <w:color w:val="auto"/>
        </w:rPr>
      </w:pPr>
    </w:p>
    <w:p>
      <w:pPr>
        <w:ind w:right="160" w:firstLine="316"/>
        <w:spacing w:after="0" w:line="285" w:lineRule="auto"/>
        <w:rPr>
          <w:sz w:val="20"/>
          <w:szCs w:val="20"/>
          <w:color w:val="auto"/>
        </w:rPr>
      </w:pPr>
      <w:r>
        <w:rPr>
          <w:rFonts w:ascii="Arial" w:cs="Arial" w:eastAsia="Arial" w:hAnsi="Arial"/>
          <w:sz w:val="16"/>
          <w:szCs w:val="16"/>
          <w:color w:val="auto"/>
        </w:rPr>
        <w:t>Our Board of Directors has authorized a stock repurchase program for the repurchase of up to $5.0 billion of our common stock, which authorization is effective through July 25, 2023. We did not make any stock repurchases during the three months ended September 30, 2022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September 30, 2022 was $4.5 billion. Repurchases under the stock repurchase program may be made in the open market or in privately negotiated transactions and may be made under a Rule 10b5-1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16"/>
        <w:spacing w:after="0" w:line="316" w:lineRule="auto"/>
        <w:rPr>
          <w:sz w:val="20"/>
          <w:szCs w:val="20"/>
          <w:color w:val="auto"/>
        </w:rPr>
      </w:pPr>
      <w:r>
        <w:rPr>
          <w:rFonts w:ascii="Arial" w:cs="Arial" w:eastAsia="Arial" w:hAnsi="Arial"/>
          <w:sz w:val="15"/>
          <w:szCs w:val="15"/>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3" w:lineRule="exact"/>
        <w:rPr>
          <w:sz w:val="20"/>
          <w:szCs w:val="20"/>
          <w:color w:val="auto"/>
        </w:rPr>
      </w:pPr>
    </w:p>
    <w:p>
      <w:pPr>
        <w:ind w:right="100" w:firstLine="316"/>
        <w:spacing w:after="0" w:line="213" w:lineRule="exact"/>
        <w:rPr>
          <w:sz w:val="20"/>
          <w:szCs w:val="20"/>
          <w:color w:val="auto"/>
        </w:rPr>
      </w:pPr>
      <w:r>
        <w:rPr>
          <w:rFonts w:ascii="Arial" w:cs="Arial" w:eastAsia="Arial" w:hAnsi="Arial"/>
          <w:sz w:val="16"/>
          <w:szCs w:val="16"/>
          <w:color w:val="auto"/>
        </w:rPr>
        <w:t>There have been no material changes in our critical accounting policies and estimates from those disclosed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July 1, 2022. Please refer to Part II, Item 7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for the year ended July 1, 2022 for a discussion of our critical accounting policies and estimates. In addition, as disclosed in Part I, Item 1, Note 3, </w:t>
      </w:r>
      <w:r>
        <w:rPr>
          <w:rFonts w:ascii="Arial" w:cs="Arial" w:eastAsia="Arial" w:hAnsi="Arial"/>
          <w:sz w:val="16"/>
          <w:szCs w:val="16"/>
          <w:i w:val="1"/>
          <w:iCs w:val="1"/>
          <w:color w:val="auto"/>
        </w:rPr>
        <w:t>Business Segments, Geographic Information, and Concentrations of Risk</w:t>
      </w:r>
      <w:r>
        <w:rPr>
          <w:rFonts w:ascii="Arial" w:cs="Arial" w:eastAsia="Arial" w:hAnsi="Arial"/>
          <w:sz w:val="16"/>
          <w:szCs w:val="16"/>
          <w:color w:val="auto"/>
        </w:rPr>
        <w:t>, of the Notes to Condensed Consolidated Financial Statements included in this Quarterly Report on Form 10-Q, as of September 30, 2022, our management identified several factors that warranted a quantitative analysis of impairment for both the Flash and HDD reporting units as of that date. Please refer to that disclosure for additional information on the estimates included in our assessment.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7"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212529"/>
        </w:rPr>
        <w:t xml:space="preserve">Except as disclosed below, there have been no material changes to our market risk during the </w:t>
      </w:r>
      <w:r>
        <w:rPr>
          <w:rFonts w:ascii="Arial" w:cs="Arial" w:eastAsia="Arial" w:hAnsi="Arial"/>
          <w:sz w:val="18"/>
          <w:szCs w:val="18"/>
          <w:color w:val="000000"/>
        </w:rPr>
        <w:t>three months ended September 30, 2022</w:t>
      </w:r>
      <w:r>
        <w:rPr>
          <w:rFonts w:ascii="Arial" w:cs="Arial" w:eastAsia="Arial" w:hAnsi="Arial"/>
          <w:sz w:val="18"/>
          <w:szCs w:val="18"/>
          <w:color w:val="212529"/>
        </w:rPr>
        <w:t xml:space="preserve">. See Part II, Item 7A, </w:t>
      </w:r>
      <w:r>
        <w:rPr>
          <w:rFonts w:ascii="Arial" w:cs="Arial" w:eastAsia="Arial" w:hAnsi="Arial"/>
          <w:sz w:val="18"/>
          <w:szCs w:val="18"/>
          <w:i w:val="1"/>
          <w:iCs w:val="1"/>
          <w:color w:val="212529"/>
        </w:rPr>
        <w:t>Quantitative and Qualitative Disclosures About Market Risks</w:t>
      </w:r>
      <w:r>
        <w:rPr>
          <w:rFonts w:ascii="Arial" w:cs="Arial" w:eastAsia="Arial" w:hAnsi="Arial"/>
          <w:sz w:val="18"/>
          <w:szCs w:val="18"/>
          <w:color w:val="212529"/>
        </w:rPr>
        <w:t xml:space="preserve"> in our Annual Report on Form 10-K for the year ended July 1, 2022 for further information about our exposure to market risk.</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Currency Risk</w:t>
      </w:r>
    </w:p>
    <w:p>
      <w:pPr>
        <w:spacing w:after="0" w:line="241" w:lineRule="exact"/>
        <w:rPr>
          <w:sz w:val="20"/>
          <w:szCs w:val="20"/>
          <w:color w:val="auto"/>
        </w:rPr>
      </w:pPr>
    </w:p>
    <w:p>
      <w:pPr>
        <w:ind w:right="100" w:firstLine="316"/>
        <w:spacing w:after="0" w:line="282" w:lineRule="auto"/>
        <w:rPr>
          <w:sz w:val="20"/>
          <w:szCs w:val="20"/>
          <w:color w:val="auto"/>
        </w:rPr>
      </w:pPr>
      <w:r>
        <w:rPr>
          <w:rFonts w:ascii="Arial" w:cs="Arial" w:eastAsia="Arial" w:hAnsi="Arial"/>
          <w:sz w:val="16"/>
          <w:szCs w:val="16"/>
          <w:color w:val="auto"/>
        </w:rPr>
        <w:t>Due to macroeconomic changes and volatility experienced in the foreign exchange market recently, we believe sensitivity analysis is more informative in representing the potential impact to the portfolio as a result of market movement. Therefore, we have performed sensitivity analyses as of September 30, 2022 and July 1, 2022 using a modeling technique that measures the change in the fair values arising from a hypothetical 10% adverse moveme</w:t>
      </w:r>
      <w:r>
        <w:rPr>
          <w:rFonts w:ascii="Arial" w:cs="Arial" w:eastAsia="Arial" w:hAnsi="Arial"/>
          <w:sz w:val="16"/>
          <w:szCs w:val="16"/>
          <w:color w:val="212529"/>
        </w:rPr>
        <w:t>nt in the levels of</w:t>
      </w:r>
      <w:r>
        <w:rPr>
          <w:rFonts w:ascii="Arial" w:cs="Arial" w:eastAsia="Arial" w:hAnsi="Arial"/>
          <w:sz w:val="16"/>
          <w:szCs w:val="16"/>
          <w:color w:val="auto"/>
        </w:rPr>
        <w:t xml:space="preserve"> </w:t>
      </w:r>
      <w:r>
        <w:rPr>
          <w:rFonts w:ascii="Arial" w:cs="Arial" w:eastAsia="Arial" w:hAnsi="Arial"/>
          <w:sz w:val="16"/>
          <w:szCs w:val="16"/>
          <w:color w:val="212529"/>
        </w:rPr>
        <w:t xml:space="preserve">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w:t>
      </w:r>
      <w:r>
        <w:rPr>
          <w:rFonts w:ascii="Arial" w:cs="Arial" w:eastAsia="Arial" w:hAnsi="Arial"/>
          <w:sz w:val="16"/>
          <w:szCs w:val="16"/>
          <w:color w:val="000000"/>
        </w:rPr>
        <w:t>September 30, 2022</w:t>
      </w:r>
      <w:r>
        <w:rPr>
          <w:rFonts w:ascii="Arial" w:cs="Arial" w:eastAsia="Arial" w:hAnsi="Arial"/>
          <w:sz w:val="16"/>
          <w:szCs w:val="16"/>
          <w:color w:val="212529"/>
        </w:rPr>
        <w:t xml:space="preserve"> and July 1, 2022. The sensitivity analyses indicated that a hypothetical 10% adverse movement in foreign currency exchange rates relative to the U.S. dollar would result in a foreign exchange fair value loss of </w:t>
      </w:r>
      <w:r>
        <w:rPr>
          <w:rFonts w:ascii="Arial" w:cs="Arial" w:eastAsia="Arial" w:hAnsi="Arial"/>
          <w:sz w:val="16"/>
          <w:szCs w:val="16"/>
          <w:color w:val="000000"/>
        </w:rPr>
        <w:t>$303</w:t>
      </w:r>
      <w:r>
        <w:rPr>
          <w:rFonts w:ascii="Arial" w:cs="Arial" w:eastAsia="Arial" w:hAnsi="Arial"/>
          <w:sz w:val="16"/>
          <w:szCs w:val="16"/>
          <w:color w:val="212529"/>
        </w:rPr>
        <w:t xml:space="preserve"> million and $306 million at </w:t>
      </w:r>
      <w:r>
        <w:rPr>
          <w:rFonts w:ascii="Arial" w:cs="Arial" w:eastAsia="Arial" w:hAnsi="Arial"/>
          <w:sz w:val="16"/>
          <w:szCs w:val="16"/>
          <w:color w:val="000000"/>
        </w:rPr>
        <w:t>September 30, 2022</w:t>
      </w:r>
      <w:r>
        <w:rPr>
          <w:rFonts w:ascii="Arial" w:cs="Arial" w:eastAsia="Arial" w:hAnsi="Arial"/>
          <w:sz w:val="16"/>
          <w:szCs w:val="16"/>
          <w:color w:val="212529"/>
        </w:rPr>
        <w:t xml:space="preserve"> and July 1, 2022, respectively.</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 Risk</w:t>
      </w:r>
    </w:p>
    <w:p>
      <w:pPr>
        <w:spacing w:after="0" w:line="241"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We have generally held a balance of fixed and variable rate debt. As of September 30, 2022, our only variable rate debt outstanding was our Term Loan A-2, which bears interest, at the Company’s option, at a per annum rate equal to either (x) the Adjusted Term Secured Overnight Financing Rate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Moody’s Investors Service, Inc. and Fitch Ratings, Inc., with an initial interest rate of Adjusted Term SOFR plus 1.375%.</w:t>
      </w:r>
    </w:p>
    <w:p>
      <w:pPr>
        <w:spacing w:after="0" w:line="192" w:lineRule="exact"/>
        <w:rPr>
          <w:sz w:val="20"/>
          <w:szCs w:val="20"/>
          <w:color w:val="auto"/>
        </w:rPr>
      </w:pPr>
    </w:p>
    <w:p>
      <w:pPr>
        <w:ind w:right="40" w:firstLine="316"/>
        <w:spacing w:after="0" w:line="253" w:lineRule="auto"/>
        <w:rPr>
          <w:sz w:val="20"/>
          <w:szCs w:val="20"/>
          <w:color w:val="auto"/>
        </w:rPr>
      </w:pPr>
      <w:r>
        <w:rPr>
          <w:rFonts w:ascii="Arial" w:cs="Arial" w:eastAsia="Arial" w:hAnsi="Arial"/>
          <w:sz w:val="18"/>
          <w:szCs w:val="18"/>
          <w:color w:val="auto"/>
        </w:rPr>
        <w:t>As of September 30, 2022, the outstanding balance on our Term Loan A-2 was $2.7 billion and a one percent increase in the variable rate of interest would increase annual interest expense by $27 million. We currently have pay-fixed interest rate swaps of $2 billion notional amount that would mitigate the impact of fluctuations in variable interest rates through February 2023.</w:t>
      </w:r>
    </w:p>
    <w:p>
      <w:pPr>
        <w:spacing w:after="0" w:line="200" w:lineRule="exact"/>
        <w:rPr>
          <w:sz w:val="20"/>
          <w:szCs w:val="20"/>
          <w:color w:val="auto"/>
        </w:rPr>
      </w:pPr>
    </w:p>
    <w:p>
      <w:pPr>
        <w:spacing w:after="0" w:line="2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1"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41"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of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PART II. OTHER INFORMATION</w:t>
      </w: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47" w:lineRule="exact"/>
        <w:rPr>
          <w:sz w:val="20"/>
          <w:szCs w:val="20"/>
          <w:color w:val="auto"/>
        </w:rPr>
      </w:pPr>
    </w:p>
    <w:p>
      <w:pPr>
        <w:jc w:val="both"/>
        <w:ind w:right="180" w:firstLine="316"/>
        <w:spacing w:after="0" w:line="292" w:lineRule="auto"/>
        <w:rPr>
          <w:sz w:val="20"/>
          <w:szCs w:val="20"/>
          <w:color w:val="auto"/>
        </w:rPr>
      </w:pPr>
      <w:r>
        <w:rPr>
          <w:rFonts w:ascii="Arial" w:cs="Arial" w:eastAsia="Arial" w:hAnsi="Arial"/>
          <w:sz w:val="16"/>
          <w:szCs w:val="16"/>
          <w:color w:val="auto"/>
        </w:rPr>
        <w:t xml:space="preserve">See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10-Q for disclosures regarding statutory notices of deficiency issued by the IRS in June 2018 and December 2018, petitions filed by the Company with the U.S. Tax Court in September 2018 and March 2019, additional penalties asserted by the IRS in March 2021 and further Amendments to Answers filed by the IRS in June 2021 and January 2022, and a tentative resolution with respect to certain matters.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47"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We have described under the heading “Risk Factors” in Part I, Item 1A of our Annual Report on Form 10-K for the year ended July 1, 2022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for the year ended July 1, 2022.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tcPr>
          <w:p>
            <w:pPr>
              <w:ind w:left="3640"/>
              <w:spacing w:after="0"/>
              <w:rPr>
                <w:sz w:val="20"/>
                <w:szCs w:val="20"/>
                <w:color w:val="auto"/>
              </w:rPr>
            </w:pPr>
            <w:r>
              <w:rPr>
                <w:rFonts w:ascii="Arial" w:cs="Arial" w:eastAsia="Arial" w:hAnsi="Arial"/>
                <w:sz w:val="19"/>
                <w:szCs w:val="19"/>
                <w:b w:val="1"/>
                <w:bCs w:val="1"/>
                <w:color w:val="auto"/>
              </w:rPr>
              <w:t>EXHIBIT INDEX</w:t>
            </w:r>
          </w:p>
        </w:tc>
      </w:tr>
      <w:tr>
        <w:trPr>
          <w:trHeight w:val="207"/>
        </w:trPr>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6"/>
              </w:rPr>
              <w:t>Exhibit</w:t>
            </w:r>
          </w:p>
        </w:tc>
        <w:tc>
          <w:tcPr>
            <w:tcW w:w="10000" w:type="dxa"/>
            <w:vAlign w:val="bottom"/>
          </w:tcPr>
          <w:p>
            <w:pPr>
              <w:spacing w:after="0"/>
              <w:rPr>
                <w:sz w:val="17"/>
                <w:szCs w:val="17"/>
                <w:color w:val="auto"/>
              </w:rPr>
            </w:pPr>
          </w:p>
        </w:tc>
      </w:tr>
      <w:tr>
        <w:trPr>
          <w:trHeight w:val="236"/>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Number</w:t>
            </w:r>
          </w:p>
        </w:tc>
        <w:tc>
          <w:tcPr>
            <w:tcW w:w="10000" w:type="dxa"/>
            <w:vAlign w:val="bottom"/>
          </w:tcPr>
          <w:p>
            <w:pPr>
              <w:ind w:left="4580"/>
              <w:spacing w:after="0"/>
              <w:rPr>
                <w:sz w:val="20"/>
                <w:szCs w:val="20"/>
                <w:color w:val="auto"/>
              </w:rPr>
            </w:pPr>
            <w:r>
              <w:rPr>
                <w:rFonts w:ascii="Arial" w:cs="Arial" w:eastAsia="Arial" w:hAnsi="Arial"/>
                <w:sz w:val="18"/>
                <w:szCs w:val="18"/>
                <w:color w:val="auto"/>
              </w:rPr>
              <w:t>Description</w:t>
            </w:r>
          </w:p>
        </w:tc>
      </w:tr>
      <w:tr>
        <w:trPr>
          <w:trHeight w:val="178"/>
        </w:trPr>
        <w:tc>
          <w:tcPr>
            <w:tcW w:w="720" w:type="dxa"/>
            <w:vAlign w:val="bottom"/>
            <w:tcBorders>
              <w:top w:val="single" w:sz="8" w:color="auto"/>
              <w:right w:val="single" w:sz="8" w:color="CCEEFF"/>
            </w:tcBorders>
            <w:gridSpan w:val="2"/>
            <w:shd w:val="clear" w:color="auto" w:fill="CCEEFF"/>
          </w:tcPr>
          <w:p>
            <w:pPr>
              <w:jc w:val="center"/>
              <w:ind w:left="332"/>
              <w:spacing w:after="0" w:line="178" w:lineRule="exact"/>
              <w:rPr>
                <w:rFonts w:ascii="Arial" w:cs="Arial" w:eastAsia="Arial" w:hAnsi="Arial"/>
                <w:sz w:val="18"/>
                <w:szCs w:val="18"/>
                <w:color w:val="0000FF"/>
                <w:w w:val="87"/>
              </w:rPr>
            </w:pPr>
            <w:hyperlink r:id="rId10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color w:val="auto"/>
                <w:w w:val="96"/>
              </w:rPr>
              <w:t>Amended and Restated Certificate of Incorporation of Western Digital Corporation, as amended to date (Filed as Exhibit 3.1 to the</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8, 2006)</w:t>
            </w:r>
          </w:p>
        </w:tc>
      </w:tr>
      <w:tr>
        <w:trPr>
          <w:trHeight w:val="185"/>
        </w:trPr>
        <w:tc>
          <w:tcPr>
            <w:tcW w:w="720" w:type="dxa"/>
            <w:vAlign w:val="bottom"/>
            <w:gridSpan w:val="2"/>
          </w:tcPr>
          <w:p>
            <w:pPr>
              <w:jc w:val="center"/>
              <w:ind w:left="332"/>
              <w:spacing w:after="0" w:line="185" w:lineRule="exact"/>
              <w:rPr>
                <w:rFonts w:ascii="Arial" w:cs="Arial" w:eastAsia="Arial" w:hAnsi="Arial"/>
                <w:sz w:val="18"/>
                <w:szCs w:val="18"/>
                <w:color w:val="0000FF"/>
                <w:w w:val="87"/>
              </w:rPr>
            </w:pPr>
            <w:hyperlink r:id="rId10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Amended and Restated By-Laws of Western Digital Corporation, as amended effective as of February 10, 2021 (Filed as Exhibit 3.1 to the</w:t>
            </w:r>
          </w:p>
        </w:tc>
      </w:tr>
      <w:tr>
        <w:trPr>
          <w:trHeight w:val="203"/>
        </w:trPr>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spacing w:after="0" w:line="202" w:lineRule="exact"/>
              <w:rPr>
                <w:sz w:val="20"/>
                <w:szCs w:val="20"/>
                <w:color w:val="auto"/>
              </w:rPr>
            </w:pPr>
            <w:r>
              <w:rPr>
                <w:rFonts w:ascii="Arial" w:cs="Arial" w:eastAsia="Arial" w:hAnsi="Arial"/>
                <w:sz w:val="18"/>
                <w:szCs w:val="18"/>
                <w:color w:val="auto"/>
                <w:w w:val="97"/>
              </w:rPr>
              <w:t>Company’s Current Report on Form 8-K (File No. 1-08703) with the Securities and Exchange Commission on February 12, 2021)</w:t>
            </w:r>
          </w:p>
        </w:tc>
      </w:tr>
      <w:tr>
        <w:trPr>
          <w:trHeight w:val="185"/>
        </w:trPr>
        <w:tc>
          <w:tcPr>
            <w:tcW w:w="1120" w:type="dxa"/>
            <w:vAlign w:val="bottom"/>
            <w:gridSpan w:val="3"/>
            <w:shd w:val="clear" w:color="auto" w:fill="CCEEFF"/>
          </w:tcPr>
          <w:p>
            <w:pPr>
              <w:jc w:val="center"/>
              <w:spacing w:after="0" w:line="186" w:lineRule="exact"/>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0"/>
              </w:rPr>
              <w:t>Form of Notice of Grant of Performance Stock Units and Performance Stock Unit Award Agreement under the Western Digital Corporation</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2021 Long-Term Incentive Plan†*</w:t>
            </w:r>
          </w:p>
        </w:tc>
      </w:tr>
      <w:tr>
        <w:trPr>
          <w:trHeight w:val="185"/>
        </w:trPr>
        <w:tc>
          <w:tcPr>
            <w:tcW w:w="1120" w:type="dxa"/>
            <w:vAlign w:val="bottom"/>
            <w:gridSpan w:val="3"/>
          </w:tcPr>
          <w:p>
            <w:pPr>
              <w:jc w:val="center"/>
              <w:spacing w:after="0" w:line="185"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94"/>
        </w:trPr>
        <w:tc>
          <w:tcPr>
            <w:tcW w:w="112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0"/>
        </w:trPr>
        <w:tc>
          <w:tcPr>
            <w:tcW w:w="46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0" w:type="dxa"/>
            <w:vAlign w:val="bottom"/>
            <w:shd w:val="clear" w:color="auto" w:fill="CCEEFF"/>
          </w:tcPr>
          <w:p>
            <w:pPr>
              <w:spacing w:after="0"/>
              <w:rPr>
                <w:sz w:val="3"/>
                <w:szCs w:val="3"/>
                <w:color w:val="auto"/>
              </w:rPr>
            </w:pPr>
          </w:p>
        </w:tc>
      </w:tr>
      <w:tr>
        <w:trPr>
          <w:trHeight w:val="185"/>
        </w:trPr>
        <w:tc>
          <w:tcPr>
            <w:tcW w:w="1120" w:type="dxa"/>
            <w:vAlign w:val="bottom"/>
            <w:gridSpan w:val="3"/>
          </w:tcPr>
          <w:p>
            <w:pPr>
              <w:jc w:val="center"/>
              <w:spacing w:after="0" w:line="185"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r>
      <w:tr>
        <w:trPr>
          <w:trHeight w:val="203"/>
        </w:trPr>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spacing w:after="0" w:line="202" w:lineRule="exact"/>
              <w:rPr>
                <w:sz w:val="20"/>
                <w:szCs w:val="20"/>
                <w:color w:val="auto"/>
              </w:rPr>
            </w:pPr>
            <w:r>
              <w:rPr>
                <w:rFonts w:ascii="Arial" w:cs="Arial" w:eastAsia="Arial" w:hAnsi="Arial"/>
                <w:sz w:val="18"/>
                <w:szCs w:val="18"/>
                <w:color w:val="auto"/>
              </w:rPr>
              <w:t>of 2002**</w:t>
            </w:r>
          </w:p>
        </w:tc>
      </w:tr>
      <w:tr>
        <w:trPr>
          <w:trHeight w:val="185"/>
        </w:trPr>
        <w:tc>
          <w:tcPr>
            <w:tcW w:w="1120" w:type="dxa"/>
            <w:vAlign w:val="bottom"/>
            <w:gridSpan w:val="3"/>
            <w:shd w:val="clear" w:color="auto" w:fill="CCEEFF"/>
          </w:tcPr>
          <w:p>
            <w:pPr>
              <w:jc w:val="center"/>
              <w:spacing w:after="0" w:line="186"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2002**</w:t>
            </w:r>
          </w:p>
        </w:tc>
      </w:tr>
      <w:tr>
        <w:trPr>
          <w:trHeight w:val="172"/>
        </w:trPr>
        <w:tc>
          <w:tcPr>
            <w:tcW w:w="1240" w:type="dxa"/>
            <w:vAlign w:val="bottom"/>
            <w:gridSpan w:val="4"/>
          </w:tcPr>
          <w:p>
            <w:pPr>
              <w:jc w:val="center"/>
              <w:ind w:right="100"/>
              <w:spacing w:after="0" w:line="172" w:lineRule="exact"/>
              <w:rPr>
                <w:sz w:val="20"/>
                <w:szCs w:val="20"/>
                <w:color w:val="auto"/>
              </w:rPr>
            </w:pPr>
            <w:r>
              <w:rPr>
                <w:rFonts w:ascii="Arial" w:cs="Arial" w:eastAsia="Arial" w:hAnsi="Arial"/>
                <w:sz w:val="18"/>
                <w:szCs w:val="18"/>
                <w:color w:val="auto"/>
                <w:w w:val="89"/>
              </w:rPr>
              <w:t>101.INS</w:t>
            </w:r>
          </w:p>
        </w:tc>
        <w:tc>
          <w:tcPr>
            <w:tcW w:w="10000" w:type="dxa"/>
            <w:vAlign w:val="bottom"/>
          </w:tcPr>
          <w:p>
            <w:pPr>
              <w:spacing w:after="0" w:line="172"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r>
      <w:tr>
        <w:trPr>
          <w:trHeight w:val="230"/>
        </w:trPr>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the Inline XBRL document</w:t>
            </w:r>
          </w:p>
        </w:tc>
      </w:tr>
      <w:tr>
        <w:trPr>
          <w:trHeight w:val="231"/>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101.SCH</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101.CAL</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5"/>
              </w:rPr>
              <w:t>101.LAB</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85"/>
              </w:rPr>
              <w:t>101.PRE</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25"/>
        </w:trPr>
        <w:tc>
          <w:tcPr>
            <w:tcW w:w="12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0"/>
              </w:rPr>
              <w:t>101.DEF</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 w:lineRule="exact"/>
        <w:rPr>
          <w:sz w:val="20"/>
          <w:szCs w:val="20"/>
          <w:color w:val="auto"/>
        </w:rPr>
      </w:pPr>
    </w:p>
    <w:p>
      <w:pPr>
        <w:ind w:left="1240" w:hanging="806"/>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254" w:lineRule="exact"/>
        <w:rPr>
          <w:rFonts w:ascii="Arial" w:cs="Arial" w:eastAsia="Arial" w:hAnsi="Arial"/>
          <w:sz w:val="18"/>
          <w:szCs w:val="18"/>
          <w:color w:val="auto"/>
        </w:rPr>
      </w:pPr>
    </w:p>
    <w:p>
      <w:pPr>
        <w:ind w:left="260" w:hanging="254"/>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-215265</wp:posOffset>
            </wp:positionV>
            <wp:extent cx="9715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260" w:right="240" w:hanging="315"/>
        <w:spacing w:after="0" w:line="244" w:lineRule="auto"/>
        <w:tabs>
          <w:tab w:leader="none" w:pos="240" w:val="left"/>
        </w:tabs>
        <w:rPr>
          <w:sz w:val="20"/>
          <w:szCs w:val="20"/>
          <w:color w:val="auto"/>
        </w:rPr>
      </w:pPr>
      <w:r>
        <w:rPr>
          <w:rFonts w:ascii="Arial" w:cs="Arial" w:eastAsia="Arial" w:hAnsi="Arial"/>
          <w:sz w:val="18"/>
          <w:szCs w:val="18"/>
          <w:color w:val="auto"/>
        </w:rPr>
        <w:t>*</w:t>
        <w:tab/>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w:t>
      </w:r>
    </w:p>
    <w:p>
      <w:pPr>
        <w:spacing w:after="0" w:line="267" w:lineRule="exact"/>
        <w:rPr>
          <w:sz w:val="20"/>
          <w:szCs w:val="20"/>
          <w:color w:val="auto"/>
        </w:rPr>
      </w:pPr>
    </w:p>
    <w:p>
      <w:pPr>
        <w:ind w:right="620" w:firstLine="3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WESTERN DIGITAL CORPORATION</w:t>
      </w:r>
    </w:p>
    <w:p>
      <w:pPr>
        <w:spacing w:after="0" w:line="175" w:lineRule="exact"/>
        <w:rPr>
          <w:sz w:val="20"/>
          <w:szCs w:val="20"/>
          <w:color w:val="auto"/>
        </w:rPr>
      </w:pPr>
    </w:p>
    <w:p>
      <w:pPr>
        <w:ind w:left="6360"/>
        <w:spacing w:after="0"/>
        <w:tabs>
          <w:tab w:leader="none" w:pos="6800" w:val="left"/>
        </w:tabs>
        <w:rPr>
          <w:sz w:val="20"/>
          <w:szCs w:val="20"/>
          <w:color w:val="auto"/>
        </w:rPr>
      </w:pPr>
      <w:r>
        <w:rPr>
          <w:rFonts w:ascii="Arial" w:cs="Arial" w:eastAsia="Arial" w:hAnsi="Arial"/>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10160</wp:posOffset>
            </wp:positionV>
            <wp:extent cx="28759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87591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 Zamiska</w:t>
      </w:r>
    </w:p>
    <w:p>
      <w:pPr>
        <w:jc w:val="right"/>
        <w:spacing w:after="0" w:line="235" w:lineRule="auto"/>
        <w:rPr>
          <w:sz w:val="20"/>
          <w:szCs w:val="20"/>
          <w:color w:val="auto"/>
        </w:rPr>
      </w:pPr>
      <w:r>
        <w:rPr>
          <w:rFonts w:ascii="Arial" w:cs="Arial" w:eastAsia="Arial" w:hAnsi="Arial"/>
          <w:sz w:val="18"/>
          <w:szCs w:val="18"/>
          <w:i w:val="1"/>
          <w:iCs w:val="1"/>
          <w:color w:val="auto"/>
        </w:rPr>
        <w:t>Senior Vice President, Global Accounting and Chief Accounting</w:t>
      </w:r>
    </w:p>
    <w:p>
      <w:pPr>
        <w:ind w:left="6820"/>
        <w:spacing w:after="0"/>
        <w:rPr>
          <w:sz w:val="20"/>
          <w:szCs w:val="20"/>
          <w:color w:val="auto"/>
        </w:rPr>
      </w:pPr>
      <w:r>
        <w:rPr>
          <w:rFonts w:ascii="Arial" w:cs="Arial" w:eastAsia="Arial" w:hAnsi="Arial"/>
          <w:sz w:val="18"/>
          <w:szCs w:val="18"/>
          <w:i w:val="1"/>
          <w:iCs w:val="1"/>
          <w:color w:val="auto"/>
        </w:rPr>
        <w:t>Officer</w:t>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Accounting Officer)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2022</w:t>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320" w:top="127" w:right="239" w:bottom="1440" w:gutter="0" w:footer="0" w:header="0"/>
        </w:sectPr>
      </w:pPr>
    </w:p>
    <w:bookmarkStart w:id="54" w:name="page55"/>
    <w:bookmarkEnd w:id="54"/>
    <w:p>
      <w:pPr>
        <w:ind w:left="10340"/>
        <w:spacing w:after="0"/>
        <w:rPr>
          <w:sz w:val="20"/>
          <w:szCs w:val="20"/>
          <w:color w:val="auto"/>
        </w:rPr>
      </w:pPr>
      <w:r>
        <w:rPr>
          <w:rFonts w:ascii="Arial" w:cs="Arial" w:eastAsia="Arial" w:hAnsi="Arial"/>
          <w:sz w:val="16"/>
          <w:szCs w:val="16"/>
          <w:b w:val="1"/>
          <w:bCs w:val="1"/>
          <w:color w:val="auto"/>
        </w:rPr>
        <w:t>Exhibit 10.1</w:t>
      </w:r>
    </w:p>
    <w:p>
      <w:pPr>
        <w:spacing w:after="0" w:line="22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4100"/>
        <w:spacing w:after="0" w:line="198" w:lineRule="auto"/>
        <w:rPr>
          <w:sz w:val="20"/>
          <w:szCs w:val="20"/>
          <w:color w:val="auto"/>
        </w:rPr>
      </w:pPr>
      <w:r>
        <w:rPr>
          <w:rFonts w:ascii="Arial" w:cs="Arial" w:eastAsia="Arial" w:hAnsi="Arial"/>
          <w:sz w:val="18"/>
          <w:szCs w:val="18"/>
          <w:b w:val="1"/>
          <w:bCs w:val="1"/>
          <w:color w:val="auto"/>
        </w:rPr>
        <w:t>2021 LONG-TERM INCENTIVE PLAN</w:t>
      </w:r>
    </w:p>
    <w:p>
      <w:pPr>
        <w:jc w:val="center"/>
        <w:ind w:right="20"/>
        <w:spacing w:after="0" w:line="214" w:lineRule="auto"/>
        <w:rPr>
          <w:sz w:val="20"/>
          <w:szCs w:val="20"/>
          <w:color w:val="auto"/>
        </w:rPr>
      </w:pPr>
      <w:r>
        <w:rPr>
          <w:rFonts w:ascii="Arial" w:cs="Arial" w:eastAsia="Arial" w:hAnsi="Arial"/>
          <w:sz w:val="18"/>
          <w:szCs w:val="18"/>
          <w:b w:val="1"/>
          <w:bCs w:val="1"/>
          <w:color w:val="auto"/>
        </w:rPr>
        <w:t>GRANT NOTICE FOR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STOCK UNIT AWARD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FOR GOOD AND VALUABLE CONSIDERATION, 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the Participant named below the number</w:t>
      </w:r>
    </w:p>
    <w:p>
      <w:pPr>
        <w:spacing w:after="0" w:line="15"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color w:val="auto"/>
        </w:rPr>
        <w:t>of Performance Stock Units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listed below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Western Digital Corporation 2021 Long-Term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Each PSU represents the right to receive one share of Common Stock, subject to the terms and conditions in this Grant Notice, the Plan and the Standard Terms and Conditions (the “</w:t>
      </w:r>
      <w:r>
        <w:rPr>
          <w:rFonts w:ascii="Arial" w:cs="Arial" w:eastAsia="Arial" w:hAnsi="Arial"/>
          <w:sz w:val="16"/>
          <w:szCs w:val="16"/>
          <w:b w:val="1"/>
          <w:bCs w:val="1"/>
          <w:i w:val="1"/>
          <w:iCs w:val="1"/>
          <w:color w:val="auto"/>
        </w:rPr>
        <w:t>Standard Terms and Conditions</w:t>
      </w:r>
      <w:r>
        <w:rPr>
          <w:rFonts w:ascii="Arial" w:cs="Arial" w:eastAsia="Arial" w:hAnsi="Arial"/>
          <w:sz w:val="16"/>
          <w:szCs w:val="16"/>
          <w:color w:val="auto"/>
        </w:rPr>
        <w:t xml:space="preserve">”) of such Plan,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Capitalized terms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otherwise defined here shall have the meaning set forth in the Plan.</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6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Participant:</w:t>
            </w:r>
          </w:p>
        </w:tc>
        <w:tc>
          <w:tcPr>
            <w:tcW w:w="12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666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 ID</w:t>
            </w: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Date:</w:t>
            </w: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Number</w:t>
            </w: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Target Number of PSUs:</w:t>
            </w: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Schedule:</w:t>
            </w:r>
          </w:p>
        </w:tc>
        <w:tc>
          <w:tcPr>
            <w:tcW w:w="85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w w:val="91"/>
              </w:rPr>
              <w:t>The vesting date of the PSUs is [ ] (the “</w:t>
            </w:r>
            <w:r>
              <w:rPr>
                <w:rFonts w:ascii="Arial" w:cs="Arial" w:eastAsia="Arial" w:hAnsi="Arial"/>
                <w:sz w:val="18"/>
                <w:szCs w:val="18"/>
                <w:b w:val="1"/>
                <w:bCs w:val="1"/>
                <w:i w:val="1"/>
                <w:iCs w:val="1"/>
                <w:color w:val="auto"/>
                <w:w w:val="91"/>
              </w:rPr>
              <w:t>Vesting Date</w:t>
            </w:r>
            <w:r>
              <w:rPr>
                <w:rFonts w:ascii="Arial" w:cs="Arial" w:eastAsia="Arial" w:hAnsi="Arial"/>
                <w:sz w:val="18"/>
                <w:szCs w:val="18"/>
                <w:color w:val="auto"/>
                <w:w w:val="91"/>
              </w:rPr>
              <w:t>”). Vesting shall be subject to Participant’s Continuous Service</w:t>
            </w:r>
          </w:p>
        </w:tc>
        <w:tc>
          <w:tcPr>
            <w:tcW w:w="0" w:type="dxa"/>
            <w:vAlign w:val="bottom"/>
          </w:tcPr>
          <w:p>
            <w:pPr>
              <w:spacing w:after="0"/>
              <w:rPr>
                <w:sz w:val="1"/>
                <w:szCs w:val="1"/>
                <w:color w:val="auto"/>
              </w:rPr>
            </w:pPr>
          </w:p>
        </w:tc>
      </w:tr>
      <w:tr>
        <w:trPr>
          <w:trHeight w:val="107"/>
        </w:trPr>
        <w:tc>
          <w:tcPr>
            <w:tcW w:w="2680" w:type="dxa"/>
            <w:vAlign w:val="bottom"/>
            <w:tcBorders>
              <w:left w:val="single" w:sz="8" w:color="auto"/>
              <w:right w:val="single" w:sz="8" w:color="auto"/>
            </w:tcBorders>
          </w:tcPr>
          <w:p>
            <w:pPr>
              <w:spacing w:after="0"/>
              <w:rPr>
                <w:sz w:val="9"/>
                <w:szCs w:val="9"/>
                <w:color w:val="auto"/>
              </w:rPr>
            </w:pPr>
          </w:p>
        </w:tc>
        <w:tc>
          <w:tcPr>
            <w:tcW w:w="85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from the Grant Date through the Vesting Date, unless provided otherwise under Section 2 of the Standard Terms and</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Conditions.</w:t>
            </w:r>
          </w:p>
        </w:tc>
        <w:tc>
          <w:tcPr>
            <w:tcW w:w="0" w:type="dxa"/>
            <w:vAlign w:val="bottom"/>
          </w:tcPr>
          <w:p>
            <w:pPr>
              <w:spacing w:after="0"/>
              <w:rPr>
                <w:sz w:val="1"/>
                <w:szCs w:val="1"/>
                <w:color w:val="auto"/>
              </w:rPr>
            </w:pPr>
          </w:p>
        </w:tc>
      </w:tr>
      <w:tr>
        <w:trPr>
          <w:trHeight w:val="133"/>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80" w:type="dxa"/>
            <w:vAlign w:val="bottom"/>
            <w:tcBorders>
              <w:left w:val="single" w:sz="8" w:color="auto"/>
              <w:right w:val="single" w:sz="8" w:color="auto"/>
            </w:tcBorders>
          </w:tcPr>
          <w:p>
            <w:pPr>
              <w:ind w:left="80"/>
              <w:spacing w:after="0" w:line="165" w:lineRule="exact"/>
              <w:rPr>
                <w:sz w:val="20"/>
                <w:szCs w:val="20"/>
                <w:color w:val="auto"/>
              </w:rPr>
            </w:pPr>
            <w:r>
              <w:rPr>
                <w:rFonts w:ascii="Arial" w:cs="Arial" w:eastAsia="Arial" w:hAnsi="Arial"/>
                <w:sz w:val="18"/>
                <w:szCs w:val="18"/>
                <w:color w:val="auto"/>
              </w:rPr>
              <w:t>Performance Period and</w:t>
            </w:r>
          </w:p>
        </w:tc>
        <w:tc>
          <w:tcPr>
            <w:tcW w:w="85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w w:val="91"/>
              </w:rPr>
              <w:t>The PSUs shall be eligible to vest based on performance during the three-year Performance Period, which spans the</w:t>
            </w:r>
          </w:p>
        </w:tc>
        <w:tc>
          <w:tcPr>
            <w:tcW w:w="0" w:type="dxa"/>
            <w:vAlign w:val="bottom"/>
          </w:tcPr>
          <w:p>
            <w:pPr>
              <w:spacing w:after="0"/>
              <w:rPr>
                <w:sz w:val="1"/>
                <w:szCs w:val="1"/>
                <w:color w:val="auto"/>
              </w:rPr>
            </w:pPr>
          </w:p>
        </w:tc>
      </w:tr>
      <w:tr>
        <w:trPr>
          <w:trHeight w:val="171"/>
        </w:trPr>
        <w:tc>
          <w:tcPr>
            <w:tcW w:w="2680" w:type="dxa"/>
            <w:vAlign w:val="bottom"/>
            <w:tcBorders>
              <w:left w:val="single" w:sz="8" w:color="auto"/>
              <w:right w:val="single" w:sz="8" w:color="auto"/>
            </w:tcBorders>
          </w:tcPr>
          <w:p>
            <w:pPr>
              <w:ind w:left="80"/>
              <w:spacing w:after="0" w:line="170" w:lineRule="exact"/>
              <w:rPr>
                <w:sz w:val="20"/>
                <w:szCs w:val="20"/>
                <w:color w:val="auto"/>
              </w:rPr>
            </w:pPr>
            <w:r>
              <w:rPr>
                <w:rFonts w:ascii="Arial" w:cs="Arial" w:eastAsia="Arial" w:hAnsi="Arial"/>
                <w:sz w:val="18"/>
                <w:szCs w:val="18"/>
                <w:color w:val="auto"/>
              </w:rPr>
              <w:t>Measurement Periods:</w:t>
            </w:r>
          </w:p>
        </w:tc>
        <w:tc>
          <w:tcPr>
            <w:tcW w:w="858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80" w:type="dxa"/>
            <w:vAlign w:val="bottom"/>
            <w:tcBorders>
              <w:left w:val="single" w:sz="8" w:color="auto"/>
              <w:right w:val="single" w:sz="8" w:color="auto"/>
            </w:tcBorders>
          </w:tcPr>
          <w:p>
            <w:pPr>
              <w:spacing w:after="0"/>
              <w:rPr>
                <w:sz w:val="17"/>
                <w:szCs w:val="17"/>
                <w:color w:val="auto"/>
              </w:rPr>
            </w:pPr>
          </w:p>
        </w:tc>
        <w:tc>
          <w:tcPr>
            <w:tcW w:w="8580" w:type="dxa"/>
            <w:vAlign w:val="bottom"/>
            <w:tcBorders>
              <w:right w:val="single" w:sz="8" w:color="auto"/>
            </w:tcBorders>
            <w:gridSpan w:val="3"/>
          </w:tcPr>
          <w:p>
            <w:pPr>
              <w:ind w:left="60"/>
              <w:spacing w:after="0" w:line="199" w:lineRule="exact"/>
              <w:rPr>
                <w:sz w:val="20"/>
                <w:szCs w:val="20"/>
                <w:color w:val="auto"/>
              </w:rPr>
            </w:pPr>
            <w:r>
              <w:rPr>
                <w:rFonts w:ascii="Arial" w:cs="Arial" w:eastAsia="Arial" w:hAnsi="Arial"/>
                <w:sz w:val="18"/>
                <w:szCs w:val="18"/>
                <w:color w:val="auto"/>
                <w:w w:val="91"/>
              </w:rPr>
              <w:t>First, Second and Third Measurement Periods (the “Annual Measurement Periods”). The Performance Period begins</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on the first day of the First Measurement Period and ends on the last day of the Third Measurement Period.</w:t>
            </w:r>
          </w:p>
        </w:tc>
        <w:tc>
          <w:tcPr>
            <w:tcW w:w="0" w:type="dxa"/>
            <w:vAlign w:val="bottom"/>
          </w:tcPr>
          <w:p>
            <w:pPr>
              <w:spacing w:after="0"/>
              <w:rPr>
                <w:sz w:val="1"/>
                <w:szCs w:val="1"/>
                <w:color w:val="auto"/>
              </w:rPr>
            </w:pPr>
          </w:p>
        </w:tc>
      </w:tr>
      <w:tr>
        <w:trPr>
          <w:trHeight w:val="252"/>
        </w:trPr>
        <w:tc>
          <w:tcPr>
            <w:tcW w:w="268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   First Measurement Period begins [ ] and ends [ ].</w:t>
            </w: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tcPr>
          <w:p>
            <w:pPr>
              <w:spacing w:after="0"/>
              <w:rPr>
                <w:sz w:val="16"/>
                <w:szCs w:val="16"/>
                <w:color w:val="auto"/>
              </w:rPr>
            </w:pPr>
          </w:p>
        </w:tc>
        <w:tc>
          <w:tcPr>
            <w:tcW w:w="8580" w:type="dxa"/>
            <w:vAlign w:val="bottom"/>
            <w:tcBorders>
              <w:right w:val="single" w:sz="8" w:color="auto"/>
            </w:tcBorders>
            <w:gridSpan w:val="3"/>
          </w:tcPr>
          <w:p>
            <w:pPr>
              <w:ind w:left="60"/>
              <w:spacing w:after="0" w:line="185" w:lineRule="exact"/>
              <w:rPr>
                <w:sz w:val="20"/>
                <w:szCs w:val="20"/>
                <w:color w:val="auto"/>
              </w:rPr>
            </w:pPr>
            <w:r>
              <w:rPr>
                <w:rFonts w:ascii="Arial" w:cs="Arial" w:eastAsia="Arial" w:hAnsi="Arial"/>
                <w:sz w:val="18"/>
                <w:szCs w:val="18"/>
                <w:color w:val="auto"/>
              </w:rPr>
              <w:t>•   Second Measurement Period begins [ ] and ends [ ].</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   Third Measurement Period begins [ ] and ends [ ].</w:t>
            </w:r>
          </w:p>
        </w:tc>
        <w:tc>
          <w:tcPr>
            <w:tcW w:w="0" w:type="dxa"/>
            <w:vAlign w:val="bottom"/>
          </w:tcPr>
          <w:p>
            <w:pPr>
              <w:spacing w:after="0"/>
              <w:rPr>
                <w:sz w:val="1"/>
                <w:szCs w:val="1"/>
                <w:color w:val="auto"/>
              </w:rPr>
            </w:pPr>
          </w:p>
        </w:tc>
      </w:tr>
      <w:tr>
        <w:trPr>
          <w:trHeight w:val="279"/>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The actual number of PSUs that may become eligible to vest on the Vesting Date is based on the achievement of</w:t>
            </w: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financial metrics over each Annual Measurement Period and may range from [0%] to [200%] of the Target Number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of PSUs, subject to forfeiture as provided in the Standard Terms and Conditions.</w:t>
            </w:r>
          </w:p>
        </w:tc>
        <w:tc>
          <w:tcPr>
            <w:tcW w:w="0" w:type="dxa"/>
            <w:vAlign w:val="bottom"/>
          </w:tcPr>
          <w:p>
            <w:pPr>
              <w:spacing w:after="0"/>
              <w:rPr>
                <w:sz w:val="1"/>
                <w:szCs w:val="1"/>
                <w:color w:val="auto"/>
              </w:rPr>
            </w:pPr>
          </w:p>
        </w:tc>
      </w:tr>
      <w:tr>
        <w:trPr>
          <w:trHeight w:val="305"/>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The achievement of certain Stock Price Incentive goals at the end of the Performance Period may increase the actual</w:t>
            </w: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number of PSUs that become eligible to vest on the Vesting Date up to [300%] of the Target Number of PSUs in</w:t>
            </w:r>
          </w:p>
        </w:tc>
        <w:tc>
          <w:tcPr>
            <w:tcW w:w="0" w:type="dxa"/>
            <w:vAlign w:val="bottom"/>
          </w:tcPr>
          <w:p>
            <w:pPr>
              <w:spacing w:after="0"/>
              <w:rPr>
                <w:sz w:val="1"/>
                <w:szCs w:val="1"/>
                <w:color w:val="auto"/>
              </w:rPr>
            </w:pPr>
          </w:p>
        </w:tc>
      </w:tr>
      <w:tr>
        <w:trPr>
          <w:trHeight w:val="184"/>
        </w:trPr>
        <w:tc>
          <w:tcPr>
            <w:tcW w:w="2680" w:type="dxa"/>
            <w:vAlign w:val="bottom"/>
            <w:tcBorders>
              <w:left w:val="single" w:sz="8" w:color="auto"/>
              <w:right w:val="single" w:sz="8" w:color="auto"/>
            </w:tcBorders>
          </w:tcPr>
          <w:p>
            <w:pPr>
              <w:spacing w:after="0"/>
              <w:rPr>
                <w:sz w:val="15"/>
                <w:szCs w:val="15"/>
                <w:color w:val="auto"/>
              </w:rPr>
            </w:pPr>
          </w:p>
        </w:tc>
        <w:tc>
          <w:tcPr>
            <w:tcW w:w="8580" w:type="dxa"/>
            <w:vAlign w:val="bottom"/>
            <w:tcBorders>
              <w:right w:val="single" w:sz="8" w:color="auto"/>
            </w:tcBorders>
            <w:gridSpan w:val="3"/>
          </w:tcPr>
          <w:p>
            <w:pPr>
              <w:ind w:left="60"/>
              <w:spacing w:after="0" w:line="184" w:lineRule="exact"/>
              <w:rPr>
                <w:sz w:val="20"/>
                <w:szCs w:val="20"/>
                <w:color w:val="auto"/>
              </w:rPr>
            </w:pPr>
            <w:r>
              <w:rPr>
                <w:rFonts w:ascii="Arial" w:cs="Arial" w:eastAsia="Arial" w:hAnsi="Arial"/>
                <w:sz w:val="18"/>
                <w:szCs w:val="18"/>
                <w:color w:val="auto"/>
              </w:rPr>
              <w:t>accordance with Exhibit B.</w:t>
            </w:r>
          </w:p>
        </w:tc>
        <w:tc>
          <w:tcPr>
            <w:tcW w:w="0" w:type="dxa"/>
            <w:vAlign w:val="bottom"/>
          </w:tcPr>
          <w:p>
            <w:pPr>
              <w:spacing w:after="0"/>
              <w:rPr>
                <w:sz w:val="1"/>
                <w:szCs w:val="1"/>
                <w:color w:val="auto"/>
              </w:rPr>
            </w:pPr>
          </w:p>
        </w:tc>
      </w:tr>
      <w:tr>
        <w:trPr>
          <w:trHeight w:val="151"/>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CONNECTION WITH THIS GRANT, AND IN ADDITION TO THIS GRANT NOTICE, PARTICIPANT HAS RECEIVED A COPY OF THE</w:t>
      </w:r>
    </w:p>
    <w:p>
      <w:pPr>
        <w:jc w:val="both"/>
        <w:ind w:right="20"/>
        <w:spacing w:after="0" w:line="229" w:lineRule="auto"/>
        <w:rPr>
          <w:sz w:val="20"/>
          <w:szCs w:val="20"/>
          <w:color w:val="auto"/>
        </w:rPr>
      </w:pPr>
      <w:r>
        <w:rPr>
          <w:rFonts w:ascii="Arial" w:cs="Arial" w:eastAsia="Arial" w:hAnsi="Arial"/>
          <w:sz w:val="16"/>
          <w:szCs w:val="16"/>
          <w:b w:val="1"/>
          <w:bCs w:val="1"/>
          <w:color w:val="auto"/>
        </w:rPr>
        <w:t>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DOCUMENT.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Grant Notice for</w:t>
      </w:r>
    </w:p>
    <w:p>
      <w:pPr>
        <w:jc w:val="center"/>
        <w:ind w:right="20"/>
        <w:spacing w:after="0"/>
        <w:rPr>
          <w:sz w:val="20"/>
          <w:szCs w:val="20"/>
          <w:color w:val="auto"/>
        </w:rPr>
      </w:pPr>
      <w:r>
        <w:rPr>
          <w:rFonts w:ascii="Arial" w:cs="Arial" w:eastAsia="Arial" w:hAnsi="Arial"/>
          <w:sz w:val="21"/>
          <w:szCs w:val="21"/>
          <w:color w:val="auto"/>
        </w:rPr>
        <w:t>Performance Stock Unit Award</w:t>
      </w:r>
    </w:p>
    <w:p>
      <w:pPr>
        <w:sectPr>
          <w:pgSz w:w="11900" w:h="16838" w:orient="portrait"/>
          <w:cols w:equalWidth="0" w:num="1">
            <w:col w:w="11260"/>
          </w:cols>
          <w:pgMar w:left="320" w:top="1374"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4100"/>
        <w:spacing w:after="0"/>
        <w:rPr>
          <w:sz w:val="20"/>
          <w:szCs w:val="20"/>
          <w:color w:val="auto"/>
        </w:rPr>
      </w:pPr>
      <w:r>
        <w:rPr>
          <w:rFonts w:ascii="Arial" w:cs="Arial" w:eastAsia="Arial" w:hAnsi="Arial"/>
          <w:sz w:val="18"/>
          <w:szCs w:val="18"/>
          <w:b w:val="1"/>
          <w:bCs w:val="1"/>
          <w:color w:val="auto"/>
        </w:rPr>
        <w:t>2021 LONG-TERM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jc w:val="center"/>
        <w:spacing w:after="0"/>
        <w:rPr>
          <w:sz w:val="20"/>
          <w:szCs w:val="20"/>
          <w:color w:val="auto"/>
        </w:rPr>
      </w:pPr>
      <w:r>
        <w:rPr>
          <w:rFonts w:ascii="Arial" w:cs="Arial" w:eastAsia="Arial" w:hAnsi="Arial"/>
          <w:sz w:val="18"/>
          <w:szCs w:val="18"/>
          <w:b w:val="1"/>
          <w:bCs w:val="1"/>
          <w:color w:val="auto"/>
        </w:rPr>
        <w:t>PERFORMANCE STOCK UNITS</w:t>
      </w:r>
    </w:p>
    <w:p>
      <w:pPr>
        <w:spacing w:after="0" w:line="21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These Standard Terms and Conditions apply to this Award of Performance Stock Units granted under the Western Digital Corporation 2021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Performance Stock Units are also subject to the terms of the Plan and the attached Grant Notice, which are incorporated here by this reference. Capitalized terms not otherwise defined here shall have the meaning set forth in the Plan.</w:t>
      </w:r>
    </w:p>
    <w:p>
      <w:pPr>
        <w:spacing w:after="0" w:line="155"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PERFORMANCE STOCK UNITS</w:t>
      </w:r>
    </w:p>
    <w:p>
      <w:pPr>
        <w:spacing w:after="0" w:line="195"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named in the attached Grant Notice an award of Performance Stock Units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described in the Grant Notice, with each PSU representing the right to receive one share of Common Stock. For purposes of these Standard Terms and Conditions and the Grant Notice, any reference to the Company shall include a reference to any Subsidiary.</w:t>
      </w:r>
    </w:p>
    <w:p>
      <w:pPr>
        <w:spacing w:after="0" w:line="149"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 OF PERFORMANCE STOCK UNITS</w:t>
      </w:r>
    </w:p>
    <w:p>
      <w:pPr>
        <w:spacing w:after="0" w:line="194" w:lineRule="exact"/>
        <w:rPr>
          <w:rFonts w:ascii="Arial" w:cs="Arial" w:eastAsia="Arial" w:hAnsi="Arial"/>
          <w:sz w:val="18"/>
          <w:szCs w:val="18"/>
          <w:b w:val="1"/>
          <w:bCs w:val="1"/>
          <w:color w:val="auto"/>
        </w:rPr>
      </w:pPr>
    </w:p>
    <w:p>
      <w:pPr>
        <w:jc w:val="both"/>
        <w:ind w:right="60" w:firstLine="639"/>
        <w:spacing w:after="0" w:line="237" w:lineRule="auto"/>
        <w:tabs>
          <w:tab w:leader="none" w:pos="1263"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Arial" w:cs="Arial" w:eastAsia="Arial" w:hAnsi="Arial"/>
          <w:sz w:val="16"/>
          <w:szCs w:val="16"/>
          <w:b w:val="1"/>
          <w:bCs w:val="1"/>
          <w:i w:val="1"/>
          <w:iCs w:val="1"/>
          <w:color w:val="auto"/>
        </w:rPr>
        <w:t>Vested PSUs</w:t>
      </w:r>
      <w:r>
        <w:rPr>
          <w:rFonts w:ascii="Arial" w:cs="Arial" w:eastAsia="Arial" w:hAnsi="Arial"/>
          <w:sz w:val="16"/>
          <w:szCs w:val="16"/>
          <w:color w:val="auto"/>
        </w:rPr>
        <w:t>.” PSUs that are not vested and remain subject to forfeiture are referred to as “</w:t>
      </w:r>
      <w:r>
        <w:rPr>
          <w:rFonts w:ascii="Arial" w:cs="Arial" w:eastAsia="Arial" w:hAnsi="Arial"/>
          <w:sz w:val="16"/>
          <w:szCs w:val="16"/>
          <w:b w:val="1"/>
          <w:bCs w:val="1"/>
          <w:i w:val="1"/>
          <w:iCs w:val="1"/>
          <w:color w:val="auto"/>
        </w:rPr>
        <w:t>Unvested PSUs</w:t>
      </w:r>
      <w:r>
        <w:rPr>
          <w:rFonts w:ascii="Arial" w:cs="Arial" w:eastAsia="Arial" w:hAnsi="Arial"/>
          <w:sz w:val="16"/>
          <w:szCs w:val="16"/>
          <w:color w:val="auto"/>
        </w:rPr>
        <w:t>.” No portion of this Award, nor the shares of Common Stock subject to this Award, may be deferred under the Western Digital Corporation Deferred Compensation Plan (or any applicable successor plan) or any other deferred compensation arrangement of the Company.</w:t>
      </w:r>
    </w:p>
    <w:p>
      <w:pPr>
        <w:spacing w:after="0" w:line="176" w:lineRule="exact"/>
        <w:rPr>
          <w:sz w:val="20"/>
          <w:szCs w:val="20"/>
          <w:color w:val="auto"/>
        </w:rPr>
      </w:pPr>
    </w:p>
    <w:p>
      <w:pPr>
        <w:jc w:val="both"/>
        <w:ind w:right="60"/>
        <w:spacing w:after="0" w:line="235" w:lineRule="auto"/>
        <w:rPr>
          <w:sz w:val="20"/>
          <w:szCs w:val="20"/>
          <w:color w:val="auto"/>
        </w:rPr>
      </w:pPr>
      <w:r>
        <w:rPr>
          <w:rFonts w:ascii="Arial" w:cs="Arial" w:eastAsia="Arial" w:hAnsi="Arial"/>
          <w:sz w:val="16"/>
          <w:szCs w:val="16"/>
          <w:color w:val="auto"/>
        </w:rPr>
        <w:t>Following the end of each Annual Measurement Period, the Administrator shall determine the extent to which the applicable performance goals have been achieved with respect to such Measurement Period. Following the end of the Performance Period, the Administrator shall determine the number of PSUs eligible to vest based on the average achievement of performance goals for each Annual Measurement Period over the Performance Period. Any PSUs</w:t>
      </w:r>
    </w:p>
    <w:p>
      <w:pPr>
        <w:spacing w:after="0" w:line="1" w:lineRule="exact"/>
        <w:rPr>
          <w:sz w:val="20"/>
          <w:szCs w:val="20"/>
          <w:color w:val="auto"/>
        </w:rPr>
      </w:pPr>
    </w:p>
    <w:p>
      <w:pPr>
        <w:jc w:val="both"/>
        <w:ind w:right="60"/>
        <w:spacing w:after="0" w:line="229" w:lineRule="auto"/>
        <w:rPr>
          <w:sz w:val="20"/>
          <w:szCs w:val="20"/>
          <w:color w:val="auto"/>
        </w:rPr>
      </w:pPr>
      <w:r>
        <w:rPr>
          <w:rFonts w:ascii="Arial" w:cs="Arial" w:eastAsia="Arial" w:hAnsi="Arial"/>
          <w:sz w:val="16"/>
          <w:szCs w:val="16"/>
          <w:color w:val="auto"/>
        </w:rPr>
        <w:t>(including any related credited dividend equivalents) that do not become eligible to vest shall terminate as of the end of the Performance Period. The PSUs that become eligible to vest based on performance during the Performance Period shall vest on the Vesting Date set forth in the Grant Notice, subject to Continuous Service through such date, except as expressly provided in Section 2(b), 2(c) or 2(d) below. The Company shall deliver to the Participant on the</w:t>
      </w:r>
    </w:p>
    <w:p>
      <w:pPr>
        <w:spacing w:after="0" w:line="1" w:lineRule="exact"/>
        <w:rPr>
          <w:sz w:val="20"/>
          <w:szCs w:val="20"/>
          <w:color w:val="auto"/>
        </w:rPr>
      </w:pPr>
    </w:p>
    <w:p>
      <w:pPr>
        <w:jc w:val="both"/>
        <w:ind w:right="60"/>
        <w:spacing w:after="0" w:line="244" w:lineRule="auto"/>
        <w:rPr>
          <w:sz w:val="20"/>
          <w:szCs w:val="20"/>
          <w:color w:val="auto"/>
        </w:rPr>
      </w:pPr>
      <w:r>
        <w:rPr>
          <w:rFonts w:ascii="Arial" w:cs="Arial" w:eastAsia="Arial" w:hAnsi="Arial"/>
          <w:sz w:val="15"/>
          <w:szCs w:val="15"/>
          <w:color w:val="auto"/>
        </w:rPr>
        <w:t>Settlement Date a number of shares of Common Stock equal to the number of Vested PSUs. The Company may, in its sole discretion, settle any PSUs accrued as dividend equivalents by a cash payment equal to the Fair Market Value of a share of Common Stock on the date of payment (as opposed to payment in the form of shares of Common Stock). “</w:t>
      </w:r>
      <w:r>
        <w:rPr>
          <w:rFonts w:ascii="Arial" w:cs="Arial" w:eastAsia="Arial" w:hAnsi="Arial"/>
          <w:sz w:val="15"/>
          <w:szCs w:val="15"/>
          <w:b w:val="1"/>
          <w:bCs w:val="1"/>
          <w:i w:val="1"/>
          <w:iCs w:val="1"/>
          <w:color w:val="auto"/>
        </w:rPr>
        <w:t>Settlement Date</w:t>
      </w:r>
      <w:r>
        <w:rPr>
          <w:rFonts w:ascii="Arial" w:cs="Arial" w:eastAsia="Arial" w:hAnsi="Arial"/>
          <w:sz w:val="15"/>
          <w:szCs w:val="15"/>
          <w:color w:val="auto"/>
        </w:rPr>
        <w:t>” means: as soon as practicable following the vesting of the PSUs on the Vesting Date but in no event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later than December 31 of the calendar year in which the Vesting Date occurs.</w:t>
      </w:r>
    </w:p>
    <w:p>
      <w:pPr>
        <w:spacing w:after="0" w:line="161" w:lineRule="exact"/>
        <w:rPr>
          <w:sz w:val="20"/>
          <w:szCs w:val="20"/>
          <w:color w:val="auto"/>
        </w:rPr>
      </w:pPr>
    </w:p>
    <w:p>
      <w:pPr>
        <w:jc w:val="both"/>
        <w:ind w:right="60" w:firstLine="639"/>
        <w:spacing w:after="0" w:line="213"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Termination without Cause under the Executive Severance Plan</w:t>
      </w:r>
      <w:r>
        <w:rPr>
          <w:rFonts w:ascii="Arial" w:cs="Arial" w:eastAsia="Arial" w:hAnsi="Arial"/>
          <w:sz w:val="18"/>
          <w:szCs w:val="18"/>
          <w:color w:val="auto"/>
        </w:rPr>
        <w:t>. For a Participant who is subject to the terms of the Western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Amended and Restated Executive Severance Plan, as applicable (or any applicable successor plan) (the “</w:t>
      </w:r>
      <w:r>
        <w:rPr>
          <w:rFonts w:ascii="Arial" w:cs="Arial" w:eastAsia="Arial" w:hAnsi="Arial"/>
          <w:sz w:val="18"/>
          <w:szCs w:val="18"/>
          <w:b w:val="1"/>
          <w:bCs w:val="1"/>
          <w:i w:val="1"/>
          <w:iCs w:val="1"/>
          <w:color w:val="auto"/>
        </w:rPr>
        <w:t>Executive Severance Plan</w:t>
      </w:r>
      <w:r>
        <w:rPr>
          <w:rFonts w:ascii="Arial" w:cs="Arial" w:eastAsia="Arial" w:hAnsi="Arial"/>
          <w:sz w:val="18"/>
          <w:szCs w:val="18"/>
          <w:color w:val="auto"/>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spacing w:after="0" w:line="164" w:lineRule="exact"/>
        <w:rPr>
          <w:sz w:val="20"/>
          <w:szCs w:val="20"/>
          <w:color w:val="auto"/>
        </w:rPr>
      </w:pPr>
    </w:p>
    <w:p>
      <w:pPr>
        <w:jc w:val="both"/>
        <w:ind w:left="640" w:right="60" w:hanging="1"/>
        <w:spacing w:after="0" w:line="211" w:lineRule="auto"/>
        <w:tabs>
          <w:tab w:leader="none" w:pos="10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Performance Period has not ended as of the date of termination of Continuous Service, the PSUs (and any credited dividend equivalent rights) will remain outstanding and a pro-rated portion will vest, if at all, based on the actual achievement of the applicable performance goal(s) with respect to the Annual Measurement Periods over the Performance Period, excluding the Stock Price Incentive goals,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First Measurement Period through and including the Participant’s termination of Continuous Service and a denominator equal to the total number of calendar days in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A</w:t>
      </w:r>
    </w:p>
    <w:p>
      <w:pPr>
        <w:jc w:val="center"/>
        <w:spacing w:after="0"/>
        <w:rPr>
          <w:sz w:val="20"/>
          <w:szCs w:val="20"/>
          <w:color w:val="auto"/>
        </w:rPr>
      </w:pPr>
      <w:r>
        <w:rPr>
          <w:rFonts w:ascii="Arial" w:cs="Arial" w:eastAsia="Arial" w:hAnsi="Arial"/>
          <w:sz w:val="21"/>
          <w:szCs w:val="21"/>
          <w:color w:val="auto"/>
        </w:rPr>
        <w:t>Standard Terms and Conditions</w:t>
      </w:r>
    </w:p>
    <w:p>
      <w:pPr>
        <w:sectPr>
          <w:pgSz w:w="11900" w:h="16838" w:orient="portrait"/>
          <w:cols w:equalWidth="0" w:num="1">
            <w:col w:w="11240"/>
          </w:cols>
          <w:pgMar w:left="320" w:top="1374" w:right="339" w:bottom="1440" w:gutter="0" w:footer="0" w:header="0"/>
        </w:sectPr>
      </w:pPr>
    </w:p>
    <w:bookmarkStart w:id="56" w:name="page57"/>
    <w:bookmarkEnd w:id="56"/>
    <w:p>
      <w:pPr>
        <w:ind w:left="640" w:right="80" w:hanging="1"/>
        <w:spacing w:after="0" w:line="223" w:lineRule="auto"/>
        <w:tabs>
          <w:tab w:leader="none" w:pos="10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Performance Period has ended as of the date of termination of Continuous Service, the PSUs (and any credited dividend equivalents) will remain outstanding and will vest, if at all, based on the actual achievement of the applicable performance goal(s) with respect to the Annual Measurement Periods over the Performance Period, including the Stock Price Incentive goals.</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Any Unvested PSUs that do not vest as described above shall be forfeited as of the date of the Participant’s termination of Continuous Service. For the avoidance of doubt, the Participant shall not be eligible to vest in additional PSUs due to the achievement of certain Stock Price Incentive goals (as described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Exhibit B</w:t>
      </w:r>
      <w:r>
        <w:rPr>
          <w:rFonts w:ascii="Arial" w:cs="Arial" w:eastAsia="Arial" w:hAnsi="Arial"/>
          <w:sz w:val="18"/>
          <w:szCs w:val="18"/>
          <w:color w:val="auto"/>
        </w:rPr>
        <w:t>) if the Participant is terminated without Cause prior to the end of the Performance Period.</w:t>
      </w:r>
    </w:p>
    <w:p>
      <w:pPr>
        <w:spacing w:after="0" w:line="161" w:lineRule="exact"/>
        <w:rPr>
          <w:sz w:val="20"/>
          <w:szCs w:val="20"/>
          <w:color w:val="auto"/>
        </w:rPr>
      </w:pPr>
    </w:p>
    <w:p>
      <w:pPr>
        <w:jc w:val="both"/>
        <w:ind w:firstLine="639"/>
        <w:spacing w:after="0"/>
        <w:tabs>
          <w:tab w:leader="none" w:pos="1263"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Termination without Cause or for Good Reason under the Change in Control Severance Plan</w:t>
      </w:r>
      <w:r>
        <w:rPr>
          <w:rFonts w:ascii="Arial" w:cs="Arial" w:eastAsia="Arial" w:hAnsi="Arial"/>
          <w:sz w:val="16"/>
          <w:szCs w:val="16"/>
          <w:color w:val="auto"/>
        </w:rPr>
        <w:t>. For a Participant who is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Western Digital Corporation Amended and Restated Change in Control Severance Plan, as applicable (or any applicable successor plan)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at the time of termination of Continuous Service, then upon Participant’s termination of employment by the Company without Cause or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spacing w:after="0" w:line="162" w:lineRule="exact"/>
        <w:rPr>
          <w:sz w:val="20"/>
          <w:szCs w:val="20"/>
          <w:color w:val="auto"/>
        </w:rPr>
      </w:pPr>
    </w:p>
    <w:p>
      <w:pPr>
        <w:jc w:val="both"/>
        <w:ind w:left="1280" w:hanging="641"/>
        <w:spacing w:after="0" w:line="257" w:lineRule="auto"/>
        <w:tabs>
          <w:tab w:leader="none" w:pos="12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Performance Period has not ended as of the date of termination of Continuous Service, the number of shares of Common Stock that will vest shall be equal to the greater of (x) the target number of PSUs or (y) the number of shares of Common Stock subject to the PSUs that would vest based on the treatment set forth in the definitive agreement providing for the Change in Control.</w:t>
      </w:r>
    </w:p>
    <w:p>
      <w:pPr>
        <w:spacing w:after="0" w:line="147" w:lineRule="exact"/>
        <w:rPr>
          <w:rFonts w:ascii="Arial" w:cs="Arial" w:eastAsia="Arial" w:hAnsi="Arial"/>
          <w:sz w:val="16"/>
          <w:szCs w:val="16"/>
          <w:color w:val="auto"/>
        </w:rPr>
      </w:pPr>
    </w:p>
    <w:p>
      <w:pPr>
        <w:jc w:val="both"/>
        <w:ind w:left="1280" w:hanging="641"/>
        <w:spacing w:after="0" w:line="223" w:lineRule="auto"/>
        <w:tabs>
          <w:tab w:leader="none" w:pos="1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Performance Period has ended as of the date of termination of Continuous Service, the PSUs will remain outstanding and will vest, if at all, based on the actual achievement of the applicable performance goals over the Performance Period, including the Stock Price Incentive goals.</w:t>
      </w:r>
    </w:p>
    <w:p>
      <w:pPr>
        <w:spacing w:after="0" w:line="162" w:lineRule="exact"/>
        <w:rPr>
          <w:sz w:val="20"/>
          <w:szCs w:val="20"/>
          <w:color w:val="auto"/>
        </w:rPr>
      </w:pPr>
    </w:p>
    <w:p>
      <w:pPr>
        <w:jc w:val="both"/>
        <w:ind w:firstLine="639"/>
        <w:spacing w:after="0" w:line="223"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due to Death; Termination due to a Qualifying Retirement. </w:t>
      </w:r>
      <w:r>
        <w:rPr>
          <w:rFonts w:ascii="Arial" w:cs="Arial" w:eastAsia="Arial" w:hAnsi="Arial"/>
          <w:sz w:val="18"/>
          <w:szCs w:val="18"/>
          <w:color w:val="auto"/>
        </w:rPr>
        <w:t>(1) Upon Participant’s termination of Continuous Service due to</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(2) upon Participant’s termination of employment due to a Qualifying Retirement (as defined below), the PSUs will be payable in accordance with the Vesting Schedule set forth in the Grant Notice above, with no acceleration, and vest as follows:</w:t>
      </w:r>
    </w:p>
    <w:p>
      <w:pPr>
        <w:spacing w:after="0" w:line="162" w:lineRule="exact"/>
        <w:rPr>
          <w:sz w:val="20"/>
          <w:szCs w:val="20"/>
          <w:color w:val="auto"/>
        </w:rPr>
      </w:pPr>
    </w:p>
    <w:p>
      <w:pPr>
        <w:jc w:val="both"/>
        <w:ind w:left="640" w:hanging="1"/>
        <w:spacing w:after="0" w:line="211" w:lineRule="auto"/>
        <w:tabs>
          <w:tab w:leader="none" w:pos="10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Performance Period has not ended as of the date of termination of Continuous Service, the PSUs (and any credited dividend equivalent rights) will remain outstanding and a pro-rated portion will vest, if at all, based on the actual achievement of the applicable performance goal(s) with respect to the Annual Measurement Periods over the Performance Period, including the Stock Price Incentive goals,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First Measurement Period through and including the Participant’s termination of Continuous Service and a denominator equal to the total number of calendar days in the Performance Period.</w:t>
      </w:r>
    </w:p>
    <w:p>
      <w:pPr>
        <w:spacing w:after="0" w:line="163" w:lineRule="exact"/>
        <w:rPr>
          <w:rFonts w:ascii="Arial" w:cs="Arial" w:eastAsia="Arial" w:hAnsi="Arial"/>
          <w:sz w:val="18"/>
          <w:szCs w:val="18"/>
          <w:color w:val="auto"/>
        </w:rPr>
      </w:pPr>
    </w:p>
    <w:p>
      <w:pPr>
        <w:jc w:val="both"/>
        <w:ind w:left="640" w:hanging="1"/>
        <w:spacing w:after="0" w:line="223" w:lineRule="auto"/>
        <w:tabs>
          <w:tab w:leader="none" w:pos="10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Performance Period has ended as of the date of termination of Continuous Service, the PSUs (and any credited dividend equivalents) will remain outstanding and will vest, if at all, based on the actual achievement of the applicable performance goal(s) with respect to the Annual Measurement Periods over the Performance Period, including the Stock Price Incentive goals.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Qualifying Retirement</w:t>
      </w:r>
      <w:r>
        <w:rPr>
          <w:rFonts w:ascii="Arial" w:cs="Arial" w:eastAsia="Arial" w:hAnsi="Arial"/>
          <w:sz w:val="16"/>
          <w:szCs w:val="16"/>
          <w:color w:val="auto"/>
        </w:rPr>
        <w:t>” means the termination of the Participant’s employment with the Company and its Subsidiaries due to his or her retirement from</w:t>
      </w:r>
    </w:p>
    <w:p>
      <w:pPr>
        <w:spacing w:after="0" w:line="15"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employment with the Company or one of its Subsidiaries after satisfying all of the following requirements at the time of such termination: (i) the Participant is at least 55 years of age, (ii) the Participant has five or more whole years of credited service with the Company and/or any of its Subsidiaries; and (iii) the Participant’s age plus years of credited service with the Company and/or any of its Subsidiaries (including only whole years in the case of both age and credited service for purposes of this requirement) totals at least 70.</w:t>
      </w:r>
    </w:p>
    <w:p>
      <w:pPr>
        <w:spacing w:after="0" w:line="175"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 terminates employment due to a Qualifying Retirement yet continues to provide services to the Company and its Subsidiaries in a capacity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80"/>
          </w:cols>
          <w:pgMar w:left="320" w:top="1380"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than as an employee. Such continued vesting is subject to the Participant’s Continuous Services through the Vesting Date.</w:t>
      </w:r>
    </w:p>
    <w:p>
      <w:pPr>
        <w:spacing w:after="0" w:line="175" w:lineRule="exact"/>
        <w:rPr>
          <w:sz w:val="20"/>
          <w:szCs w:val="20"/>
          <w:color w:val="auto"/>
        </w:rPr>
      </w:pPr>
    </w:p>
    <w:p>
      <w:pPr>
        <w:jc w:val="both"/>
        <w:ind w:firstLine="639"/>
        <w:spacing w:after="0" w:line="217" w:lineRule="auto"/>
        <w:tabs>
          <w:tab w:leader="none" w:pos="1263"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Company due to a resignation by Participant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spacing w:after="0" w:line="174" w:lineRule="exact"/>
        <w:rPr>
          <w:rFonts w:ascii="Arial" w:cs="Arial" w:eastAsia="Arial" w:hAnsi="Arial"/>
          <w:sz w:val="18"/>
          <w:szCs w:val="18"/>
          <w:color w:val="auto"/>
        </w:rPr>
      </w:pPr>
    </w:p>
    <w:p>
      <w:pPr>
        <w:ind w:firstLine="639"/>
        <w:spacing w:after="0" w:line="228" w:lineRule="auto"/>
        <w:tabs>
          <w:tab w:leader="none" w:pos="12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Participant’s termination of Continuous Service by the Company for Cause, the entire Award held by the Participant shall be forfeited as of the date of the Participant’s termination of Continuous Service.</w:t>
      </w:r>
    </w:p>
    <w:p>
      <w:pPr>
        <w:spacing w:after="0" w:line="187" w:lineRule="exact"/>
        <w:rPr>
          <w:rFonts w:ascii="Arial" w:cs="Arial" w:eastAsia="Arial" w:hAnsi="Arial"/>
          <w:sz w:val="18"/>
          <w:szCs w:val="18"/>
          <w:color w:val="auto"/>
        </w:rPr>
      </w:pPr>
    </w:p>
    <w:p>
      <w:pPr>
        <w:jc w:val="both"/>
        <w:ind w:firstLine="639"/>
        <w:spacing w:after="0" w:line="238" w:lineRule="auto"/>
        <w:tabs>
          <w:tab w:leader="none" w:pos="1260"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Non</w:t>
      </w:r>
      <w:r>
        <w:rPr>
          <w:rFonts w:ascii="Arial" w:cs="Arial" w:eastAsia="Arial" w:hAnsi="Arial"/>
          <w:sz w:val="16"/>
          <w:szCs w:val="16"/>
          <w:color w:val="auto"/>
        </w:rPr>
        <w:t>-</w:t>
      </w:r>
      <w:r>
        <w:rPr>
          <w:rFonts w:ascii="Arial" w:cs="Arial" w:eastAsia="Arial" w:hAnsi="Arial"/>
          <w:sz w:val="16"/>
          <w:szCs w:val="16"/>
          <w:i w:val="1"/>
          <w:iCs w:val="1"/>
          <w:color w:val="auto"/>
        </w:rPr>
        <w:t>U.S. Eligible Employees Participating in the Executive Severance Plan and Change in Control Severance Plan</w:t>
      </w:r>
      <w:r>
        <w:rPr>
          <w:rFonts w:ascii="Arial" w:cs="Arial" w:eastAsia="Arial" w:hAnsi="Arial"/>
          <w:sz w:val="16"/>
          <w:szCs w:val="16"/>
          <w:color w:val="auto"/>
        </w:rPr>
        <w:t>. For avoidance of</w:t>
      </w:r>
      <w:r>
        <w:rPr>
          <w:rFonts w:ascii="Arial" w:cs="Arial" w:eastAsia="Arial" w:hAnsi="Arial"/>
          <w:sz w:val="16"/>
          <w:szCs w:val="16"/>
          <w:i w:val="1"/>
          <w:iCs w:val="1"/>
          <w:color w:val="auto"/>
        </w:rPr>
        <w:t xml:space="preserve"> </w:t>
      </w:r>
      <w:r>
        <w:rPr>
          <w:rFonts w:ascii="Arial" w:cs="Arial" w:eastAsia="Arial" w:hAnsi="Arial"/>
          <w:sz w:val="16"/>
          <w:szCs w:val="16"/>
          <w:color w:val="auto"/>
        </w:rPr>
        <w:t>doubt, if Participant is not a U.S. Eligible Employee (as defined in the applicable severance plan), the Participant will only be eligible for the vesting treatment on a termination without Cause as described in Section 2(b) or termination without Cause or resignation for Good Reason as described in Section 2(c)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2(b) or termination without Cause or resignation for Good Reason as described in Section 2(c). For the avoidance of doubt, a Participant who is retirement-eligible and receives Local Severance Benefits shall also receive the vesting treatment described in Section 2(d) as though the Participant had experienced a Qualifying Retirement.</w:t>
      </w:r>
    </w:p>
    <w:p>
      <w:pPr>
        <w:spacing w:after="0" w:line="145" w:lineRule="exact"/>
        <w:rPr>
          <w:rFonts w:ascii="Arial" w:cs="Arial" w:eastAsia="Arial" w:hAnsi="Arial"/>
          <w:sz w:val="16"/>
          <w:szCs w:val="16"/>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 DIVIDEND EQUIVALENTS</w:t>
      </w:r>
    </w:p>
    <w:p>
      <w:pPr>
        <w:spacing w:after="0" w:line="194" w:lineRule="exact"/>
        <w:rPr>
          <w:rFonts w:ascii="Arial" w:cs="Arial" w:eastAsia="Arial" w:hAnsi="Arial"/>
          <w:sz w:val="18"/>
          <w:szCs w:val="18"/>
          <w:b w:val="1"/>
          <w:bCs w:val="1"/>
          <w:color w:val="auto"/>
        </w:rPr>
      </w:pPr>
    </w:p>
    <w:p>
      <w:pPr>
        <w:ind w:right="20" w:firstLine="639"/>
        <w:spacing w:after="0" w:line="228" w:lineRule="auto"/>
        <w:tabs>
          <w:tab w:leader="none" w:pos="12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Company in respect of any PSUs unless and until shares of Common Stock settled for such PSUs shall have been issued by the Company to Participant.</w:t>
      </w:r>
    </w:p>
    <w:p>
      <w:pPr>
        <w:spacing w:after="0" w:line="173" w:lineRule="exact"/>
        <w:rPr>
          <w:rFonts w:ascii="Arial" w:cs="Arial" w:eastAsia="Arial" w:hAnsi="Arial"/>
          <w:sz w:val="18"/>
          <w:szCs w:val="18"/>
          <w:color w:val="auto"/>
        </w:rPr>
      </w:pPr>
    </w:p>
    <w:p>
      <w:pPr>
        <w:jc w:val="both"/>
        <w:ind w:firstLine="639"/>
        <w:spacing w:after="0" w:line="234" w:lineRule="auto"/>
        <w:tabs>
          <w:tab w:leader="none" w:pos="12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Company pays a cash dividend (if any) to Common Stock holders generally. Such dividend equivalent shall be determined by dividing (i) the product of (A) 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PSUs to which the dividend equivalents were credited. Dividend equivalents shall be settled in whole shares of Common Stock with any dividend equivalents accrued in the form of fractional PSUs settled in cash. However, for the avoidance of doubt, the Company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spacing w:after="0" w:line="144" w:lineRule="exact"/>
        <w:rPr>
          <w:rFonts w:ascii="Arial" w:cs="Arial" w:eastAsia="Arial" w:hAnsi="Arial"/>
          <w:sz w:val="16"/>
          <w:szCs w:val="16"/>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SHARES</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restrictions designed to delay and/or coordinate the timing and manner of sales by Participant and other holders and (c) restrictions as to the use of a specified brokerage firm for such resales or other transfers.</w:t>
      </w:r>
    </w:p>
    <w:p>
      <w:pPr>
        <w:spacing w:after="0" w:line="141"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may satisfy tax withholding obligations relating to the PSUs by any combination of the following: (i) a cash payment; (ii) a Company</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deduction from any amounts payable to Participant; (iii) Company withholding of shares from the Common Stock issuable to the Participant in connection with the PSUs (only up to the amount permitted that will not cause an adverse accounting consequence); or (iv) Company withholding a payment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80"/>
          </w:cols>
          <w:pgMar w:left="320" w:top="1380" w:right="399" w:bottom="1440" w:gutter="0" w:footer="0" w:header="0"/>
        </w:sectPr>
      </w:pPr>
    </w:p>
    <w:bookmarkStart w:id="58" w:name="page59"/>
    <w:bookmarkEnd w:id="58"/>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proceeds from the sale of shares of Common Stock issued pursuant to the PSUs. In addition, the Administrator may, in its sole discretion but only to the extent consistent with Section 409A of the Code, reduce the number of PSUs remaining subject to this Award, with each such PSU to have a value for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purpose equal to the then Fair Market Value of a share of Common Stock, to satisfy such withholding obligation at the applicable withholding rates.</w:t>
      </w:r>
    </w:p>
    <w:p>
      <w:pPr>
        <w:spacing w:after="0" w:line="165" w:lineRule="exact"/>
        <w:rPr>
          <w:sz w:val="20"/>
          <w:szCs w:val="20"/>
          <w:color w:val="auto"/>
        </w:rPr>
      </w:pPr>
    </w:p>
    <w:p>
      <w:pPr>
        <w:ind w:left="640" w:hanging="63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w:t>
      </w:r>
    </w:p>
    <w:p>
      <w:pPr>
        <w:spacing w:after="0" w:line="19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qualified domestic relations order, official marital settlement agreement or other divorce or separation instrument.</w:t>
      </w:r>
    </w:p>
    <w:p>
      <w:pPr>
        <w:spacing w:after="0" w:line="155" w:lineRule="exact"/>
        <w:rPr>
          <w:sz w:val="20"/>
          <w:szCs w:val="20"/>
          <w:color w:val="auto"/>
        </w:rPr>
      </w:pPr>
    </w:p>
    <w:p>
      <w:pPr>
        <w:ind w:left="640" w:hanging="634"/>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SUPERSEDED</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Company regarding this Award. Any prior agreements, commitments or negotiations concerning this Award are superseded.</w:t>
      </w:r>
    </w:p>
    <w:p>
      <w:pPr>
        <w:spacing w:after="0" w:line="155" w:lineRule="exact"/>
        <w:rPr>
          <w:sz w:val="20"/>
          <w:szCs w:val="20"/>
          <w:color w:val="auto"/>
        </w:rPr>
      </w:pPr>
    </w:p>
    <w:p>
      <w:pPr>
        <w:ind w:left="640" w:hanging="634"/>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NO ADDITIONAL RIGHTS</w:t>
      </w:r>
    </w:p>
    <w:p>
      <w:pPr>
        <w:spacing w:after="0" w:line="19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Participant’s receipt of the PSUs does not confer upon the Participant any right to continue to serve the Company or an Affiliate in any capacity and will not affect the right of the Company or an Affiliate to terminate the service of the Participant.</w:t>
      </w:r>
    </w:p>
    <w:p>
      <w:pPr>
        <w:spacing w:after="0" w:line="141" w:lineRule="exact"/>
        <w:rPr>
          <w:sz w:val="20"/>
          <w:szCs w:val="20"/>
          <w:color w:val="auto"/>
        </w:rPr>
      </w:pPr>
    </w:p>
    <w:p>
      <w:pPr>
        <w:ind w:left="640" w:hanging="634"/>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1" w:lineRule="exact"/>
        <w:rPr>
          <w:rFonts w:ascii="Arial" w:cs="Arial" w:eastAsia="Arial" w:hAnsi="Arial"/>
          <w:sz w:val="18"/>
          <w:szCs w:val="18"/>
          <w:b w:val="1"/>
          <w:bCs w:val="1"/>
          <w:color w:val="auto"/>
        </w:rPr>
      </w:pPr>
    </w:p>
    <w:p>
      <w:pPr>
        <w:jc w:val="both"/>
        <w:ind w:firstLine="639"/>
        <w:spacing w:after="0" w:line="233" w:lineRule="auto"/>
        <w:tabs>
          <w:tab w:leader="none" w:pos="1263" w:val="left"/>
        </w:tabs>
        <w:numPr>
          <w:ilvl w:val="1"/>
          <w:numId w:val="23"/>
        </w:numPr>
        <w:rPr>
          <w:rFonts w:ascii="Arial" w:cs="Arial" w:eastAsia="Arial" w:hAnsi="Arial"/>
          <w:sz w:val="19"/>
          <w:szCs w:val="19"/>
          <w:color w:val="auto"/>
        </w:rPr>
      </w:pPr>
      <w:r>
        <w:rPr>
          <w:rFonts w:ascii="Arial" w:cs="Arial" w:eastAsia="Arial" w:hAnsi="Arial"/>
          <w:sz w:val="16"/>
          <w:szCs w:val="16"/>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spacing w:after="0" w:line="200" w:lineRule="exact"/>
        <w:rPr>
          <w:rFonts w:ascii="Arial" w:cs="Arial" w:eastAsia="Arial" w:hAnsi="Arial"/>
          <w:sz w:val="19"/>
          <w:szCs w:val="19"/>
          <w:color w:val="auto"/>
        </w:rPr>
      </w:pPr>
    </w:p>
    <w:p>
      <w:pPr>
        <w:jc w:val="both"/>
        <w:ind w:firstLine="639"/>
        <w:spacing w:after="0" w:line="220" w:lineRule="auto"/>
        <w:tabs>
          <w:tab w:leader="none" w:pos="1262" w:val="left"/>
        </w:tabs>
        <w:numPr>
          <w:ilvl w:val="1"/>
          <w:numId w:val="23"/>
        </w:numPr>
        <w:rPr>
          <w:rFonts w:ascii="Arial" w:cs="Arial" w:eastAsia="Arial" w:hAnsi="Arial"/>
          <w:sz w:val="20"/>
          <w:szCs w:val="20"/>
          <w:color w:val="auto"/>
        </w:rPr>
      </w:pPr>
      <w:r>
        <w:rPr>
          <w:rFonts w:ascii="Arial" w:cs="Arial" w:eastAsia="Arial" w:hAnsi="Arial"/>
          <w:sz w:val="17"/>
          <w:szCs w:val="17"/>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201" w:lineRule="exact"/>
        <w:rPr>
          <w:rFonts w:ascii="Arial" w:cs="Arial" w:eastAsia="Arial" w:hAnsi="Arial"/>
          <w:sz w:val="20"/>
          <w:szCs w:val="20"/>
          <w:color w:val="auto"/>
        </w:rPr>
      </w:pPr>
    </w:p>
    <w:p>
      <w:pPr>
        <w:ind w:firstLine="639"/>
        <w:spacing w:after="0" w:line="217" w:lineRule="auto"/>
        <w:tabs>
          <w:tab w:leader="none" w:pos="1263" w:val="left"/>
        </w:tabs>
        <w:numPr>
          <w:ilvl w:val="1"/>
          <w:numId w:val="23"/>
        </w:numPr>
        <w:rPr>
          <w:rFonts w:ascii="Arial" w:cs="Arial" w:eastAsia="Arial" w:hAnsi="Arial"/>
          <w:sz w:val="21"/>
          <w:szCs w:val="21"/>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188" w:lineRule="exact"/>
        <w:rPr>
          <w:rFonts w:ascii="Arial" w:cs="Arial" w:eastAsia="Arial" w:hAnsi="Arial"/>
          <w:sz w:val="21"/>
          <w:szCs w:val="21"/>
          <w:color w:val="auto"/>
        </w:rPr>
      </w:pPr>
    </w:p>
    <w:p>
      <w:pPr>
        <w:ind w:right="20" w:firstLine="639"/>
        <w:spacing w:after="0" w:line="217" w:lineRule="auto"/>
        <w:tabs>
          <w:tab w:leader="none" w:pos="1262" w:val="left"/>
        </w:tabs>
        <w:numPr>
          <w:ilvl w:val="1"/>
          <w:numId w:val="23"/>
        </w:numPr>
        <w:rPr>
          <w:rFonts w:ascii="Arial" w:cs="Arial" w:eastAsia="Arial" w:hAnsi="Arial"/>
          <w:sz w:val="21"/>
          <w:szCs w:val="21"/>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188" w:lineRule="exact"/>
        <w:rPr>
          <w:rFonts w:ascii="Arial" w:cs="Arial" w:eastAsia="Arial" w:hAnsi="Arial"/>
          <w:sz w:val="21"/>
          <w:szCs w:val="21"/>
          <w:color w:val="auto"/>
        </w:rPr>
      </w:pPr>
    </w:p>
    <w:p>
      <w:pPr>
        <w:jc w:val="both"/>
        <w:ind w:firstLine="639"/>
        <w:spacing w:after="0" w:line="216" w:lineRule="auto"/>
        <w:tabs>
          <w:tab w:leader="none" w:pos="1263" w:val="left"/>
        </w:tabs>
        <w:numPr>
          <w:ilvl w:val="1"/>
          <w:numId w:val="23"/>
        </w:numPr>
        <w:rPr>
          <w:rFonts w:ascii="Arial" w:cs="Arial" w:eastAsia="Arial" w:hAnsi="Arial"/>
          <w:sz w:val="21"/>
          <w:szCs w:val="21"/>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88" w:lineRule="exact"/>
        <w:rPr>
          <w:rFonts w:ascii="Arial" w:cs="Arial" w:eastAsia="Arial" w:hAnsi="Arial"/>
          <w:sz w:val="21"/>
          <w:szCs w:val="21"/>
          <w:color w:val="auto"/>
        </w:rPr>
      </w:pPr>
    </w:p>
    <w:p>
      <w:pPr>
        <w:jc w:val="both"/>
        <w:ind w:firstLine="639"/>
        <w:spacing w:after="0" w:line="236" w:lineRule="auto"/>
        <w:tabs>
          <w:tab w:leader="none" w:pos="1266" w:val="left"/>
        </w:tabs>
        <w:numPr>
          <w:ilvl w:val="1"/>
          <w:numId w:val="23"/>
        </w:numPr>
        <w:rPr>
          <w:rFonts w:ascii="Arial" w:cs="Arial" w:eastAsia="Arial" w:hAnsi="Arial"/>
          <w:sz w:val="19"/>
          <w:szCs w:val="19"/>
          <w:color w:val="auto"/>
        </w:rPr>
      </w:pPr>
      <w:r>
        <w:rPr>
          <w:rFonts w:ascii="Arial" w:cs="Arial" w:eastAsia="Arial" w:hAnsi="Arial"/>
          <w:sz w:val="16"/>
          <w:szCs w:val="16"/>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80"/>
          </w:cols>
          <w:pgMar w:left="320" w:top="1440" w:right="399" w:bottom="1440" w:gutter="0" w:footer="0" w:header="0"/>
        </w:sectPr>
      </w:pPr>
    </w:p>
    <w:bookmarkStart w:id="59" w:name="page60"/>
    <w:bookmarkEnd w:id="59"/>
    <w:p>
      <w:pPr>
        <w:spacing w:after="0" w:line="152"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benefits or similar payments and in no event should be considered as compensation for, or relating in any way to, past services for the Company or the Participant’s employer or any Subsidiary.</w:t>
      </w:r>
    </w:p>
    <w:p>
      <w:pPr>
        <w:spacing w:after="0" w:line="174" w:lineRule="exact"/>
        <w:rPr>
          <w:sz w:val="20"/>
          <w:szCs w:val="20"/>
          <w:color w:val="auto"/>
        </w:rPr>
      </w:pPr>
    </w:p>
    <w:p>
      <w:pPr>
        <w:ind w:left="1260" w:hanging="621"/>
        <w:spacing w:after="0"/>
        <w:tabs>
          <w:tab w:leader="none" w:pos="12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questions under the Plan or under these Standard Terms and Conditions shall be decided by the Administrator in its total and absolute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161" w:lineRule="exact"/>
        <w:rPr>
          <w:rFonts w:ascii="Arial" w:cs="Arial" w:eastAsia="Arial" w:hAnsi="Arial"/>
          <w:sz w:val="16"/>
          <w:szCs w:val="16"/>
          <w:color w:val="auto"/>
        </w:rPr>
      </w:pPr>
    </w:p>
    <w:p>
      <w:pPr>
        <w:jc w:val="both"/>
        <w:ind w:right="60" w:firstLine="639"/>
        <w:spacing w:after="0" w:line="223"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142" w:lineRule="exact"/>
        <w:rPr>
          <w:rFonts w:ascii="Arial" w:cs="Arial" w:eastAsia="Arial" w:hAnsi="Arial"/>
          <w:sz w:val="18"/>
          <w:szCs w:val="18"/>
          <w:color w:val="auto"/>
        </w:rPr>
      </w:pPr>
    </w:p>
    <w:p>
      <w:pPr>
        <w:ind w:left="640" w:hanging="634"/>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p>
    <w:p>
      <w:pPr>
        <w:spacing w:after="0" w:line="116" w:lineRule="exact"/>
        <w:rPr>
          <w:sz w:val="20"/>
          <w:szCs w:val="20"/>
          <w:color w:val="auto"/>
        </w:rPr>
      </w:pPr>
    </w:p>
    <w:p>
      <w:pPr>
        <w:jc w:val="both"/>
        <w:ind w:right="60"/>
        <w:spacing w:after="0" w:line="218" w:lineRule="auto"/>
        <w:rPr>
          <w:sz w:val="20"/>
          <w:szCs w:val="20"/>
          <w:color w:val="auto"/>
        </w:rPr>
      </w:pPr>
      <w:r>
        <w:rPr>
          <w:rFonts w:ascii="Arial" w:cs="Arial" w:eastAsia="Arial" w:hAnsi="Arial"/>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155" w:lineRule="exact"/>
        <w:rPr>
          <w:sz w:val="20"/>
          <w:szCs w:val="20"/>
          <w:color w:val="auto"/>
        </w:rPr>
      </w:pPr>
    </w:p>
    <w:p>
      <w:pPr>
        <w:ind w:left="620" w:hanging="583"/>
        <w:spacing w:after="0"/>
        <w:tabs>
          <w:tab w:leader="none" w:pos="6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Any controversy arising out of or relating to the Grant Notice, these Standard Terms and Conditions, and/or the Plan (“</w:t>
      </w:r>
      <w:r>
        <w:rPr>
          <w:rFonts w:ascii="Arial" w:cs="Arial" w:eastAsia="Arial" w:hAnsi="Arial"/>
          <w:sz w:val="16"/>
          <w:szCs w:val="16"/>
          <w:b w:val="1"/>
          <w:bCs w:val="1"/>
          <w:i w:val="1"/>
          <w:iCs w:val="1"/>
          <w:color w:val="auto"/>
        </w:rPr>
        <w:t>Covered Claims</w:t>
      </w:r>
      <w:r>
        <w:rPr>
          <w:rFonts w:ascii="Arial" w:cs="Arial" w:eastAsia="Arial" w:hAnsi="Arial"/>
          <w:sz w:val="16"/>
          <w:szCs w:val="16"/>
          <w:color w:val="auto"/>
        </w:rPr>
        <w:t>”), shall be resolved in</w:t>
      </w:r>
    </w:p>
    <w:p>
      <w:pPr>
        <w:spacing w:after="0" w:line="15" w:lineRule="exact"/>
        <w:rPr>
          <w:sz w:val="20"/>
          <w:szCs w:val="20"/>
          <w:color w:val="auto"/>
        </w:rPr>
      </w:pPr>
    </w:p>
    <w:p>
      <w:pPr>
        <w:jc w:val="both"/>
        <w:ind w:right="60"/>
        <w:spacing w:after="0" w:line="220" w:lineRule="auto"/>
        <w:rPr>
          <w:sz w:val="20"/>
          <w:szCs w:val="20"/>
          <w:color w:val="auto"/>
        </w:rPr>
      </w:pPr>
      <w:r>
        <w:rPr>
          <w:rFonts w:ascii="Arial" w:cs="Arial" w:eastAsia="Arial" w:hAnsi="Arial"/>
          <w:sz w:val="18"/>
          <w:szCs w:val="18"/>
          <w:color w:val="auto"/>
        </w:rPr>
        <w:t>accordance with the terms and conditions of the Western Digital Technologies, Inc. Dispute Resolution Agreement (the “</w:t>
      </w:r>
      <w:r>
        <w:rPr>
          <w:rFonts w:ascii="Arial" w:cs="Arial" w:eastAsia="Arial" w:hAnsi="Arial"/>
          <w:sz w:val="18"/>
          <w:szCs w:val="18"/>
          <w:b w:val="1"/>
          <w:bCs w:val="1"/>
          <w:i w:val="1"/>
          <w:iCs w:val="1"/>
          <w:color w:val="auto"/>
        </w:rPr>
        <w:t>DRA</w:t>
      </w:r>
      <w:r>
        <w:rPr>
          <w:rFonts w:ascii="Arial" w:cs="Arial" w:eastAsia="Arial" w:hAnsi="Arial"/>
          <w:sz w:val="18"/>
          <w:szCs w:val="18"/>
          <w:color w:val="auto"/>
        </w:rPr>
        <w:t>”), except with respect to any specific performance provided for in Section 13(f) below.</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 be</w:t>
      </w:r>
    </w:p>
    <w:p>
      <w:pPr>
        <w:spacing w:after="0" w:line="15" w:lineRule="exact"/>
        <w:rPr>
          <w:sz w:val="20"/>
          <w:szCs w:val="20"/>
          <w:color w:val="auto"/>
        </w:rPr>
      </w:pPr>
    </w:p>
    <w:p>
      <w:pPr>
        <w:jc w:val="both"/>
        <w:ind w:right="60"/>
        <w:spacing w:after="0" w:line="229" w:lineRule="auto"/>
        <w:rPr>
          <w:sz w:val="20"/>
          <w:szCs w:val="20"/>
          <w:color w:val="auto"/>
        </w:rPr>
      </w:pPr>
      <w:r>
        <w:rPr>
          <w:rFonts w:ascii="Arial" w:cs="Arial" w:eastAsia="Arial" w:hAnsi="Arial"/>
          <w:sz w:val="16"/>
          <w:szCs w:val="16"/>
          <w:color w:val="auto"/>
        </w:rPr>
        <w:t>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w:t>
      </w:r>
    </w:p>
    <w:p>
      <w:pPr>
        <w:spacing w:after="0" w:line="1" w:lineRule="exact"/>
        <w:rPr>
          <w:sz w:val="20"/>
          <w:szCs w:val="20"/>
          <w:color w:val="auto"/>
        </w:rPr>
      </w:pPr>
    </w:p>
    <w:p>
      <w:pPr>
        <w:jc w:val="both"/>
        <w:ind w:right="60"/>
        <w:spacing w:after="0" w:line="229" w:lineRule="auto"/>
        <w:rPr>
          <w:sz w:val="20"/>
          <w:szCs w:val="20"/>
          <w:color w:val="auto"/>
        </w:rPr>
      </w:pPr>
      <w:r>
        <w:rPr>
          <w:rFonts w:ascii="Arial" w:cs="Arial" w:eastAsia="Arial" w:hAnsi="Arial"/>
          <w:sz w:val="16"/>
          <w:szCs w:val="16"/>
          <w:color w:val="auto"/>
        </w:rPr>
        <w:t>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w:t>
      </w:r>
    </w:p>
    <w:p>
      <w:pPr>
        <w:spacing w:after="0" w:line="1" w:lineRule="exact"/>
        <w:rPr>
          <w:sz w:val="20"/>
          <w:szCs w:val="20"/>
          <w:color w:val="auto"/>
        </w:rPr>
      </w:pPr>
    </w:p>
    <w:p>
      <w:pPr>
        <w:jc w:val="both"/>
        <w:ind w:right="60"/>
        <w:spacing w:after="0" w:line="229" w:lineRule="auto"/>
        <w:rPr>
          <w:sz w:val="20"/>
          <w:szCs w:val="20"/>
          <w:color w:val="auto"/>
        </w:rPr>
      </w:pPr>
      <w:r>
        <w:rPr>
          <w:rFonts w:ascii="Arial" w:cs="Arial" w:eastAsia="Arial" w:hAnsi="Arial"/>
          <w:sz w:val="16"/>
          <w:szCs w:val="16"/>
          <w:color w:val="auto"/>
        </w:rPr>
        <w:t>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6"/>
          <w:szCs w:val="16"/>
          <w:color w:val="auto"/>
        </w:rPr>
        <w:t>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be responsible for payment of the forum costs of any arbitration hereunder, including the arbitrator’s fee. Each party shall bear its own</w:t>
      </w:r>
    </w:p>
    <w:p>
      <w:pPr>
        <w:spacing w:after="0" w:line="15" w:lineRule="exact"/>
        <w:rPr>
          <w:sz w:val="20"/>
          <w:szCs w:val="20"/>
          <w:color w:val="auto"/>
        </w:rPr>
      </w:pPr>
    </w:p>
    <w:p>
      <w:pPr>
        <w:jc w:val="both"/>
        <w:ind w:right="60"/>
        <w:spacing w:after="0" w:line="229" w:lineRule="auto"/>
        <w:rPr>
          <w:sz w:val="20"/>
          <w:szCs w:val="20"/>
          <w:color w:val="auto"/>
        </w:rPr>
      </w:pPr>
      <w:r>
        <w:rPr>
          <w:rFonts w:ascii="Arial" w:cs="Arial" w:eastAsia="Arial" w:hAnsi="Arial"/>
          <w:sz w:val="16"/>
          <w:szCs w:val="16"/>
          <w:color w:val="auto"/>
        </w:rPr>
        <w:t>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connected with any Covered Claim(s).</w:t>
      </w:r>
    </w:p>
    <w:p>
      <w:pPr>
        <w:spacing w:after="0" w:line="142" w:lineRule="exact"/>
        <w:rPr>
          <w:sz w:val="20"/>
          <w:szCs w:val="20"/>
          <w:color w:val="auto"/>
        </w:rPr>
      </w:pPr>
    </w:p>
    <w:p>
      <w:pPr>
        <w:ind w:left="640" w:hanging="634"/>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and any terms and</w:t>
      </w:r>
    </w:p>
    <w:p>
      <w:pPr>
        <w:spacing w:after="0" w:line="15" w:lineRule="exact"/>
        <w:rPr>
          <w:sz w:val="20"/>
          <w:szCs w:val="20"/>
          <w:color w:val="auto"/>
        </w:rPr>
      </w:pPr>
    </w:p>
    <w:p>
      <w:pPr>
        <w:jc w:val="both"/>
        <w:ind w:right="60"/>
        <w:spacing w:after="0" w:line="239" w:lineRule="auto"/>
        <w:rPr>
          <w:sz w:val="20"/>
          <w:szCs w:val="20"/>
          <w:color w:val="auto"/>
        </w:rPr>
      </w:pPr>
      <w:r>
        <w:rPr>
          <w:rFonts w:ascii="Arial" w:cs="Arial" w:eastAsia="Arial" w:hAnsi="Arial"/>
          <w:sz w:val="16"/>
          <w:szCs w:val="16"/>
          <w:color w:val="auto"/>
        </w:rPr>
        <w:t xml:space="preserve">conditions for the Participant’s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xml:space="preserve">”).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 part of the Agreement.</w:t>
      </w:r>
    </w:p>
    <w:p>
      <w:pPr>
        <w:spacing w:after="0" w:line="156" w:lineRule="exact"/>
        <w:rPr>
          <w:sz w:val="20"/>
          <w:szCs w:val="20"/>
          <w:color w:val="auto"/>
        </w:rPr>
      </w:pPr>
    </w:p>
    <w:p>
      <w:pPr>
        <w:ind w:left="640" w:hanging="634"/>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PARTICIPANT OBLIGATIONS</w:t>
      </w:r>
    </w:p>
    <w:p>
      <w:pPr>
        <w:spacing w:after="0" w:line="221" w:lineRule="exact"/>
        <w:rPr>
          <w:sz w:val="20"/>
          <w:szCs w:val="20"/>
          <w:color w:val="auto"/>
        </w:rPr>
      </w:pPr>
    </w:p>
    <w:p>
      <w:pPr>
        <w:ind w:firstLine="6"/>
        <w:spacing w:after="0" w:line="228" w:lineRule="auto"/>
        <w:tabs>
          <w:tab w:leader="none" w:pos="4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Participant, in accepting this Award, (i) agrees to the terms of this Award as set forth in this Award Document generally, and (ii) specifically (and without limiting the generality of clause (i)) agrees to the provisions of this Section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60" w:name="page61"/>
    <w:bookmarkEnd w:id="60"/>
    <w:p>
      <w:pPr>
        <w:jc w:val="both"/>
        <w:ind w:firstLine="6"/>
        <w:spacing w:after="0" w:line="246" w:lineRule="auto"/>
        <w:tabs>
          <w:tab w:leader="none" w:pos="4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Participant agrees that during the Restricted Period (as defined below), the Participant will not directly or indirectly solicit, induce or encourage, or attempt to solicit, induce or encourage, any employee or independent contractor of the Company or any of its Subsidiaries to leave the employ or service, as applicable, of the Company or any such Subsidiary, or become employed or engaged by any third party, or in any way interfere with the relationship between the Company or any such Subsidiary, on the one hand, and any employee or independent contractor thereof, on the other hand. This Section 13(b) does not limit any general advertising or job posting not directed at any individual or group of employees of the Company or any of its Subsidiaries. For purposes of this Award Document, “Restricted Period” means the period of time the Participant is employed by or provides services to the Company or one of its Subsidiaries and the period of twenty-four (24) months after the date on which the Participant’s Continuous Service terminates.</w:t>
      </w:r>
    </w:p>
    <w:p>
      <w:pPr>
        <w:spacing w:after="0" w:line="157" w:lineRule="exact"/>
        <w:rPr>
          <w:rFonts w:ascii="Arial" w:cs="Arial" w:eastAsia="Arial" w:hAnsi="Arial"/>
          <w:sz w:val="16"/>
          <w:szCs w:val="16"/>
          <w:color w:val="auto"/>
        </w:rPr>
      </w:pPr>
    </w:p>
    <w:p>
      <w:pPr>
        <w:jc w:val="both"/>
        <w:ind w:firstLine="6"/>
        <w:spacing w:after="0" w:line="233" w:lineRule="auto"/>
        <w:tabs>
          <w:tab w:leader="none" w:pos="4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Participant agrees that if the Participant were to become employed by, or substantially involved in, the business of a competitor of the Company or any of its Subsidiaries, it would be very difficult for the Participant not to rely on or use the Company’s and its Subsidiaries’ trade secrets and confidential information. Thus, to avoid the inevitable disclosure of the Company’s and its Subsidiaries’ trade secrets and confidential information, and to protect such trade secrets and confidential information and the Company’s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“Competing Business” means a person anywhere in the continental United States and elsewhere in the world where the Company or any of its Subsidiaries engages in business, or reasonably anticipates engaging in business, (the “Restricted Area”) that is engaged in design, development, manufacture, maintenance, offering, production or sales of hard disk drives or flash-based memory or other data storage devices or solutions. However, nothing in this Section 13(c) shall prohibit the Participant from being a passive owner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outstanding stock of any class of a corporation which is publicly traded, so long as such ownership is indirect through a mutual fund, similar passive common investment fund, or a broadly-diversified account managed by an unaffiliated third party.</w:t>
      </w:r>
    </w:p>
    <w:p>
      <w:pPr>
        <w:spacing w:after="0" w:line="176" w:lineRule="exact"/>
        <w:rPr>
          <w:rFonts w:ascii="Arial" w:cs="Arial" w:eastAsia="Arial" w:hAnsi="Arial"/>
          <w:sz w:val="16"/>
          <w:szCs w:val="16"/>
          <w:color w:val="auto"/>
        </w:rPr>
      </w:pPr>
    </w:p>
    <w:p>
      <w:pPr>
        <w:jc w:val="both"/>
        <w:ind w:firstLine="6"/>
        <w:spacing w:after="0" w:line="237" w:lineRule="auto"/>
        <w:tabs>
          <w:tab w:leader="none" w:pos="4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13(b) and (c) (together, the “Restrictive Covenants”) are reasonable and necessary to protect the Company’s and its Subsidiaries’ trade secrets and other confidential and proprietary information, good will, stable workforce, and customer relations.</w:t>
      </w:r>
    </w:p>
    <w:p>
      <w:pPr>
        <w:spacing w:after="0" w:line="176" w:lineRule="exact"/>
        <w:rPr>
          <w:rFonts w:ascii="Arial" w:cs="Arial" w:eastAsia="Arial" w:hAnsi="Arial"/>
          <w:sz w:val="16"/>
          <w:szCs w:val="16"/>
          <w:color w:val="auto"/>
        </w:rPr>
      </w:pPr>
    </w:p>
    <w:p>
      <w:pPr>
        <w:jc w:val="both"/>
        <w:ind w:firstLine="6"/>
        <w:spacing w:after="0" w:line="234" w:lineRule="auto"/>
        <w:tabs>
          <w:tab w:leader="none" w:pos="4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Without limiting the generality of the Participant’s agreement in Section 13(d),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Company and its Subsidiaries that is disproportionate to the detriment of the Participant.</w:t>
      </w:r>
    </w:p>
    <w:p>
      <w:pPr>
        <w:spacing w:after="0" w:line="163" w:lineRule="exact"/>
        <w:rPr>
          <w:rFonts w:ascii="Arial" w:cs="Arial" w:eastAsia="Arial" w:hAnsi="Arial"/>
          <w:sz w:val="16"/>
          <w:szCs w:val="16"/>
          <w:color w:val="auto"/>
        </w:rPr>
      </w:pPr>
    </w:p>
    <w:p>
      <w:pPr>
        <w:jc w:val="both"/>
        <w:ind w:right="60" w:firstLine="6"/>
        <w:spacing w:after="0" w:line="213" w:lineRule="auto"/>
        <w:tabs>
          <w:tab w:leader="none" w:pos="4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Participant agrees that a breach by the Participant of any of the covenants in this Section 13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13, the Company (or its applicable Subsidiary, as the case may be) shall be entitled, in addition to and without limitation upon all other remedies the Company (or any of its Subsidiaries) may have under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0" w:right="339" w:bottom="1440" w:gutter="0" w:footer="0" w:header="0"/>
        </w:sectPr>
      </w:pPr>
    </w:p>
    <w:bookmarkStart w:id="61" w:name="page62"/>
    <w:bookmarkEnd w:id="61"/>
    <w:p>
      <w:pPr>
        <w:spacing w:after="0" w:line="7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Document, at law or otherwise, to obtain specific performance, injunctive relief and/or other appropriate relief (without posting any bond or deposit) in order to enforce or prevent any violations of the provisions of this Section 13, or require the Participant to account for and pay over to the Company all compensation, profits, moneys, accruals, increments or other benefits derived from or received as a result of any transactions constituting a breach of this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Continuous Service terminates. The Participant further agrees that in the event of any breach of any provision of this Section 13, in addition to and without limitation upon all other remedies the Company (or any of its Subsidiaries) may have under this Award Document, at law or otherwise, this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180"/>
          </w:cols>
          <w:pgMar w:left="320" w:top="1440" w:right="399" w:bottom="1440" w:gutter="0" w:footer="0" w:header="0"/>
        </w:sectPr>
      </w:pPr>
    </w:p>
    <w:bookmarkStart w:id="62" w:name="page63"/>
    <w:bookmarkEnd w:id="62"/>
    <w:p>
      <w:pPr>
        <w:ind w:left="3960"/>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PERFORMANCE STOCK UNIT AWARD</w:t>
      </w:r>
    </w:p>
    <w:p>
      <w:pPr>
        <w:jc w:val="center"/>
        <w:ind w:right="19"/>
        <w:spacing w:after="0"/>
        <w:rPr>
          <w:sz w:val="20"/>
          <w:szCs w:val="20"/>
          <w:color w:val="auto"/>
        </w:rPr>
      </w:pPr>
      <w:r>
        <w:rPr>
          <w:rFonts w:ascii="Arial" w:cs="Arial" w:eastAsia="Arial" w:hAnsi="Arial"/>
          <w:sz w:val="21"/>
          <w:szCs w:val="21"/>
          <w:b w:val="1"/>
          <w:bCs w:val="1"/>
          <w:color w:val="auto"/>
        </w:rPr>
        <w:t>Performance Measures and Goals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To be inserted</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B</w:t>
      </w:r>
    </w:p>
    <w:p>
      <w:pPr>
        <w:jc w:val="center"/>
        <w:ind w:right="19"/>
        <w:spacing w:after="0"/>
        <w:rPr>
          <w:sz w:val="20"/>
          <w:szCs w:val="20"/>
          <w:color w:val="auto"/>
        </w:rPr>
      </w:pPr>
      <w:r>
        <w:rPr>
          <w:rFonts w:ascii="Arial" w:cs="Arial" w:eastAsia="Arial" w:hAnsi="Arial"/>
          <w:sz w:val="20"/>
          <w:szCs w:val="20"/>
          <w:color w:val="auto"/>
        </w:rPr>
        <w:t>PERFORMANCE MEASURE AND GOALS</w:t>
      </w:r>
    </w:p>
    <w:p>
      <w:pPr>
        <w:sectPr>
          <w:pgSz w:w="11900" w:h="16838" w:orient="portrait"/>
          <w:cols w:equalWidth="0" w:num="1">
            <w:col w:w="9019"/>
          </w:cols>
          <w:pgMar w:left="1440" w:top="1339" w:right="1440" w:bottom="1440" w:gutter="0" w:footer="0" w:header="0"/>
        </w:sectPr>
      </w:pPr>
    </w:p>
    <w:bookmarkStart w:id="63" w:name="page64"/>
    <w:bookmarkEnd w:id="63"/>
    <w:p>
      <w:pPr>
        <w:spacing w:after="0" w:line="137" w:lineRule="exact"/>
        <w:rPr>
          <w:sz w:val="20"/>
          <w:szCs w:val="20"/>
          <w:color w:val="auto"/>
        </w:rPr>
      </w:pPr>
    </w:p>
    <w:p>
      <w:pPr>
        <w:ind w:left="3860"/>
        <w:spacing w:after="0"/>
        <w:rPr>
          <w:sz w:val="20"/>
          <w:szCs w:val="20"/>
          <w:color w:val="auto"/>
        </w:rPr>
      </w:pPr>
      <w:r>
        <w:rPr>
          <w:rFonts w:ascii="Arial" w:cs="Arial" w:eastAsia="Arial" w:hAnsi="Arial"/>
          <w:sz w:val="21"/>
          <w:szCs w:val="21"/>
          <w:b w:val="1"/>
          <w:bCs w:val="1"/>
          <w:u w:val="single" w:color="auto"/>
          <w:color w:val="auto"/>
        </w:rPr>
        <w:t>EXHIBIT B-1</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PERFORMANCE STOCK UNIT AWARD</w:t>
      </w:r>
    </w:p>
    <w:p>
      <w:pPr>
        <w:jc w:val="center"/>
        <w:spacing w:after="0"/>
        <w:rPr>
          <w:sz w:val="20"/>
          <w:szCs w:val="20"/>
          <w:color w:val="auto"/>
        </w:rPr>
      </w:pPr>
      <w:r>
        <w:rPr>
          <w:rFonts w:ascii="Arial" w:cs="Arial" w:eastAsia="Arial" w:hAnsi="Arial"/>
          <w:sz w:val="21"/>
          <w:szCs w:val="21"/>
          <w:b w:val="1"/>
          <w:bCs w:val="1"/>
          <w:color w:val="auto"/>
        </w:rPr>
        <w:t>Performance Measures and Goals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Measurement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To be inserted</w:t>
      </w:r>
      <w:r>
        <w:rPr>
          <w:rFonts w:ascii="Arial" w:cs="Arial" w:eastAsia="Arial" w:hAnsi="Arial"/>
          <w:sz w:val="21"/>
          <w:szCs w:val="21"/>
          <w:b w:val="1"/>
          <w:bCs w:val="1"/>
          <w:color w:val="auto"/>
        </w:rPr>
        <w:t>]</w:t>
      </w:r>
    </w:p>
    <w:p>
      <w:pPr>
        <w:sectPr>
          <w:pgSz w:w="11900" w:h="16838" w:orient="portrait"/>
          <w:cols w:equalWidth="0" w:num="1">
            <w:col w:w="9019"/>
          </w:cols>
          <w:pgMar w:left="1440" w:top="1440" w:right="1440" w:bottom="1440" w:gutter="0" w:footer="0" w:header="0"/>
        </w:sectPr>
      </w:pPr>
    </w:p>
    <w:bookmarkStart w:id="64" w:name="page65"/>
    <w:bookmarkEnd w:id="64"/>
    <w:p>
      <w:pPr>
        <w:ind w:left="3860"/>
        <w:spacing w:after="0"/>
        <w:rPr>
          <w:sz w:val="20"/>
          <w:szCs w:val="20"/>
          <w:color w:val="auto"/>
        </w:rPr>
      </w:pPr>
      <w:r>
        <w:rPr>
          <w:rFonts w:ascii="Arial" w:cs="Arial" w:eastAsia="Arial" w:hAnsi="Arial"/>
          <w:sz w:val="21"/>
          <w:szCs w:val="21"/>
          <w:b w:val="1"/>
          <w:bCs w:val="1"/>
          <w:u w:val="single" w:color="auto"/>
          <w:color w:val="auto"/>
        </w:rPr>
        <w:t>EXHIBIT B-2</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PERFORMANCE STOCK UNIT AWARD</w:t>
      </w:r>
    </w:p>
    <w:p>
      <w:pPr>
        <w:jc w:val="center"/>
        <w:spacing w:after="0"/>
        <w:rPr>
          <w:sz w:val="20"/>
          <w:szCs w:val="20"/>
          <w:color w:val="auto"/>
        </w:rPr>
      </w:pPr>
      <w:r>
        <w:rPr>
          <w:rFonts w:ascii="Arial" w:cs="Arial" w:eastAsia="Arial" w:hAnsi="Arial"/>
          <w:sz w:val="21"/>
          <w:szCs w:val="21"/>
          <w:b w:val="1"/>
          <w:bCs w:val="1"/>
          <w:color w:val="auto"/>
        </w:rPr>
        <w:t>Performance Measures and Goals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Measurement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To be inserted</w:t>
      </w:r>
      <w:r>
        <w:rPr>
          <w:rFonts w:ascii="Arial" w:cs="Arial" w:eastAsia="Arial" w:hAnsi="Arial"/>
          <w:sz w:val="21"/>
          <w:szCs w:val="21"/>
          <w:b w:val="1"/>
          <w:bCs w:val="1"/>
          <w:color w:val="auto"/>
        </w:rPr>
        <w:t>]</w:t>
      </w:r>
    </w:p>
    <w:p>
      <w:pPr>
        <w:sectPr>
          <w:pgSz w:w="11900" w:h="16838" w:orient="portrait"/>
          <w:cols w:equalWidth="0" w:num="1">
            <w:col w:w="9019"/>
          </w:cols>
          <w:pgMar w:left="1440" w:top="1339" w:right="1440" w:bottom="1440" w:gutter="0" w:footer="0" w:header="0"/>
        </w:sectPr>
      </w:pPr>
    </w:p>
    <w:bookmarkStart w:id="65" w:name="page66"/>
    <w:bookmarkEnd w:id="65"/>
    <w:p>
      <w:pPr>
        <w:spacing w:after="0" w:line="137" w:lineRule="exact"/>
        <w:rPr>
          <w:sz w:val="20"/>
          <w:szCs w:val="20"/>
          <w:color w:val="auto"/>
        </w:rPr>
      </w:pPr>
    </w:p>
    <w:p>
      <w:pPr>
        <w:ind w:left="3860"/>
        <w:spacing w:after="0"/>
        <w:rPr>
          <w:sz w:val="20"/>
          <w:szCs w:val="20"/>
          <w:color w:val="auto"/>
        </w:rPr>
      </w:pPr>
      <w:r>
        <w:rPr>
          <w:rFonts w:ascii="Arial" w:cs="Arial" w:eastAsia="Arial" w:hAnsi="Arial"/>
          <w:sz w:val="21"/>
          <w:szCs w:val="21"/>
          <w:b w:val="1"/>
          <w:bCs w:val="1"/>
          <w:u w:val="single" w:color="auto"/>
          <w:color w:val="auto"/>
        </w:rPr>
        <w:t>EXHIBIT B-3</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PERFORMANCE STOCK UNIT AWARD</w:t>
      </w:r>
    </w:p>
    <w:p>
      <w:pPr>
        <w:jc w:val="center"/>
        <w:spacing w:after="0"/>
        <w:rPr>
          <w:sz w:val="20"/>
          <w:szCs w:val="20"/>
          <w:color w:val="auto"/>
        </w:rPr>
      </w:pPr>
      <w:r>
        <w:rPr>
          <w:rFonts w:ascii="Arial" w:cs="Arial" w:eastAsia="Arial" w:hAnsi="Arial"/>
          <w:sz w:val="21"/>
          <w:szCs w:val="21"/>
          <w:b w:val="1"/>
          <w:bCs w:val="1"/>
          <w:color w:val="auto"/>
        </w:rPr>
        <w:t>Performance Measures and Goals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Third Measurement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To be inserted</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9019"/>
          </w:cols>
          <w:pgMar w:left="1440" w:top="1440" w:right="1440" w:bottom="1440" w:gutter="0" w:footer="0" w:header="0"/>
        </w:sectPr>
      </w:pPr>
    </w:p>
    <w:bookmarkStart w:id="66" w:name="page67"/>
    <w:bookmarkEnd w:id="66"/>
    <w:p>
      <w:pPr>
        <w:spacing w:after="0" w:line="14"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6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ADDITIONAL TERMS AND CONDITIONS OF PERFORMANCE STOCK UNIT AWARD DOCUMENT</w:t>
      </w:r>
    </w:p>
    <w:p>
      <w:pPr>
        <w:ind w:left="4460"/>
        <w:spacing w:after="0"/>
        <w:rPr>
          <w:sz w:val="20"/>
          <w:szCs w:val="20"/>
          <w:color w:val="auto"/>
        </w:rPr>
      </w:pPr>
      <w:r>
        <w:rPr>
          <w:rFonts w:ascii="Arial" w:cs="Arial" w:eastAsia="Arial" w:hAnsi="Arial"/>
          <w:sz w:val="18"/>
          <w:szCs w:val="18"/>
          <w:b w:val="1"/>
          <w:bCs w:val="1"/>
          <w:color w:val="auto"/>
        </w:rPr>
        <w:t>FOR NON-U.S. EMPLOYEES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understands that this Appendix A contains additional terms and conditions that, together with the Plan and the Award Document, govern the</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6"/>
          <w:szCs w:val="16"/>
          <w:i w:val="1"/>
          <w:iCs w:val="1"/>
          <w:color w:val="auto"/>
        </w:rPr>
        <w:t>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terms used but not defined in this Appendix A shall have the same meanings assigned to them in the Plan and/or Award Document.</w:t>
      </w: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 Withholding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Participant acknowledges that, regardless of any action taken by the Company or, if different, the Participant’s employer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is and remains the Participant’s responsibility and may exceed the amount, if any, actually withheld by the Company or the Employer. The Participant further acknowledges that the Company and/or the Employer (a)</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make no representations or undertakings regarding the treatment of any Tax-Related Items in connection with any aspect of the PSUs; and (b) are not obligated to structure the terms of the grant or any aspect of the PSUs to reduce or eliminate the Participant’s liability for Tax-Related Items or achieve any particular tax result. If the Participant is or becomes subject to Tax-Related Items in more than one jurisdiction, the Participant acknowledges that the Company and/or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Employer (or former employer, as applicable) may be required to withhold or account for Tax-Related Items in more than one jurisdiction.</w:t>
      </w:r>
    </w:p>
    <w:p>
      <w:pPr>
        <w:spacing w:after="0" w:line="161" w:lineRule="exact"/>
        <w:rPr>
          <w:sz w:val="20"/>
          <w:szCs w:val="20"/>
          <w:color w:val="auto"/>
        </w:rPr>
      </w:pPr>
    </w:p>
    <w:p>
      <w:pPr>
        <w:jc w:val="both"/>
        <w:ind w:firstLine="633"/>
        <w:spacing w:after="0" w:line="241" w:lineRule="auto"/>
        <w:rPr>
          <w:sz w:val="20"/>
          <w:szCs w:val="20"/>
          <w:color w:val="auto"/>
        </w:rPr>
      </w:pPr>
      <w:r>
        <w:rPr>
          <w:rFonts w:ascii="Arial" w:cs="Arial" w:eastAsia="Arial" w:hAnsi="Arial"/>
          <w:sz w:val="16"/>
          <w:szCs w:val="16"/>
          <w:color w:val="auto"/>
        </w:rPr>
        <w:t>The Participant agrees, in connection with any relevant taxable or tax withholding event, as applicable, to make adequate arrangements satisfactory to the Company and/or the Employer to satisfy all Tax-Related Items. In this regard, the Participant authorizes the Company and/or the Employer to satisfy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obligations with regard to all Tax-Related Items by one or a combination of the methods set forth in Section 8(f) of the Plan and Section 5 of the Standard Terms and Conditions. In addition, the Participant authorizes withholding from proceeds of the sale of shares of Common Stock acquired upon settlement of the PSUs either through a voluntary sale or through a mandatory sale arranged by the Company (on the Participant’s behalf pursuant to this authorization</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without further consent). If the Participant is subject to Section 16 of the Exchange Act, then withholding for Tax-Related Items shall be satisfied in accordance with Section 8(f) of the Plan, Section 5 of the Standard Terms and Conditions, and the withholding methodology approved by the Administrator for officers subject to Section 16 of the Exchange Act.</w:t>
      </w:r>
    </w:p>
    <w:p>
      <w:pPr>
        <w:spacing w:after="0" w:line="2" w:lineRule="exact"/>
        <w:rPr>
          <w:sz w:val="20"/>
          <w:szCs w:val="20"/>
          <w:color w:val="auto"/>
        </w:rPr>
      </w:pPr>
    </w:p>
    <w:p>
      <w:pPr>
        <w:jc w:val="both"/>
        <w:ind w:firstLine="633"/>
        <w:spacing w:after="0" w:line="229" w:lineRule="auto"/>
        <w:rPr>
          <w:sz w:val="20"/>
          <w:szCs w:val="20"/>
          <w:color w:val="auto"/>
        </w:rPr>
      </w:pPr>
      <w:r>
        <w:rPr>
          <w:rFonts w:ascii="Arial" w:cs="Arial" w:eastAsia="Arial" w:hAnsi="Arial"/>
          <w:sz w:val="16"/>
          <w:szCs w:val="16"/>
          <w:color w:val="auto"/>
        </w:rPr>
        <w:t>Depending on the withholding method, the Company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Company or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Employer; otherwise, the Participant may be able to seek a refund from the local tax authorities. In the event of under-withholding, the Participant may be required to pay any additional Tax-Related Items directly to the applicable tax authority or to the Company and/or the Employer. If the Tax-Related Items are satisfied by withholding in shares of Common Stock, for tax purposes, the Participant is deemed to have been issued the full number of shares subject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vested PSUs, notwithstanding that a number of the Shares are held back solely for the purpose of paying the Tax-Related Items.</w:t>
      </w:r>
    </w:p>
    <w:p>
      <w:pPr>
        <w:spacing w:after="0" w:line="188" w:lineRule="exact"/>
        <w:rPr>
          <w:sz w:val="20"/>
          <w:szCs w:val="20"/>
          <w:color w:val="auto"/>
        </w:rPr>
      </w:pPr>
    </w:p>
    <w:p>
      <w:pPr>
        <w:jc w:val="both"/>
        <w:ind w:firstLine="633"/>
        <w:spacing w:after="0" w:line="241" w:lineRule="auto"/>
        <w:rPr>
          <w:sz w:val="20"/>
          <w:szCs w:val="20"/>
          <w:color w:val="auto"/>
        </w:rPr>
      </w:pPr>
      <w:r>
        <w:rPr>
          <w:rFonts w:ascii="Arial" w:cs="Arial" w:eastAsia="Arial" w:hAnsi="Arial"/>
          <w:sz w:val="16"/>
          <w:szCs w:val="16"/>
          <w:color w:val="auto"/>
        </w:rPr>
        <w:t>The Participant further agrees to pay to the Company or the Employer, any amount of Tax-Related Items that the Company or the Employer may be required to withhold or account for as a result of the Participant’s participation in the Plan that cannot be satisfied by the means previously described. The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Company may refuse to issue or deliver the shares of Common Stock or the proceeds from the sale of shares if the Participant fails to comply with the Participant’s obligations in connection with the Tax-Related Items.</w:t>
      </w:r>
    </w:p>
    <w:p>
      <w:pPr>
        <w:spacing w:after="0" w:line="15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3. Nature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PSUs and any shares of Common Stock, the Participant agrees that:</w:t>
      </w:r>
    </w:p>
    <w:p>
      <w:pPr>
        <w:spacing w:after="0" w:line="175" w:lineRule="exact"/>
        <w:rPr>
          <w:sz w:val="20"/>
          <w:szCs w:val="20"/>
          <w:color w:val="auto"/>
        </w:rPr>
      </w:pPr>
    </w:p>
    <w:p>
      <w:pPr>
        <w:ind w:firstLine="1272"/>
        <w:spacing w:after="0" w:line="228" w:lineRule="auto"/>
        <w:tabs>
          <w:tab w:leader="none" w:pos="18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ectPr>
          <w:pgSz w:w="11900" w:h="16838" w:orient="portrait"/>
          <w:cols w:equalWidth="0" w:num="1">
            <w:col w:w="11240"/>
          </w:cols>
          <w:pgMar w:left="320" w:top="1440" w:right="339" w:bottom="1440" w:gutter="0" w:footer="0" w:header="0"/>
        </w:sectPr>
      </w:pPr>
    </w:p>
    <w:bookmarkStart w:id="67" w:name="page68"/>
    <w:bookmarkEnd w:id="67"/>
    <w:p>
      <w:pPr>
        <w:ind w:firstLine="1272"/>
        <w:spacing w:after="0" w:line="228" w:lineRule="auto"/>
        <w:tabs>
          <w:tab w:leader="none" w:pos="18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73" w:lineRule="exact"/>
        <w:rPr>
          <w:rFonts w:ascii="Arial" w:cs="Arial" w:eastAsia="Arial" w:hAnsi="Arial"/>
          <w:sz w:val="18"/>
          <w:szCs w:val="18"/>
          <w:color w:val="auto"/>
        </w:rPr>
      </w:pPr>
    </w:p>
    <w:p>
      <w:pPr>
        <w:ind w:left="1900" w:hanging="628"/>
        <w:spacing w:after="0"/>
        <w:tabs>
          <w:tab w:leader="none" w:pos="1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decisions with respect to future PSUs or other grants, if any, will be at the sole discretion of the Company;</w:t>
      </w:r>
    </w:p>
    <w:p>
      <w:pPr>
        <w:spacing w:after="0" w:line="175" w:lineRule="exact"/>
        <w:rPr>
          <w:rFonts w:ascii="Arial" w:cs="Arial" w:eastAsia="Arial" w:hAnsi="Arial"/>
          <w:sz w:val="18"/>
          <w:szCs w:val="18"/>
          <w:color w:val="auto"/>
        </w:rPr>
      </w:pPr>
    </w:p>
    <w:p>
      <w:pPr>
        <w:ind w:left="1900" w:hanging="628"/>
        <w:spacing w:after="0"/>
        <w:tabs>
          <w:tab w:leader="none" w:pos="1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75" w:lineRule="exact"/>
        <w:rPr>
          <w:rFonts w:ascii="Arial" w:cs="Arial" w:eastAsia="Arial" w:hAnsi="Arial"/>
          <w:sz w:val="18"/>
          <w:szCs w:val="18"/>
          <w:color w:val="auto"/>
        </w:rPr>
      </w:pPr>
    </w:p>
    <w:p>
      <w:pPr>
        <w:ind w:firstLine="1272"/>
        <w:spacing w:after="0" w:line="236" w:lineRule="auto"/>
        <w:tabs>
          <w:tab w:leader="none" w:pos="18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intended to replace any pension rights or compensation;</w:t>
      </w:r>
    </w:p>
    <w:p>
      <w:pPr>
        <w:spacing w:after="0" w:line="160" w:lineRule="exact"/>
        <w:rPr>
          <w:rFonts w:ascii="Arial" w:cs="Arial" w:eastAsia="Arial" w:hAnsi="Arial"/>
          <w:sz w:val="18"/>
          <w:szCs w:val="18"/>
          <w:color w:val="auto"/>
        </w:rPr>
      </w:pPr>
    </w:p>
    <w:p>
      <w:pPr>
        <w:jc w:val="both"/>
        <w:ind w:firstLine="1272"/>
        <w:spacing w:after="0" w:line="213" w:lineRule="auto"/>
        <w:tabs>
          <w:tab w:leader="none" w:pos="18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Employer or any Subsidiary;</w:t>
      </w:r>
    </w:p>
    <w:p>
      <w:pPr>
        <w:spacing w:after="0" w:line="202" w:lineRule="exact"/>
        <w:rPr>
          <w:rFonts w:ascii="Arial" w:cs="Arial" w:eastAsia="Arial" w:hAnsi="Arial"/>
          <w:sz w:val="18"/>
          <w:szCs w:val="18"/>
          <w:color w:val="auto"/>
        </w:rPr>
      </w:pPr>
    </w:p>
    <w:p>
      <w:pPr>
        <w:ind w:left="1900" w:hanging="628"/>
        <w:spacing w:after="0"/>
        <w:tabs>
          <w:tab w:leader="none" w:pos="1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PSUs is unknown, indeterminable, and cannot be predicted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161" w:lineRule="exact"/>
        <w:rPr>
          <w:rFonts w:ascii="Arial" w:cs="Arial" w:eastAsia="Arial" w:hAnsi="Arial"/>
          <w:sz w:val="16"/>
          <w:szCs w:val="16"/>
          <w:color w:val="auto"/>
        </w:rPr>
      </w:pPr>
    </w:p>
    <w:p>
      <w:pPr>
        <w:ind w:firstLine="1272"/>
        <w:spacing w:after="0" w:line="291" w:lineRule="auto"/>
        <w:tabs>
          <w:tab w:leader="none" w:pos="1893" w:val="left"/>
        </w:tabs>
        <w:numPr>
          <w:ilvl w:val="1"/>
          <w:numId w:val="32"/>
        </w:numPr>
        <w:rPr>
          <w:rFonts w:ascii="Arial" w:cs="Arial" w:eastAsia="Arial" w:hAnsi="Arial"/>
          <w:sz w:val="16"/>
          <w:szCs w:val="16"/>
          <w:color w:val="auto"/>
        </w:rPr>
      </w:pPr>
      <w:r>
        <w:rPr>
          <w:rFonts w:ascii="Arial" w:cs="Arial" w:eastAsia="Arial" w:hAnsi="Arial"/>
          <w:sz w:val="16"/>
          <w:szCs w:val="16"/>
          <w:color w:val="auto"/>
        </w:rPr>
        <w:t>unless otherwise agreed with the Company, the PSUs and the shares of Common Stock acquired under the Plan, and the income and value of same, are not granted as consideration for, or in connection with, the service the Participant may provide as a director of any Subsidiary;</w:t>
      </w:r>
    </w:p>
    <w:p>
      <w:pPr>
        <w:spacing w:after="0" w:line="120" w:lineRule="exact"/>
        <w:rPr>
          <w:rFonts w:ascii="Arial" w:cs="Arial" w:eastAsia="Arial" w:hAnsi="Arial"/>
          <w:sz w:val="16"/>
          <w:szCs w:val="16"/>
          <w:color w:val="auto"/>
        </w:rPr>
      </w:pPr>
    </w:p>
    <w:p>
      <w:pPr>
        <w:jc w:val="both"/>
        <w:ind w:firstLine="1272"/>
        <w:spacing w:after="0" w:line="257" w:lineRule="auto"/>
        <w:tabs>
          <w:tab w:leader="none" w:pos="1894" w:val="left"/>
        </w:tabs>
        <w:numPr>
          <w:ilvl w:val="1"/>
          <w:numId w:val="32"/>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PSUs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47" w:lineRule="exact"/>
        <w:rPr>
          <w:rFonts w:ascii="Arial" w:cs="Arial" w:eastAsia="Arial" w:hAnsi="Arial"/>
          <w:sz w:val="16"/>
          <w:szCs w:val="16"/>
          <w:color w:val="auto"/>
        </w:rPr>
      </w:pPr>
    </w:p>
    <w:p>
      <w:pPr>
        <w:jc w:val="both"/>
        <w:ind w:firstLine="1272"/>
        <w:spacing w:after="0" w:line="223" w:lineRule="auto"/>
        <w:tabs>
          <w:tab w:leader="none" w:pos="18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PSUs and the benefits evidenced by the Award Document do not create any entitlement to have the PSUs or any such benefits transferred to, or assumed by, another company nor to be exchanged, cashed out or substituted for, in connection with any corporate transaction affecting the shares; and</w:t>
      </w:r>
    </w:p>
    <w:p>
      <w:pPr>
        <w:spacing w:after="0" w:line="161" w:lineRule="exact"/>
        <w:rPr>
          <w:rFonts w:ascii="Arial" w:cs="Arial" w:eastAsia="Arial" w:hAnsi="Arial"/>
          <w:sz w:val="18"/>
          <w:szCs w:val="18"/>
          <w:color w:val="auto"/>
        </w:rPr>
      </w:pPr>
    </w:p>
    <w:p>
      <w:pPr>
        <w:jc w:val="both"/>
        <w:ind w:firstLine="1272"/>
        <w:spacing w:after="0" w:line="223" w:lineRule="auto"/>
        <w:tabs>
          <w:tab w:leader="none" w:pos="1893" w:val="left"/>
        </w:tabs>
        <w:numPr>
          <w:ilvl w:val="1"/>
          <w:numId w:val="32"/>
        </w:numPr>
        <w:rPr>
          <w:rFonts w:ascii="Arial" w:cs="Arial" w:eastAsia="Arial" w:hAnsi="Arial"/>
          <w:sz w:val="18"/>
          <w:szCs w:val="18"/>
          <w:color w:val="auto"/>
        </w:rPr>
      </w:pPr>
      <w:r>
        <w:rPr>
          <w:rFonts w:ascii="Arial" w:cs="Arial" w:eastAsia="Arial" w:hAnsi="Arial"/>
          <w:sz w:val="18"/>
          <w:szCs w:val="18"/>
          <w:color w:val="auto"/>
        </w:rPr>
        <w:t>neither the Company, the Employer nor any Subsidiary shall be liable for any foreign exchange rate fluctuation between the Participant’s local currency and the U.S. dollar that may affect the value of the PSUs or of any amounts due to the Participant pursuant to the vesting of the PSUs or the subsequent sale of any shares of Common Stock acquired upon vesting.</w:t>
      </w:r>
    </w:p>
    <w:p>
      <w:pPr>
        <w:spacing w:after="0" w:line="155" w:lineRule="exact"/>
        <w:rPr>
          <w:rFonts w:ascii="Arial" w:cs="Arial" w:eastAsia="Arial" w:hAnsi="Arial"/>
          <w:sz w:val="18"/>
          <w:szCs w:val="18"/>
          <w:color w:val="auto"/>
        </w:rPr>
      </w:pPr>
    </w:p>
    <w:p>
      <w:pPr>
        <w:ind w:left="1280" w:hanging="167"/>
        <w:spacing w:after="0"/>
        <w:tabs>
          <w:tab w:leader="none" w:pos="1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By accepting the PSUs via the Company’s acceptance procedure, the Participant is declaring that he or she agrees with the data processing</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75" w:lineRule="exact"/>
        <w:rPr>
          <w:sz w:val="20"/>
          <w:szCs w:val="20"/>
          <w:color w:val="auto"/>
        </w:rPr>
      </w:pPr>
    </w:p>
    <w:p>
      <w:pPr>
        <w:jc w:val="both"/>
        <w:ind w:firstLine="1272"/>
        <w:spacing w:after="0" w:line="267" w:lineRule="auto"/>
        <w:tabs>
          <w:tab w:leader="none" w:pos="1894"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Declaration of Consent</w:t>
      </w:r>
      <w:r>
        <w:rPr>
          <w:rFonts w:ascii="Arial" w:cs="Arial" w:eastAsia="Arial" w:hAnsi="Arial"/>
          <w:sz w:val="15"/>
          <w:szCs w:val="15"/>
          <w:b w:val="1"/>
          <w:bCs w:val="1"/>
          <w:i w:val="1"/>
          <w:iCs w:val="1"/>
          <w:color w:val="auto"/>
        </w:rPr>
        <w:t>. The Participant understands that he or she needs to review the following information about the processing of the Participant’s personal data by or on behalf of the Company, the Employer and/or any Subsidiary as described in this Award Document and any other PSU grant materials (the “Personal Data”) and declare his or her consent. As regards the processing of the Participant’s Personal Data in connection with the Plan and this Award Document, the Participant understands that the Company is the controller of the Participant’s Personal Data.</w:t>
      </w:r>
    </w:p>
    <w:p>
      <w:pPr>
        <w:spacing w:after="0" w:line="142" w:lineRule="exact"/>
        <w:rPr>
          <w:rFonts w:ascii="Arial" w:cs="Arial" w:eastAsia="Arial" w:hAnsi="Arial"/>
          <w:sz w:val="15"/>
          <w:szCs w:val="15"/>
          <w:b w:val="1"/>
          <w:bCs w:val="1"/>
          <w:color w:val="auto"/>
        </w:rPr>
      </w:pPr>
    </w:p>
    <w:p>
      <w:pPr>
        <w:jc w:val="both"/>
        <w:ind w:firstLine="1272"/>
        <w:spacing w:after="0" w:line="238" w:lineRule="auto"/>
        <w:tabs>
          <w:tab w:leader="none" w:pos="1899"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Processing and Legal Basis</w:t>
      </w:r>
      <w:r>
        <w:rPr>
          <w:rFonts w:ascii="Arial" w:cs="Arial" w:eastAsia="Arial" w:hAnsi="Arial"/>
          <w:sz w:val="16"/>
          <w:szCs w:val="16"/>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Company or its Subsidiaries, details of all PSUs or any other entitlement to shares of stock or equivalent benefits awarded, canceled, exercised, vested, unvested or outstanding in the Participant’s favor. The legal basis for the processing of the Participant’s Personal Data will be the Participant’s consent.</w:t>
      </w:r>
    </w:p>
    <w:p>
      <w:pPr>
        <w:sectPr>
          <w:pgSz w:w="11900" w:h="16838" w:orient="portrait"/>
          <w:cols w:equalWidth="0" w:num="1">
            <w:col w:w="11240"/>
          </w:cols>
          <w:pgMar w:left="320" w:top="1354" w:right="339" w:bottom="1440" w:gutter="0" w:footer="0" w:header="0"/>
        </w:sectPr>
      </w:pPr>
    </w:p>
    <w:bookmarkStart w:id="68" w:name="page69"/>
    <w:bookmarkEnd w:id="68"/>
    <w:p>
      <w:pPr>
        <w:jc w:val="both"/>
        <w:ind w:left="-1120" w:firstLine="1272"/>
        <w:spacing w:after="0" w:line="256" w:lineRule="auto"/>
        <w:tabs>
          <w:tab w:leader="none" w:pos="77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Company transfers the Participant’s Personal Data, or parts thereof, to E*TRADE Financial Corporation Services, Inc. (and its affiliated companies), an independent service provider based in the United States or IBI Capital for Israeli employees, each of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49" w:lineRule="exact"/>
        <w:rPr>
          <w:rFonts w:ascii="Arial" w:cs="Arial" w:eastAsia="Arial" w:hAnsi="Arial"/>
          <w:sz w:val="15"/>
          <w:szCs w:val="15"/>
          <w:b w:val="1"/>
          <w:bCs w:val="1"/>
          <w:color w:val="auto"/>
        </w:rPr>
      </w:pPr>
    </w:p>
    <w:p>
      <w:pPr>
        <w:jc w:val="both"/>
        <w:ind w:left="-1120" w:firstLine="1272"/>
        <w:spacing w:after="0" w:line="252" w:lineRule="auto"/>
        <w:tabs>
          <w:tab w:leader="none" w:pos="773"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Company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Company’s legal basis for the transfer of the Participant’s Personal Data is the Participant’s consent.</w:t>
      </w:r>
    </w:p>
    <w:p>
      <w:pPr>
        <w:spacing w:after="0" w:line="167" w:lineRule="exact"/>
        <w:rPr>
          <w:rFonts w:ascii="Arial" w:cs="Arial" w:eastAsia="Arial" w:hAnsi="Arial"/>
          <w:sz w:val="15"/>
          <w:szCs w:val="15"/>
          <w:b w:val="1"/>
          <w:bCs w:val="1"/>
          <w:color w:val="auto"/>
        </w:rPr>
      </w:pPr>
    </w:p>
    <w:p>
      <w:pPr>
        <w:jc w:val="both"/>
        <w:ind w:left="-1120" w:firstLine="1272"/>
        <w:spacing w:after="0" w:line="273" w:lineRule="auto"/>
        <w:tabs>
          <w:tab w:leader="none" w:pos="77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Company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49" w:lineRule="exact"/>
        <w:rPr>
          <w:rFonts w:ascii="Arial" w:cs="Arial" w:eastAsia="Arial" w:hAnsi="Arial"/>
          <w:sz w:val="15"/>
          <w:szCs w:val="15"/>
          <w:b w:val="1"/>
          <w:bCs w:val="1"/>
          <w:color w:val="auto"/>
        </w:rPr>
      </w:pPr>
    </w:p>
    <w:p>
      <w:pPr>
        <w:jc w:val="both"/>
        <w:ind w:left="-1120" w:firstLine="1272"/>
        <w:spacing w:after="0" w:line="267" w:lineRule="auto"/>
        <w:tabs>
          <w:tab w:leader="none" w:pos="77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Company would not be able to grant PSUs or other equity awards to the Participant or administer or maintain such awards.</w:t>
      </w:r>
    </w:p>
    <w:p>
      <w:pPr>
        <w:spacing w:after="0" w:line="142" w:lineRule="exact"/>
        <w:rPr>
          <w:rFonts w:ascii="Arial" w:cs="Arial" w:eastAsia="Arial" w:hAnsi="Arial"/>
          <w:sz w:val="15"/>
          <w:szCs w:val="15"/>
          <w:b w:val="1"/>
          <w:bCs w:val="1"/>
          <w:color w:val="auto"/>
        </w:rPr>
      </w:pPr>
    </w:p>
    <w:p>
      <w:pPr>
        <w:jc w:val="both"/>
        <w:ind w:left="-1120" w:firstLine="1272"/>
        <w:spacing w:after="0" w:line="233" w:lineRule="auto"/>
        <w:tabs>
          <w:tab w:leader="none" w:pos="77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76" w:lineRule="exact"/>
        <w:rPr>
          <w:rFonts w:ascii="Arial" w:cs="Arial" w:eastAsia="Arial" w:hAnsi="Arial"/>
          <w:sz w:val="16"/>
          <w:szCs w:val="16"/>
          <w:b w:val="1"/>
          <w:bCs w:val="1"/>
          <w:color w:val="auto"/>
        </w:rPr>
      </w:pPr>
    </w:p>
    <w:p>
      <w:pPr>
        <w:jc w:val="both"/>
        <w:ind w:left="-1120" w:firstLine="1272"/>
        <w:spacing w:after="0" w:line="238" w:lineRule="auto"/>
        <w:tabs>
          <w:tab w:leader="none" w:pos="767"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Alternate Basis and Additional Consents.</w:t>
      </w:r>
      <w:r>
        <w:rPr>
          <w:rFonts w:ascii="Arial" w:cs="Arial" w:eastAsia="Arial" w:hAnsi="Arial"/>
          <w:sz w:val="16"/>
          <w:szCs w:val="16"/>
          <w:b w:val="1"/>
          <w:bCs w:val="1"/>
          <w:i w:val="1"/>
          <w:iCs w:val="1"/>
          <w:color w:val="auto"/>
        </w:rPr>
        <w:t xml:space="preserve"> Finally, the Participant understands that the Company may rely on a different basis for the processing or transfer of Personal Data in the future and/or request that the Participant provide another data privacy consent. If applicable, the Participant agrees that upon request of the Company or the Employer, the Participant will provide an executed acknowledgement or data privacy consent form (or any other agreements or consents) that the Company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Company and/or the Employer.</w:t>
      </w:r>
    </w:p>
    <w:p>
      <w:pPr>
        <w:sectPr>
          <w:pgSz w:w="11900" w:h="16838" w:orient="portrait"/>
          <w:cols w:equalWidth="0" w:num="1">
            <w:col w:w="10120"/>
          </w:cols>
          <w:pgMar w:left="1440" w:top="1354" w:right="339" w:bottom="1440" w:gutter="0" w:footer="0" w:header="0"/>
        </w:sectPr>
      </w:pPr>
    </w:p>
    <w:bookmarkStart w:id="69" w:name="page70"/>
    <w:bookmarkEnd w:id="69"/>
    <w:p>
      <w:pPr>
        <w:ind w:left="1120"/>
        <w:spacing w:after="0"/>
        <w:rPr>
          <w:sz w:val="20"/>
          <w:szCs w:val="20"/>
          <w:color w:val="auto"/>
        </w:rPr>
      </w:pPr>
      <w:r>
        <w:rPr>
          <w:rFonts w:ascii="Arial" w:cs="Arial" w:eastAsia="Arial" w:hAnsi="Arial"/>
          <w:sz w:val="18"/>
          <w:szCs w:val="18"/>
          <w:b w:val="1"/>
          <w:bCs w:val="1"/>
          <w:color w:val="auto"/>
        </w:rPr>
        <w:t>5. Electronic Delivery and Acceptance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agrees that the Company may, in its sole discretion, decide to deliver by email or other electronic means any documents relating to the Plan or</w:t>
      </w:r>
    </w:p>
    <w:p>
      <w:pPr>
        <w:spacing w:after="0" w:line="15"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PSUs. Further, the Participant agrees to receive such documents by electronic delivery and agrees to participate in the Plan through an on-line or electronic system established and maintained by the Company or by a third party designated by the Company.</w:t>
      </w:r>
    </w:p>
    <w:p>
      <w:pPr>
        <w:spacing w:after="0" w:line="15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6. Insider Trading/Market Abuse Laws</w:t>
      </w:r>
    </w:p>
    <w:p>
      <w:pPr>
        <w:spacing w:after="0" w:line="19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Participant agrees to comply with the Company’s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PSUs)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 policy. The Participant is responsible for ensuring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any applicable restrictions and should consult his or her personal legal advisor on this matter.</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acknowledges that there may be exchange control, tax, foreign asset and/or account reporting requirements which may affect the Participant’s</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ability to acquire or hold shares of Common Stock acquired under the Plan or cash received from participating in the Plan (including from any dividend equivalents paid with respect to the PSUs or dividends paid on shares of Common Stock acquired under the Plan) in a brokerage/bank account or legal entity outside the Participant’s country. The Participant may be required to report such accounts, assets, the balances therein, the value thereof and/or the transactions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In addition, the Participant agrees to take any and all actions, and consent to any and all actions taken by the Company or the Employer as may be</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required to allow the Company or the Employer to comply with local laws, rules and regulations in the Participant's country of residence (and country of employment, if different). The Participant acknowledges that it is the Participant’s responsibility to be compliant with such regulations, and the Participant should consult his or her personal legal advisor for any details.</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8. Language</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Participant acknowledges that he or she is sufficiently proficient in English, or has consulted with an advisor who is sufficiently proficient in English so as to allow the Participant to understand the terms and conditions of this Award Document. Furthermore, if the Award Document or any other document related to</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Plan has been translated into a language other than English and the meaning of the translated version is different than the English version, the English version will control.</w:t>
      </w:r>
    </w:p>
    <w:p>
      <w:pPr>
        <w:sectPr>
          <w:pgSz w:w="11900" w:h="16838" w:orient="portrait"/>
          <w:cols w:equalWidth="0" w:num="1">
            <w:col w:w="11240"/>
          </w:cols>
          <w:pgMar w:left="320" w:top="1348" w:right="339" w:bottom="1440" w:gutter="0" w:footer="0" w:header="0"/>
        </w:sectPr>
      </w:pPr>
    </w:p>
    <w:bookmarkStart w:id="70" w:name="page71"/>
    <w:bookmarkEnd w:id="70"/>
    <w:p>
      <w:pPr>
        <w:jc w:val="both"/>
        <w:spacing w:after="0" w:line="220" w:lineRule="auto"/>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96" w:lineRule="exact"/>
        <w:rPr>
          <w:sz w:val="20"/>
          <w:szCs w:val="20"/>
          <w:color w:val="auto"/>
        </w:rPr>
      </w:pPr>
    </w:p>
    <w:p>
      <w:pPr>
        <w:ind w:left="500" w:hanging="178"/>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2022</w:t>
      </w:r>
    </w:p>
    <w:p>
      <w:pPr>
        <w:sectPr>
          <w:pgSz w:w="11900" w:h="16838" w:orient="portrait"/>
          <w:cols w:equalWidth="0" w:num="1">
            <w:col w:w="11240"/>
          </w:cols>
          <w:pgMar w:left="320" w:top="87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Wissam Jabre, certify that:</w:t>
      </w:r>
    </w:p>
    <w:p>
      <w:pPr>
        <w:spacing w:after="0" w:line="96" w:lineRule="exact"/>
        <w:rPr>
          <w:sz w:val="20"/>
          <w:szCs w:val="20"/>
          <w:color w:val="auto"/>
        </w:rPr>
      </w:pPr>
    </w:p>
    <w:p>
      <w:pPr>
        <w:ind w:left="500" w:hanging="178"/>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10160</wp:posOffset>
            </wp:positionV>
            <wp:extent cx="31324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Wissam Jabre</w:t>
      </w:r>
    </w:p>
    <w:p>
      <w:pPr>
        <w:jc w:val="center"/>
        <w:ind w:left="624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2022</w:t>
      </w:r>
    </w:p>
    <w:p>
      <w:pPr>
        <w:sectPr>
          <w:pgSz w:w="11900" w:h="16838" w:orient="portrait"/>
          <w:cols w:equalWidth="0" w:num="1">
            <w:col w:w="11240"/>
          </w:cols>
          <w:pgMar w:left="320" w:top="873" w:right="339" w:bottom="1440" w:gutter="0" w:footer="0" w:header="0"/>
        </w:sectPr>
      </w:pPr>
    </w:p>
    <w:bookmarkStart w:id="73" w:name="page74"/>
    <w:bookmarkEnd w:id="73"/>
    <w:p>
      <w:pPr>
        <w:ind w:left="10340"/>
        <w:spacing w:after="0"/>
        <w:rPr>
          <w:sz w:val="20"/>
          <w:szCs w:val="20"/>
          <w:color w:val="auto"/>
        </w:rPr>
      </w:pPr>
      <w:r>
        <w:rPr>
          <w:rFonts w:ascii="Arial" w:cs="Arial" w:eastAsia="Arial" w:hAnsi="Arial"/>
          <w:sz w:val="16"/>
          <w:szCs w:val="16"/>
          <w:b w:val="1"/>
          <w:bCs w:val="1"/>
          <w:color w:val="auto"/>
        </w:rPr>
        <w:t>Exhibit 32.1</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320" w:firstLine="322"/>
        <w:spacing w:after="0" w:line="325" w:lineRule="auto"/>
        <w:tabs>
          <w:tab w:leader="none" w:pos="5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September 30, 2022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2022</w:t>
      </w:r>
    </w:p>
    <w:p>
      <w:pPr>
        <w:sectPr>
          <w:pgSz w:w="11900" w:h="16838" w:orient="portrait"/>
          <w:cols w:equalWidth="0" w:num="1">
            <w:col w:w="11240"/>
          </w:cols>
          <w:pgMar w:left="320" w:top="873" w:right="339" w:bottom="1440" w:gutter="0" w:footer="0" w:header="0"/>
        </w:sectPr>
      </w:pPr>
    </w:p>
    <w:bookmarkStart w:id="74" w:name="page75"/>
    <w:bookmarkEnd w:id="74"/>
    <w:p>
      <w:pPr>
        <w:ind w:left="10340"/>
        <w:spacing w:after="0"/>
        <w:rPr>
          <w:sz w:val="20"/>
          <w:szCs w:val="20"/>
          <w:color w:val="auto"/>
        </w:rPr>
      </w:pPr>
      <w:r>
        <w:rPr>
          <w:rFonts w:ascii="Arial" w:cs="Arial" w:eastAsia="Arial" w:hAnsi="Arial"/>
          <w:sz w:val="16"/>
          <w:szCs w:val="16"/>
          <w:b w:val="1"/>
          <w:bCs w:val="1"/>
          <w:color w:val="auto"/>
        </w:rPr>
        <w:t>Exhibit 32.2</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320" w:firstLine="322"/>
        <w:spacing w:after="0" w:line="325" w:lineRule="auto"/>
        <w:tabs>
          <w:tab w:leader="none" w:pos="5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September 30, 2022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10160</wp:posOffset>
            </wp:positionV>
            <wp:extent cx="30905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Wissam Jabre</w:t>
      </w:r>
    </w:p>
    <w:p>
      <w:pPr>
        <w:jc w:val="center"/>
        <w:ind w:left="630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2022</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lvl w:ilvl="1">
      <w:lvlJc w:val="left"/>
      <w:lvlText w:val="%2"/>
      <w:numFmt w:val="decimal"/>
      <w:start w:val="104"/>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2"/>
    </w:lvl>
    <w:lvl w:ilvl="1">
      <w:lvlJc w:val="left"/>
      <w:lvlText w:val="(%2)"/>
      <w:numFmt w:val="lowerLetter"/>
      <w:start w:val="1"/>
    </w:lvl>
  </w:abstractNum>
  <w:abstractNum w:abstractNumId="9">
    <w:nsid w:val="8EDBDAB"/>
    <w:multiLevelType w:val="hybridMultilevel"/>
    <w:lvl w:ilvl="0">
      <w:lvlJc w:val="left"/>
      <w:lvlText w:val="(%1)"/>
      <w:numFmt w:val="lowerLetter"/>
      <w:start w:val="2"/>
    </w:lvl>
  </w:abstractNum>
  <w:abstractNum w:abstractNumId="10">
    <w:nsid w:val="79838CB2"/>
    <w:multiLevelType w:val="hybridMultilevel"/>
    <w:lvl w:ilvl="0">
      <w:lvlJc w:val="left"/>
      <w:lvlText w:val="(%1)"/>
      <w:numFmt w:val="lowerRoman"/>
      <w:start w:val="1"/>
    </w:lvl>
  </w:abstractNum>
  <w:abstractNum w:abstractNumId="11">
    <w:nsid w:val="4353D0CD"/>
    <w:multiLevelType w:val="hybridMultilevel"/>
    <w:lvl w:ilvl="0">
      <w:lvlJc w:val="left"/>
      <w:lvlText w:val="(%1)"/>
      <w:numFmt w:val="lowerRoman"/>
      <w:start w:val="2"/>
    </w:lvl>
  </w:abstractNum>
  <w:abstractNum w:abstractNumId="12">
    <w:nsid w:val="B03E0C6"/>
    <w:multiLevelType w:val="hybridMultilevel"/>
    <w:lvl w:ilvl="0">
      <w:lvlJc w:val="left"/>
      <w:lvlText w:val="(%1)"/>
      <w:numFmt w:val="lowerLetter"/>
      <w:start w:val="3"/>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1)"/>
      <w:numFmt w:val="lowerLetter"/>
      <w:start w:val="4"/>
    </w:lvl>
  </w:abstractNum>
  <w:abstractNum w:abstractNumId="15">
    <w:nsid w:val="71F32454"/>
    <w:multiLevelType w:val="hybridMultilevel"/>
    <w:lvl w:ilvl="0">
      <w:lvlJc w:val="left"/>
      <w:lvlText w:val="(%1)"/>
      <w:numFmt w:val="lowerRoman"/>
      <w:start w:val="1"/>
    </w:lvl>
  </w:abstractNum>
  <w:abstractNum w:abstractNumId="16">
    <w:nsid w:val="2CA88611"/>
    <w:multiLevelType w:val="hybridMultilevel"/>
    <w:lvl w:ilvl="0">
      <w:lvlJc w:val="left"/>
      <w:lvlText w:val="%1"/>
      <w:numFmt w:val="decimal"/>
      <w:start w:val="1"/>
    </w:lvl>
    <w:lvl w:ilvl="1">
      <w:lvlJc w:val="left"/>
      <w:lvlText w:val="(%2)"/>
      <w:numFmt w:val="lowerLetter"/>
      <w:start w:val="5"/>
    </w:lvl>
  </w:abstractNum>
  <w:abstractNum w:abstractNumId="17">
    <w:nsid w:val="836C40E"/>
    <w:multiLevelType w:val="hybridMultilevel"/>
    <w:lvl w:ilvl="0">
      <w:lvlJc w:val="left"/>
      <w:lvlText w:val="%1."/>
      <w:numFmt w:val="decimal"/>
      <w:start w:val="3"/>
    </w:lvl>
    <w:lvl w:ilvl="1">
      <w:lvlJc w:val="left"/>
      <w:lvlText w:val="(%2)"/>
      <w:numFmt w:val="lowerLetter"/>
      <w:start w:val="1"/>
    </w:lvl>
  </w:abstractNum>
  <w:abstractNum w:abstractNumId="18">
    <w:nsid w:val="2901D82"/>
    <w:multiLevelType w:val="hybridMultilevel"/>
    <w:lvl w:ilvl="0">
      <w:lvlJc w:val="left"/>
      <w:lvlText w:val="%1."/>
      <w:numFmt w:val="decimal"/>
      <w:start w:val="5"/>
    </w:lvl>
  </w:abstractNum>
  <w:abstractNum w:abstractNumId="19">
    <w:nsid w:val="3A95F874"/>
    <w:multiLevelType w:val="hybridMultilevel"/>
    <w:lvl w:ilvl="0">
      <w:lvlJc w:val="left"/>
      <w:lvlText w:val="%1."/>
      <w:numFmt w:val="decimal"/>
      <w:start w:val="6"/>
    </w:lvl>
  </w:abstractNum>
  <w:abstractNum w:abstractNumId="20">
    <w:nsid w:val="8138641"/>
    <w:multiLevelType w:val="hybridMultilevel"/>
    <w:lvl w:ilvl="0">
      <w:lvlJc w:val="left"/>
      <w:lvlText w:val="%1."/>
      <w:numFmt w:val="decimal"/>
      <w:start w:val="7"/>
    </w:lvl>
  </w:abstractNum>
  <w:abstractNum w:abstractNumId="21">
    <w:nsid w:val="1E7FF521"/>
    <w:multiLevelType w:val="hybridMultilevel"/>
    <w:lvl w:ilvl="0">
      <w:lvlJc w:val="left"/>
      <w:lvlText w:val="%1."/>
      <w:numFmt w:val="decimal"/>
      <w:start w:val="8"/>
    </w:lvl>
  </w:abstractNum>
  <w:abstractNum w:abstractNumId="22">
    <w:nsid w:val="7C3DBD3D"/>
    <w:multiLevelType w:val="hybridMultilevel"/>
    <w:lvl w:ilvl="0">
      <w:lvlJc w:val="left"/>
      <w:lvlText w:val="%1."/>
      <w:numFmt w:val="decimal"/>
      <w:start w:val="9"/>
    </w:lvl>
    <w:lvl w:ilvl="1">
      <w:lvlJc w:val="left"/>
      <w:lvlText w:val="(%2)"/>
      <w:numFmt w:val="lowerLetter"/>
      <w:start w:val="1"/>
    </w:lvl>
  </w:abstractNum>
  <w:abstractNum w:abstractNumId="23">
    <w:nsid w:val="737B8DDC"/>
    <w:multiLevelType w:val="hybridMultilevel"/>
    <w:lvl w:ilvl="0">
      <w:lvlJc w:val="left"/>
      <w:lvlText w:val="%1"/>
      <w:numFmt w:val="decimal"/>
      <w:start w:val="1"/>
    </w:lvl>
    <w:lvl w:ilvl="1">
      <w:lvlJc w:val="left"/>
      <w:lvlText w:val="(%2)"/>
      <w:numFmt w:val="lowerLetter"/>
      <w:start w:val="7"/>
    </w:lvl>
  </w:abstractNum>
  <w:abstractNum w:abstractNumId="24">
    <w:nsid w:val="6CEAF087"/>
    <w:multiLevelType w:val="hybridMultilevel"/>
    <w:lvl w:ilvl="0">
      <w:lvlJc w:val="left"/>
      <w:lvlText w:val="%1."/>
      <w:numFmt w:val="decimal"/>
      <w:start w:val="10"/>
    </w:lvl>
    <w:lvl w:ilvl="1">
      <w:lvlJc w:val="left"/>
      <w:lvlText w:val="%2"/>
      <w:numFmt w:val="lowerLetter"/>
      <w:start w:val="1"/>
    </w:lvl>
  </w:abstractNum>
  <w:abstractNum w:abstractNumId="25">
    <w:nsid w:val="22221A70"/>
    <w:multiLevelType w:val="hybridMultilevel"/>
    <w:lvl w:ilvl="0">
      <w:lvlJc w:val="left"/>
      <w:lvlText w:val="%1."/>
      <w:numFmt w:val="decimal"/>
      <w:start w:val="11"/>
    </w:lvl>
  </w:abstractNum>
  <w:abstractNum w:abstractNumId="26">
    <w:nsid w:val="4516DDE9"/>
    <w:multiLevelType w:val="hybridMultilevel"/>
    <w:lvl w:ilvl="0">
      <w:lvlJc w:val="left"/>
      <w:lvlText w:val="%1."/>
      <w:numFmt w:val="decimal"/>
      <w:start w:val="12"/>
    </w:lvl>
  </w:abstractNum>
  <w:abstractNum w:abstractNumId="27">
    <w:nsid w:val="3006C83E"/>
    <w:multiLevelType w:val="hybridMultilevel"/>
    <w:lvl w:ilvl="0">
      <w:lvlJc w:val="left"/>
      <w:lvlText w:val="%1."/>
      <w:numFmt w:val="decimal"/>
      <w:start w:val="13"/>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2"/>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1"/>
    </w:lvl>
    <w:lvl w:ilvl="1">
      <w:lvlJc w:val="left"/>
      <w:lvlText w:val="(%2)"/>
      <w:numFmt w:val="lowerLetter"/>
      <w:start w:val="2"/>
    </w:lvl>
  </w:abstractNum>
  <w:abstractNum w:abstractNumId="32">
    <w:nsid w:val="5072367"/>
    <w:multiLevelType w:val="hybridMultilevel"/>
    <w:lvl w:ilvl="0">
      <w:lvlJc w:val="left"/>
      <w:lvlText w:val="%1."/>
      <w:numFmt w:val="decimal"/>
      <w:start w:val="4"/>
    </w:lvl>
    <w:lvl w:ilvl="1">
      <w:lvlJc w:val="left"/>
      <w:lvlText w:val="%2"/>
      <w:numFmt w:val="lowerLetter"/>
      <w:start w:val="1"/>
    </w:lvl>
  </w:abstractNum>
  <w:abstractNum w:abstractNumId="33">
    <w:nsid w:val="3804823E"/>
    <w:multiLevelType w:val="hybridMultilevel"/>
    <w:lvl w:ilvl="0">
      <w:lvlJc w:val="left"/>
      <w:lvlText w:val="(%1)"/>
      <w:numFmt w:val="lowerLetter"/>
      <w:start w:val="12"/>
    </w:lvl>
  </w:abstractNum>
  <w:abstractNum w:abstractNumId="34">
    <w:nsid w:val="77465F01"/>
    <w:multiLevelType w:val="hybridMultilevel"/>
    <w:lvl w:ilvl="0">
      <w:lvlJc w:val="left"/>
      <w:lvlText w:val="(%1)"/>
      <w:numFmt w:val="lowerLetter"/>
      <w:start w:val="14"/>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07" Type="http://schemas.openxmlformats.org/officeDocument/2006/relationships/hyperlink" Target="http://www.sec.gov/Archives/edgar/data/106040/000095013706001502/a17011exv3w1.htm" TargetMode="External"/><Relationship Id="rId108" Type="http://schemas.openxmlformats.org/officeDocument/2006/relationships/hyperlink" Target="https://www.sec.gov/Archives/edgar/data/106040/000119312521041457/d12820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2022-11-02T15:43:41Z</dcterms:created>
  <dcterms:modified xsi:type="dcterms:W3CDTF">2022-11-02T15:43:41Z</dcterms:modified>
</cp:coreProperties>
</file>